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 xml:space="preserve">2-13 </w:t>
      </w:r>
      <w:proofErr w:type="gramStart"/>
      <w:r>
        <w:rPr>
          <w:rFonts w:ascii="Arial" w:eastAsia="SimSun" w:hAnsi="Arial" w:cs="Times New Roman"/>
          <w:b/>
          <w:bCs/>
          <w:sz w:val="24"/>
          <w:szCs w:val="24"/>
          <w:lang w:val="en-GB"/>
        </w:rPr>
        <w:t>Nov.,</w:t>
      </w:r>
      <w:proofErr w:type="gramEnd"/>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033FD345"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 xml:space="preserve">cell phase synchronization, base station timing alignment error, </w:t>
      </w:r>
      <w:proofErr w:type="spellStart"/>
      <w:r w:rsidR="00A33A8F" w:rsidRPr="007C5A87">
        <w:rPr>
          <w:rFonts w:eastAsiaTheme="minorHAnsi" w:cstheme="minorBidi"/>
          <w:sz w:val="20"/>
          <w:lang w:val="en-GB" w:eastAsia="en-US"/>
        </w:rPr>
        <w:t>analog</w:t>
      </w:r>
      <w:proofErr w:type="spellEnd"/>
      <w:r w:rsidR="00A33A8F" w:rsidRPr="007C5A87">
        <w:rPr>
          <w:rFonts w:eastAsiaTheme="minorHAnsi" w:cstheme="minorBidi"/>
          <w:sz w:val="20"/>
          <w:lang w:val="en-GB" w:eastAsia="en-US"/>
        </w:rPr>
        <w:t xml:space="preserve">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1E66147F" w14:textId="2BD967EB"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r w:rsidR="009D0DF6">
        <w:rPr>
          <w:rFonts w:eastAsiaTheme="minorHAnsi" w:cstheme="minorBidi"/>
          <w:sz w:val="20"/>
          <w:lang w:val="en-GB" w:eastAsia="en-US"/>
        </w:rPr>
        <w:t xml:space="preserve">is </w:t>
      </w:r>
      <w:r>
        <w:rPr>
          <w:rFonts w:eastAsiaTheme="minorHAnsi" w:cstheme="minorBidi"/>
          <w:sz w:val="20"/>
          <w:lang w:val="en-GB" w:eastAsia="en-US"/>
        </w:rPr>
        <w:t xml:space="preserve">5 us in FR2. For base stations </w:t>
      </w:r>
      <w:r w:rsidR="009D0DF6">
        <w:rPr>
          <w:rFonts w:eastAsiaTheme="minorHAnsi" w:cstheme="minorBidi"/>
          <w:sz w:val="20"/>
          <w:lang w:val="en-GB" w:eastAsia="en-US"/>
        </w:rPr>
        <w:t>it is</w:t>
      </w:r>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FR2. It was concluded during the SI, that possible improvements for transient times should be evaluated and the final agreement for transient time requirements shall be made during the work item.</w:t>
      </w:r>
      <w:r w:rsidR="00907F01">
        <w:rPr>
          <w:rFonts w:eastAsiaTheme="minorHAnsi" w:cstheme="minorBidi"/>
          <w:sz w:val="20"/>
          <w:lang w:val="en-GB" w:eastAsia="en-US"/>
        </w:rPr>
        <w:t xml:space="preserve"> </w:t>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5AE426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w:t>
      </w:r>
      <w:proofErr w:type="gramStart"/>
      <w:r>
        <w:rPr>
          <w:rFonts w:eastAsiaTheme="minorHAnsi" w:cstheme="minorBidi"/>
          <w:sz w:val="20"/>
          <w:lang w:val="en-GB" w:eastAsia="en-US"/>
        </w:rPr>
        <w:t>taken into account</w:t>
      </w:r>
      <w:proofErr w:type="gramEnd"/>
      <w:r>
        <w:rPr>
          <w:rFonts w:eastAsiaTheme="minorHAnsi" w:cstheme="minorBidi"/>
          <w:sz w:val="20"/>
          <w:lang w:val="en-GB" w:eastAsia="en-US"/>
        </w:rPr>
        <w:t xml:space="preserve">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r w:rsidR="00821446">
        <w:rPr>
          <w:rFonts w:eastAsiaTheme="minorHAnsi" w:cstheme="minorBidi"/>
          <w:sz w:val="20"/>
          <w:lang w:val="en-GB" w:eastAsia="en-US"/>
        </w:rPr>
        <w:t xml:space="preserve">and UE-to-UE </w:t>
      </w:r>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r w:rsidR="00526459">
        <w:rPr>
          <w:rFonts w:eastAsiaTheme="minorHAnsi" w:cstheme="minorBidi"/>
          <w:sz w:val="20"/>
          <w:lang w:val="en-GB" w:eastAsia="en-US"/>
        </w:rPr>
        <w:t>H</w:t>
      </w:r>
      <w:r w:rsidR="0084769B" w:rsidRPr="007C5A87">
        <w:rPr>
          <w:rFonts w:eastAsiaTheme="minorHAnsi" w:cstheme="minorBidi"/>
          <w:sz w:val="20"/>
          <w:lang w:val="en-GB" w:eastAsia="en-US"/>
        </w:rPr>
        <w:t xml:space="preserve">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duration</w:t>
      </w:r>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r w:rsidR="007E145E">
        <w:rPr>
          <w:rFonts w:eastAsiaTheme="minorHAnsi" w:cstheme="minorBidi"/>
          <w:sz w:val="20"/>
          <w:lang w:val="en-GB" w:eastAsia="en-US"/>
        </w:rPr>
        <w:t xml:space="preserve">.  </w:t>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16ECE7C0"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r w:rsidR="007E145E">
        <w:rPr>
          <w:rStyle w:val="normaltextrun"/>
          <w:rFonts w:ascii="Calibri" w:hAnsi="Calibri" w:cs="Calibri"/>
          <w:color w:val="000000"/>
          <w:sz w:val="20"/>
          <w:szCs w:val="20"/>
          <w:shd w:val="clear" w:color="auto" w:fill="FFFFFF"/>
          <w:lang w:val="en-GB"/>
        </w:rPr>
        <w:t>, </w:t>
      </w:r>
      <w:proofErr w:type="gramStart"/>
      <w:r w:rsidR="007E145E">
        <w:rPr>
          <w:rStyle w:val="normaltextrun"/>
          <w:color w:val="000000"/>
          <w:sz w:val="20"/>
          <w:szCs w:val="20"/>
          <w:shd w:val="clear" w:color="auto" w:fill="FFFFFF"/>
          <w:lang w:val="en-GB"/>
        </w:rPr>
        <w:t>taking into account</w:t>
      </w:r>
      <w:proofErr w:type="gramEnd"/>
      <w:r w:rsidR="007E145E">
        <w:rPr>
          <w:rStyle w:val="normaltextrun"/>
          <w:color w:val="000000"/>
          <w:sz w:val="20"/>
          <w:szCs w:val="20"/>
          <w:shd w:val="clear" w:color="auto" w:fill="FFFFFF"/>
          <w:lang w:val="en-GB"/>
        </w:rPr>
        <w:t> the SCS selection</w:t>
      </w:r>
      <w:r w:rsidR="007E145E">
        <w:rPr>
          <w:rStyle w:val="normaltextrun"/>
          <w:rFonts w:ascii="Calibri" w:hAnsi="Calibri" w:cs="Calibri"/>
          <w:color w:val="000000"/>
          <w:sz w:val="20"/>
          <w:szCs w:val="20"/>
          <w:shd w:val="clear" w:color="auto" w:fill="FFFFFF"/>
          <w:lang w:val="en-GB"/>
        </w:rPr>
        <w:t>.</w:t>
      </w:r>
      <w:r w:rsidR="008266A6">
        <w:rPr>
          <w:rFonts w:eastAsiaTheme="minorHAnsi" w:cstheme="minorBidi"/>
          <w:sz w:val="20"/>
          <w:lang w:val="en-GB" w:eastAsia="en-US"/>
        </w:rPr>
        <w:t xml:space="preserve"> </w:t>
      </w:r>
      <w:r w:rsidR="007C2B39">
        <w:rPr>
          <w:rFonts w:eastAsiaTheme="minorHAnsi" w:cstheme="minorBidi"/>
          <w:sz w:val="20"/>
          <w:lang w:val="en-GB" w:eastAsia="en-US"/>
        </w:rPr>
        <w:t xml:space="preserve">Adjustments to </w:t>
      </w:r>
      <w:r w:rsidR="007E145E">
        <w:rPr>
          <w:rFonts w:eastAsiaTheme="minorHAnsi" w:cstheme="minorBidi"/>
          <w:sz w:val="20"/>
          <w:lang w:val="en-GB" w:eastAsia="en-US"/>
        </w:rPr>
        <w:t xml:space="preserve">initial </w:t>
      </w:r>
      <w:r w:rsidR="007C2B39">
        <w:rPr>
          <w:rFonts w:eastAsiaTheme="minorHAnsi" w:cstheme="minorBidi"/>
          <w:sz w:val="20"/>
          <w:lang w:val="en-GB" w:eastAsia="en-US"/>
        </w:rPr>
        <w:t xml:space="preserve">timing advance requirements should be studied in detail </w:t>
      </w:r>
      <w:r w:rsidR="007B6EF9">
        <w:rPr>
          <w:rFonts w:eastAsiaTheme="minorHAnsi" w:cstheme="minorBidi"/>
          <w:sz w:val="20"/>
          <w:lang w:val="en-GB" w:eastAsia="en-US"/>
        </w:rPr>
        <w:t>together with</w:t>
      </w:r>
      <w:r w:rsidR="007C2B39">
        <w:rPr>
          <w:rFonts w:eastAsiaTheme="minorHAnsi" w:cstheme="minorBidi"/>
          <w:sz w:val="20"/>
          <w:lang w:val="en-GB" w:eastAsia="en-US"/>
        </w:rPr>
        <w:t xml:space="preserve"> the parameters of the signals present during initial access phase are known</w:t>
      </w:r>
      <w:bookmarkStart w:id="4" w:name="_GoBack"/>
      <w:r w:rsidR="007C2B39">
        <w:rPr>
          <w:rFonts w:eastAsiaTheme="minorHAnsi" w:cstheme="minorBidi"/>
          <w:sz w:val="20"/>
          <w:lang w:val="en-GB" w:eastAsia="en-US"/>
        </w:rPr>
        <w:t>.</w:t>
      </w:r>
      <w:r w:rsidRPr="007C5A87">
        <w:rPr>
          <w:rFonts w:eastAsiaTheme="minorHAnsi" w:cstheme="minorBidi"/>
          <w:sz w:val="20"/>
          <w:lang w:val="en-GB" w:eastAsia="en-US"/>
        </w:rPr>
        <w:t xml:space="preserve"> </w:t>
      </w:r>
      <w:bookmarkEnd w:id="4"/>
    </w:p>
    <w:p w14:paraId="13919BD4" w14:textId="77777777" w:rsidR="00902649" w:rsidRDefault="00902649" w:rsidP="00A33A8F">
      <w:pPr>
        <w:pStyle w:val="paragraph"/>
        <w:spacing w:before="0" w:beforeAutospacing="0" w:after="0" w:afterAutospacing="0"/>
        <w:textAlignment w:val="baseline"/>
        <w:rPr>
          <w:rFonts w:eastAsiaTheme="minorHAnsi" w:cstheme="minorBidi"/>
          <w:sz w:val="20"/>
          <w:lang w:val="en-GB" w:eastAsia="en-US"/>
        </w:rPr>
      </w:pPr>
      <w:bookmarkStart w:id="5" w:name="_Hlk54342515"/>
      <w:bookmarkEnd w:id="3"/>
    </w:p>
    <w:bookmarkEnd w:id="5"/>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F425" w16cex:dateUtc="2020-11-11T11:24:00Z"/>
  <w16cex:commentExtensible w16cex:durableId="235500B3" w16cex:dateUtc="2020-11-10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C7FE" w14:textId="77777777" w:rsidR="009B75AE" w:rsidRDefault="009B75AE" w:rsidP="008266A6">
      <w:pPr>
        <w:spacing w:after="0" w:line="240" w:lineRule="auto"/>
      </w:pPr>
      <w:r>
        <w:separator/>
      </w:r>
    </w:p>
  </w:endnote>
  <w:endnote w:type="continuationSeparator" w:id="0">
    <w:p w14:paraId="344E3B8F" w14:textId="77777777" w:rsidR="009B75AE" w:rsidRDefault="009B75AE"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FCF1" w14:textId="77777777" w:rsidR="009B75AE" w:rsidRDefault="009B75AE" w:rsidP="008266A6">
      <w:pPr>
        <w:spacing w:after="0" w:line="240" w:lineRule="auto"/>
      </w:pPr>
      <w:r>
        <w:separator/>
      </w:r>
    </w:p>
  </w:footnote>
  <w:footnote w:type="continuationSeparator" w:id="0">
    <w:p w14:paraId="53B71CA7" w14:textId="77777777" w:rsidR="009B75AE" w:rsidRDefault="009B75AE"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F"/>
    <w:rsid w:val="00013A6A"/>
    <w:rsid w:val="00046F87"/>
    <w:rsid w:val="00082DBA"/>
    <w:rsid w:val="000B2E84"/>
    <w:rsid w:val="000C2305"/>
    <w:rsid w:val="00122AA1"/>
    <w:rsid w:val="00175954"/>
    <w:rsid w:val="001A1AB5"/>
    <w:rsid w:val="00287C3E"/>
    <w:rsid w:val="002C1256"/>
    <w:rsid w:val="002E3CF4"/>
    <w:rsid w:val="00327E6C"/>
    <w:rsid w:val="003B04FB"/>
    <w:rsid w:val="00493745"/>
    <w:rsid w:val="004B67A8"/>
    <w:rsid w:val="004C5466"/>
    <w:rsid w:val="004E7E9D"/>
    <w:rsid w:val="0050312E"/>
    <w:rsid w:val="00526459"/>
    <w:rsid w:val="00533501"/>
    <w:rsid w:val="00592F0F"/>
    <w:rsid w:val="005F4B9F"/>
    <w:rsid w:val="005F4D4C"/>
    <w:rsid w:val="00631CE4"/>
    <w:rsid w:val="00635802"/>
    <w:rsid w:val="00653678"/>
    <w:rsid w:val="0066786F"/>
    <w:rsid w:val="006A65C1"/>
    <w:rsid w:val="006B5BE9"/>
    <w:rsid w:val="006C0AED"/>
    <w:rsid w:val="006E0357"/>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8C0A4D"/>
    <w:rsid w:val="00902649"/>
    <w:rsid w:val="00907F01"/>
    <w:rsid w:val="00936EBA"/>
    <w:rsid w:val="00937031"/>
    <w:rsid w:val="009627CA"/>
    <w:rsid w:val="009873D9"/>
    <w:rsid w:val="009B75AE"/>
    <w:rsid w:val="009D0DF6"/>
    <w:rsid w:val="00A14548"/>
    <w:rsid w:val="00A33A8F"/>
    <w:rsid w:val="00A65080"/>
    <w:rsid w:val="00A747A1"/>
    <w:rsid w:val="00A767A5"/>
    <w:rsid w:val="00AE00F6"/>
    <w:rsid w:val="00AE698B"/>
    <w:rsid w:val="00AF57B8"/>
    <w:rsid w:val="00B6166E"/>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DA44A59-2E3C-44C4-90C6-A2F0A9AD11DA}">
  <ds:schemaRefs>
    <ds:schemaRef ds:uri="563531dd-8789-4578-8cd9-d1943f0784b1"/>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53b6cbc-f77b-40f7-a27b-0113c4d5231f"/>
    <ds:schemaRef ds:uri="http://www.w3.org/XML/1998/namespace"/>
    <ds:schemaRef ds:uri="http://purl.org/dc/dcmitype/"/>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900C736C-38F3-4CF2-A589-D87BDB84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56F89-1898-44BE-A987-0427741EA340}">
  <ds:schemaRefs>
    <ds:schemaRef ds:uri="Microsoft.SharePoint.Taxonomy.ContentTypeSync"/>
  </ds:schemaRefs>
</ds:datastoreItem>
</file>

<file path=customXml/itemProps5.xml><?xml version="1.0" encoding="utf-8"?>
<ds:datastoreItem xmlns:ds="http://schemas.openxmlformats.org/officeDocument/2006/customXml" ds:itemID="{3811C0D6-D16D-4350-B2E1-A7DB68A555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Nokia</cp:lastModifiedBy>
  <cp:revision>3</cp:revision>
  <dcterms:created xsi:type="dcterms:W3CDTF">2020-11-11T16:58:00Z</dcterms:created>
  <dcterms:modified xsi:type="dcterms:W3CDTF">2020-11-11T17:05:00Z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