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A741FD">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5A4F8B" w:rsidRPr="005A4F8B">
        <w:rPr>
          <w:rFonts w:ascii="Arial" w:hAnsi="Arial" w:cs="Arial"/>
          <w:b/>
          <w:sz w:val="24"/>
          <w:lang w:val="en-US" w:eastAsia="zh-CN"/>
        </w:rPr>
        <w:t>R4-2015768</w:t>
      </w:r>
    </w:p>
    <w:p w:rsidR="00FE6037" w:rsidRPr="002148BE" w:rsidRDefault="00A741FD" w:rsidP="005E5BB3">
      <w:pPr>
        <w:pStyle w:val="a3"/>
        <w:tabs>
          <w:tab w:val="left" w:pos="2160"/>
        </w:tabs>
        <w:ind w:left="2127" w:hanging="2127"/>
        <w:jc w:val="both"/>
        <w:rPr>
          <w:rFonts w:eastAsia="宋体" w:cs="Arial"/>
          <w:noProof w:val="0"/>
          <w:sz w:val="24"/>
        </w:rPr>
      </w:pPr>
      <w:r w:rsidRPr="00160EC9">
        <w:rPr>
          <w:sz w:val="24"/>
        </w:rPr>
        <w:t xml:space="preserve">Electronic Meeting, </w:t>
      </w:r>
      <w:r>
        <w:rPr>
          <w:sz w:val="24"/>
        </w:rPr>
        <w:t>2</w:t>
      </w:r>
      <w:r w:rsidRPr="00160EC9">
        <w:rPr>
          <w:sz w:val="24"/>
        </w:rPr>
        <w:t xml:space="preserve"> – </w:t>
      </w:r>
      <w:r>
        <w:rPr>
          <w:sz w:val="24"/>
        </w:rPr>
        <w:t>13 November</w:t>
      </w:r>
      <w:r w:rsidRPr="00160EC9">
        <w:rPr>
          <w:sz w:val="24"/>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4E61" w:rsidRPr="00D04E61">
        <w:rPr>
          <w:rFonts w:ascii="Arial" w:eastAsia="宋体" w:hAnsi="Arial"/>
          <w:b/>
          <w:sz w:val="24"/>
          <w:lang w:val="en-US" w:eastAsia="zh-CN"/>
        </w:rPr>
        <w:t>Discussion on gNB positioning measurement requirements</w:t>
      </w:r>
    </w:p>
    <w:p w:rsidR="00A741FD"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741FD">
        <w:rPr>
          <w:rFonts w:ascii="Arial" w:eastAsia="宋体" w:hAnsi="Arial"/>
          <w:b/>
          <w:sz w:val="24"/>
          <w:lang w:val="en-US" w:eastAsia="zh-CN"/>
        </w:rPr>
        <w:t>7.7.3.3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A741FD" w:rsidRDefault="00A741FD" w:rsidP="00A741FD">
      <w:pPr>
        <w:overflowPunct w:val="0"/>
        <w:autoSpaceDE w:val="0"/>
        <w:autoSpaceDN w:val="0"/>
        <w:adjustRightInd w:val="0"/>
        <w:spacing w:before="120" w:after="120"/>
        <w:textAlignment w:val="baseline"/>
        <w:rPr>
          <w:lang w:eastAsia="zh-CN"/>
        </w:rPr>
      </w:pPr>
      <w:r>
        <w:rPr>
          <w:lang w:eastAsia="zh-CN"/>
        </w:rPr>
        <w:t xml:space="preserve">In RAN4#96-e, gNB positioning measurement requirements were discussed and the outcomes are captured in the agreed WF [1]. </w:t>
      </w:r>
      <w:r w:rsidR="00246880">
        <w:rPr>
          <w:lang w:eastAsia="zh-CN"/>
        </w:rPr>
        <w:t>The remaining open issues are</w:t>
      </w:r>
    </w:p>
    <w:p w:rsidR="00246880" w:rsidRDefault="00246880" w:rsidP="00246880">
      <w:pPr>
        <w:numPr>
          <w:ilvl w:val="0"/>
          <w:numId w:val="35"/>
        </w:numPr>
        <w:overflowPunct w:val="0"/>
        <w:autoSpaceDE w:val="0"/>
        <w:autoSpaceDN w:val="0"/>
        <w:adjustRightInd w:val="0"/>
        <w:spacing w:before="120" w:after="120"/>
        <w:textAlignment w:val="baseline"/>
        <w:rPr>
          <w:lang w:eastAsia="zh-CN"/>
        </w:rPr>
      </w:pPr>
      <w:r>
        <w:rPr>
          <w:lang w:eastAsia="zh-CN"/>
        </w:rPr>
        <w:t xml:space="preserve">Optionality of gNB accuracy requirements </w:t>
      </w:r>
    </w:p>
    <w:p w:rsidR="00246880" w:rsidRDefault="00246880" w:rsidP="00246880">
      <w:pPr>
        <w:numPr>
          <w:ilvl w:val="0"/>
          <w:numId w:val="35"/>
        </w:numPr>
        <w:overflowPunct w:val="0"/>
        <w:autoSpaceDE w:val="0"/>
        <w:autoSpaceDN w:val="0"/>
        <w:adjustRightInd w:val="0"/>
        <w:spacing w:before="120" w:after="120"/>
        <w:textAlignment w:val="baseline"/>
        <w:rPr>
          <w:lang w:eastAsia="zh-CN"/>
        </w:rPr>
      </w:pPr>
      <w:r>
        <w:rPr>
          <w:lang w:eastAsia="zh-CN"/>
        </w:rPr>
        <w:t>Side condition</w:t>
      </w:r>
      <w:r>
        <w:t xml:space="preserve"> </w:t>
      </w:r>
      <w:r>
        <w:rPr>
          <w:lang w:eastAsia="zh-CN"/>
        </w:rPr>
        <w:t>for gNB measurement accuracy</w:t>
      </w:r>
    </w:p>
    <w:p w:rsidR="00246880" w:rsidRDefault="00246880" w:rsidP="00246880">
      <w:pPr>
        <w:numPr>
          <w:ilvl w:val="0"/>
          <w:numId w:val="35"/>
        </w:numPr>
        <w:overflowPunct w:val="0"/>
        <w:autoSpaceDE w:val="0"/>
        <w:autoSpaceDN w:val="0"/>
        <w:adjustRightInd w:val="0"/>
        <w:spacing w:before="120" w:after="120"/>
        <w:textAlignment w:val="baseline"/>
        <w:rPr>
          <w:lang w:eastAsia="zh-CN"/>
        </w:rPr>
      </w:pPr>
      <w:r>
        <w:rPr>
          <w:lang w:eastAsia="zh-CN"/>
        </w:rPr>
        <w:t>Beam configuration for gNB measurement accuracy</w:t>
      </w:r>
    </w:p>
    <w:p w:rsidR="00246880" w:rsidRDefault="00246880" w:rsidP="00246880">
      <w:pPr>
        <w:numPr>
          <w:ilvl w:val="0"/>
          <w:numId w:val="35"/>
        </w:numPr>
        <w:overflowPunct w:val="0"/>
        <w:autoSpaceDE w:val="0"/>
        <w:autoSpaceDN w:val="0"/>
        <w:adjustRightInd w:val="0"/>
        <w:spacing w:before="120" w:after="120"/>
        <w:textAlignment w:val="baseline"/>
        <w:rPr>
          <w:lang w:eastAsia="zh-CN"/>
        </w:rPr>
      </w:pPr>
      <w:r>
        <w:rPr>
          <w:lang w:eastAsia="zh-CN"/>
        </w:rPr>
        <w:t xml:space="preserve">PRS/SRS configurations for gNB measurement accuracy </w:t>
      </w:r>
    </w:p>
    <w:p w:rsidR="00246880" w:rsidRDefault="00246880" w:rsidP="00246880">
      <w:pPr>
        <w:numPr>
          <w:ilvl w:val="0"/>
          <w:numId w:val="35"/>
        </w:numPr>
        <w:overflowPunct w:val="0"/>
        <w:autoSpaceDE w:val="0"/>
        <w:autoSpaceDN w:val="0"/>
        <w:adjustRightInd w:val="0"/>
        <w:spacing w:before="120" w:after="120"/>
        <w:textAlignment w:val="baseline"/>
        <w:rPr>
          <w:lang w:eastAsia="zh-CN"/>
        </w:rPr>
      </w:pPr>
      <w:r>
        <w:rPr>
          <w:lang w:eastAsia="zh-CN"/>
        </w:rPr>
        <w:t xml:space="preserve">Accuracy for different BS types (1-C, 1-H, 1-O, 2-O) </w:t>
      </w:r>
    </w:p>
    <w:p w:rsidR="00A83A1B" w:rsidRPr="00A741FD" w:rsidRDefault="00246880" w:rsidP="00A741FD">
      <w:pPr>
        <w:overflowPunct w:val="0"/>
        <w:autoSpaceDE w:val="0"/>
        <w:autoSpaceDN w:val="0"/>
        <w:adjustRightInd w:val="0"/>
        <w:spacing w:before="120" w:after="120"/>
        <w:textAlignment w:val="baseline"/>
        <w:rPr>
          <w:rFonts w:eastAsia="宋体"/>
          <w:lang w:eastAsia="zh-CN"/>
        </w:rPr>
      </w:pPr>
      <w:r w:rsidRPr="00246880">
        <w:rPr>
          <w:rFonts w:eastAsia="宋体"/>
          <w:lang w:eastAsia="zh-CN"/>
        </w:rPr>
        <w:t>In this paper, we will provide our views on the remaining open issu</w:t>
      </w:r>
      <w:r>
        <w:rPr>
          <w:rFonts w:eastAsia="宋体"/>
          <w:lang w:eastAsia="zh-CN"/>
        </w:rPr>
        <w:t>es in gNB accuracy requirements</w:t>
      </w:r>
      <w:r w:rsidR="00A741FD">
        <w:rPr>
          <w:rFonts w:eastAsia="宋体"/>
          <w:lang w:eastAsia="zh-CN"/>
        </w:rPr>
        <w:t>.</w:t>
      </w:r>
    </w:p>
    <w:p w:rsidR="00754DE9" w:rsidRDefault="00B06084" w:rsidP="00754DE9">
      <w:pPr>
        <w:pStyle w:val="1"/>
        <w:jc w:val="both"/>
        <w:rPr>
          <w:lang w:val="en-US"/>
        </w:rPr>
      </w:pPr>
      <w:r>
        <w:rPr>
          <w:lang w:val="en-US"/>
        </w:rPr>
        <w:t>Discussion</w:t>
      </w:r>
    </w:p>
    <w:p w:rsidR="00246880" w:rsidRDefault="00246880" w:rsidP="00246880">
      <w:pPr>
        <w:pStyle w:val="2"/>
        <w:rPr>
          <w:lang w:eastAsia="zh-CN"/>
        </w:rPr>
      </w:pPr>
      <w:r>
        <w:rPr>
          <w:lang w:eastAsia="zh-CN"/>
        </w:rPr>
        <w:t xml:space="preserve">Optionality of gNB accuracy requirements </w:t>
      </w:r>
    </w:p>
    <w:tbl>
      <w:tblPr>
        <w:tblStyle w:val="af4"/>
        <w:tblW w:w="0" w:type="auto"/>
        <w:tblLook w:val="04A0" w:firstRow="1" w:lastRow="0" w:firstColumn="1" w:lastColumn="0" w:noHBand="0" w:noVBand="1"/>
      </w:tblPr>
      <w:tblGrid>
        <w:gridCol w:w="9621"/>
      </w:tblGrid>
      <w:tr w:rsidR="00413E60" w:rsidTr="00413E60">
        <w:tc>
          <w:tcPr>
            <w:tcW w:w="9621" w:type="dxa"/>
          </w:tcPr>
          <w:p w:rsidR="00413E60" w:rsidRPr="00413E60" w:rsidRDefault="00413E60" w:rsidP="00413E60">
            <w:pPr>
              <w:numPr>
                <w:ilvl w:val="0"/>
                <w:numId w:val="36"/>
              </w:numPr>
              <w:spacing w:before="120" w:after="120"/>
              <w:rPr>
                <w:rFonts w:eastAsiaTheme="minorEastAsia"/>
                <w:lang w:val="en-US" w:eastAsia="zh-CN"/>
              </w:rPr>
            </w:pPr>
            <w:r w:rsidRPr="00413E60">
              <w:rPr>
                <w:rFonts w:eastAsiaTheme="minorEastAsia"/>
                <w:lang w:val="en-US" w:eastAsia="zh-CN"/>
              </w:rPr>
              <w:t>FFS: whether gNB positioning measurement accuracy is optional or mandatory if gNB supports the positioning measurement.</w:t>
            </w:r>
          </w:p>
          <w:p w:rsidR="00413E60" w:rsidRPr="00413E60" w:rsidRDefault="00413E60" w:rsidP="00413E60">
            <w:pPr>
              <w:numPr>
                <w:ilvl w:val="0"/>
                <w:numId w:val="36"/>
              </w:numPr>
              <w:spacing w:before="120" w:after="120"/>
              <w:rPr>
                <w:rFonts w:eastAsiaTheme="minorEastAsia"/>
                <w:lang w:val="en-US" w:eastAsia="zh-CN"/>
              </w:rPr>
            </w:pPr>
            <w:r w:rsidRPr="00413E60">
              <w:rPr>
                <w:rFonts w:eastAsiaTheme="minorEastAsia"/>
                <w:lang w:eastAsia="zh-CN"/>
              </w:rPr>
              <w:t>Candidate options:</w:t>
            </w:r>
          </w:p>
          <w:p w:rsidR="00413E60" w:rsidRPr="00413E60" w:rsidRDefault="00413E60" w:rsidP="00413E60">
            <w:pPr>
              <w:numPr>
                <w:ilvl w:val="1"/>
                <w:numId w:val="36"/>
              </w:numPr>
              <w:spacing w:before="120" w:after="120"/>
              <w:rPr>
                <w:rFonts w:eastAsiaTheme="minorEastAsia"/>
                <w:lang w:val="en-US" w:eastAsia="zh-CN"/>
              </w:rPr>
            </w:pPr>
            <w:r w:rsidRPr="00413E60">
              <w:rPr>
                <w:rFonts w:eastAsiaTheme="minorEastAsia"/>
                <w:lang w:val="sv-SE" w:eastAsia="zh-CN"/>
              </w:rPr>
              <w:t xml:space="preserve">Option 1: </w:t>
            </w:r>
          </w:p>
          <w:p w:rsidR="00413E60" w:rsidRPr="00413E60" w:rsidRDefault="00413E60" w:rsidP="00413E60">
            <w:pPr>
              <w:numPr>
                <w:ilvl w:val="2"/>
                <w:numId w:val="36"/>
              </w:numPr>
              <w:spacing w:before="120" w:after="120"/>
              <w:rPr>
                <w:rFonts w:eastAsiaTheme="minorEastAsia"/>
                <w:lang w:val="en-US" w:eastAsia="zh-CN"/>
              </w:rPr>
            </w:pPr>
            <w:r w:rsidRPr="00413E60">
              <w:rPr>
                <w:rFonts w:eastAsiaTheme="minorEastAsia"/>
                <w:lang w:val="en-US" w:eastAsia="zh-CN"/>
              </w:rPr>
              <w:t xml:space="preserve">Mandatory for gNB to meet accuracy for supported positioning measurement </w:t>
            </w:r>
          </w:p>
          <w:p w:rsidR="00413E60" w:rsidRPr="00413E60" w:rsidRDefault="00413E60" w:rsidP="00413E60">
            <w:pPr>
              <w:numPr>
                <w:ilvl w:val="1"/>
                <w:numId w:val="36"/>
              </w:numPr>
              <w:spacing w:before="120" w:after="120"/>
              <w:rPr>
                <w:rFonts w:eastAsiaTheme="minorEastAsia"/>
                <w:lang w:val="en-US" w:eastAsia="zh-CN"/>
              </w:rPr>
            </w:pPr>
            <w:r w:rsidRPr="00413E60">
              <w:rPr>
                <w:rFonts w:eastAsiaTheme="minorEastAsia"/>
                <w:lang w:val="sv-SE" w:eastAsia="zh-CN"/>
              </w:rPr>
              <w:t xml:space="preserve">Option 2: </w:t>
            </w:r>
          </w:p>
          <w:p w:rsidR="00413E60" w:rsidRPr="00413E60" w:rsidRDefault="00413E60" w:rsidP="00246880">
            <w:pPr>
              <w:numPr>
                <w:ilvl w:val="2"/>
                <w:numId w:val="36"/>
              </w:numPr>
              <w:spacing w:before="120" w:after="120"/>
              <w:rPr>
                <w:rFonts w:eastAsiaTheme="minorEastAsia"/>
                <w:lang w:val="en-US" w:eastAsia="zh-CN"/>
              </w:rPr>
            </w:pPr>
            <w:r w:rsidRPr="00413E60">
              <w:rPr>
                <w:rFonts w:eastAsiaTheme="minorEastAsia"/>
                <w:lang w:val="en-US" w:eastAsia="zh-CN"/>
              </w:rPr>
              <w:t xml:space="preserve">Optional for gNB to meet accuracy for supported positioning measurement </w:t>
            </w:r>
          </w:p>
        </w:tc>
      </w:tr>
    </w:tbl>
    <w:p w:rsidR="00413E60" w:rsidRDefault="00413E60" w:rsidP="00413E60">
      <w:pPr>
        <w:spacing w:before="120" w:after="120"/>
      </w:pPr>
      <w:r>
        <w:rPr>
          <w:rFonts w:eastAsia="宋体"/>
          <w:lang w:val="en-US" w:eastAsia="zh-CN"/>
        </w:rPr>
        <w:t xml:space="preserve">On the </w:t>
      </w:r>
      <w:r>
        <w:t xml:space="preserve">optionality of the gNB measurement accuracy requirements, we think the applicability should be nothing different from gNB demodulation requirements, i.e. if a gNB declares support of a positioning technique, it should be able to meet the requirements defined for the corresponding measurement. </w:t>
      </w:r>
    </w:p>
    <w:p w:rsidR="00413E60" w:rsidRDefault="00413E60" w:rsidP="00413E60">
      <w:pPr>
        <w:spacing w:before="120" w:after="120"/>
        <w:rPr>
          <w:rFonts w:eastAsia="宋体"/>
          <w:lang w:val="en-US" w:eastAsia="zh-CN"/>
        </w:rPr>
      </w:pPr>
      <w:r>
        <w:rPr>
          <w:rFonts w:eastAsia="宋体"/>
          <w:lang w:val="en-US" w:eastAsia="zh-CN"/>
        </w:rPr>
        <w:t>Of course, for a certain gNB the exact applicable requirements can be discussed when the accuracy is specified, e.g. in terms of SRS configurations. This is up to the detailed discussion when the work starts in the Perf part of the WI, but so far we have not identified any problem in finding reasonable SRS configurations where all gNBs can work with.</w:t>
      </w:r>
    </w:p>
    <w:p w:rsidR="00246880" w:rsidRDefault="00413E60" w:rsidP="00413E60">
      <w:pPr>
        <w:spacing w:before="120" w:after="120"/>
        <w:rPr>
          <w:rFonts w:eastAsiaTheme="minorEastAsia"/>
          <w:lang w:eastAsia="zh-CN"/>
        </w:rPr>
      </w:pPr>
      <w:r>
        <w:rPr>
          <w:rFonts w:eastAsia="宋体"/>
          <w:b/>
          <w:lang w:val="en-US" w:eastAsia="zh-CN"/>
        </w:rPr>
        <w:t xml:space="preserve">Proposal 1: </w:t>
      </w:r>
      <w:r>
        <w:rPr>
          <w:b/>
        </w:rPr>
        <w:t>If a gNB declares support of a positioning technique, it should be able to meet the accuracy requirements defined for the corresponding measurement.</w:t>
      </w:r>
    </w:p>
    <w:p w:rsidR="00246880" w:rsidRDefault="00246880" w:rsidP="00413E60">
      <w:pPr>
        <w:pStyle w:val="2"/>
        <w:rPr>
          <w:lang w:eastAsia="zh-CN"/>
        </w:rPr>
      </w:pPr>
      <w:r>
        <w:rPr>
          <w:lang w:eastAsia="zh-CN"/>
        </w:rPr>
        <w:t>Side condition</w:t>
      </w:r>
      <w:r>
        <w:t xml:space="preserve"> </w:t>
      </w:r>
      <w:r>
        <w:rPr>
          <w:lang w:eastAsia="zh-CN"/>
        </w:rPr>
        <w:t>for gNB measurement accuracy</w:t>
      </w:r>
    </w:p>
    <w:tbl>
      <w:tblPr>
        <w:tblStyle w:val="af4"/>
        <w:tblW w:w="0" w:type="auto"/>
        <w:tblLook w:val="04A0" w:firstRow="1" w:lastRow="0" w:firstColumn="1" w:lastColumn="0" w:noHBand="0" w:noVBand="1"/>
      </w:tblPr>
      <w:tblGrid>
        <w:gridCol w:w="9621"/>
      </w:tblGrid>
      <w:tr w:rsidR="00413E60" w:rsidTr="00413E60">
        <w:tc>
          <w:tcPr>
            <w:tcW w:w="9621" w:type="dxa"/>
          </w:tcPr>
          <w:p w:rsidR="00413E60" w:rsidRPr="00413E60" w:rsidRDefault="00413E60" w:rsidP="00413E60">
            <w:pPr>
              <w:numPr>
                <w:ilvl w:val="0"/>
                <w:numId w:val="37"/>
              </w:numPr>
              <w:overflowPunct w:val="0"/>
              <w:autoSpaceDE w:val="0"/>
              <w:autoSpaceDN w:val="0"/>
              <w:adjustRightInd w:val="0"/>
              <w:spacing w:before="120" w:after="120"/>
              <w:textAlignment w:val="baseline"/>
              <w:rPr>
                <w:lang w:val="en-US" w:eastAsia="zh-CN"/>
              </w:rPr>
            </w:pPr>
            <w:r w:rsidRPr="00413E60">
              <w:rPr>
                <w:lang w:val="en-US" w:eastAsia="zh-CN"/>
              </w:rPr>
              <w:t>Issue-1: FFS: One set or separate set of side conditions (e.g. SINR) for defining gNB positioning measurement accuracy.</w:t>
            </w:r>
          </w:p>
          <w:p w:rsidR="00413E60" w:rsidRPr="00413E60" w:rsidRDefault="00413E60" w:rsidP="00413E60">
            <w:pPr>
              <w:numPr>
                <w:ilvl w:val="1"/>
                <w:numId w:val="37"/>
              </w:numPr>
              <w:overflowPunct w:val="0"/>
              <w:autoSpaceDE w:val="0"/>
              <w:autoSpaceDN w:val="0"/>
              <w:adjustRightInd w:val="0"/>
              <w:spacing w:before="120" w:after="120"/>
              <w:textAlignment w:val="baseline"/>
              <w:rPr>
                <w:lang w:val="en-US" w:eastAsia="zh-CN"/>
              </w:rPr>
            </w:pPr>
            <w:r w:rsidRPr="00413E60">
              <w:rPr>
                <w:lang w:val="en-US" w:eastAsia="zh-CN"/>
              </w:rPr>
              <w:lastRenderedPageBreak/>
              <w:t>Option 1:</w:t>
            </w:r>
          </w:p>
          <w:p w:rsidR="00413E60" w:rsidRPr="00413E60" w:rsidRDefault="00413E60" w:rsidP="00413E60">
            <w:pPr>
              <w:numPr>
                <w:ilvl w:val="2"/>
                <w:numId w:val="37"/>
              </w:numPr>
              <w:overflowPunct w:val="0"/>
              <w:autoSpaceDE w:val="0"/>
              <w:autoSpaceDN w:val="0"/>
              <w:adjustRightInd w:val="0"/>
              <w:spacing w:before="120" w:after="120"/>
              <w:textAlignment w:val="baseline"/>
              <w:rPr>
                <w:lang w:val="en-US" w:eastAsia="zh-CN"/>
              </w:rPr>
            </w:pPr>
            <w:r w:rsidRPr="00413E60">
              <w:rPr>
                <w:lang w:val="en-US" w:eastAsia="zh-CN"/>
              </w:rPr>
              <w:t xml:space="preserve">One set of side conditions to meet accuracy for UE in serving as well as in neighbour cells </w:t>
            </w:r>
          </w:p>
          <w:p w:rsidR="00413E60" w:rsidRPr="00413E60" w:rsidRDefault="00413E60" w:rsidP="00413E60">
            <w:pPr>
              <w:numPr>
                <w:ilvl w:val="1"/>
                <w:numId w:val="37"/>
              </w:numPr>
              <w:overflowPunct w:val="0"/>
              <w:autoSpaceDE w:val="0"/>
              <w:autoSpaceDN w:val="0"/>
              <w:adjustRightInd w:val="0"/>
              <w:spacing w:before="120" w:after="120"/>
              <w:textAlignment w:val="baseline"/>
              <w:rPr>
                <w:lang w:val="en-US" w:eastAsia="zh-CN"/>
              </w:rPr>
            </w:pPr>
            <w:r w:rsidRPr="00413E60">
              <w:rPr>
                <w:lang w:val="en-US" w:eastAsia="zh-CN"/>
              </w:rPr>
              <w:t xml:space="preserve">Option 2: </w:t>
            </w:r>
          </w:p>
          <w:p w:rsidR="00413E60" w:rsidRPr="00413E60" w:rsidRDefault="00413E60" w:rsidP="00413E60">
            <w:pPr>
              <w:numPr>
                <w:ilvl w:val="2"/>
                <w:numId w:val="37"/>
              </w:numPr>
              <w:overflowPunct w:val="0"/>
              <w:autoSpaceDE w:val="0"/>
              <w:autoSpaceDN w:val="0"/>
              <w:adjustRightInd w:val="0"/>
              <w:spacing w:before="120" w:after="120"/>
              <w:textAlignment w:val="baseline"/>
              <w:rPr>
                <w:lang w:val="en-US" w:eastAsia="zh-CN"/>
              </w:rPr>
            </w:pPr>
            <w:r w:rsidRPr="00413E60">
              <w:rPr>
                <w:lang w:val="en-US" w:eastAsia="zh-CN"/>
              </w:rPr>
              <w:t xml:space="preserve">Separate side conditions to meet accuracy for UE in serving and for UE in neighbour cells </w:t>
            </w:r>
          </w:p>
          <w:p w:rsidR="00413E60" w:rsidRPr="00413E60" w:rsidRDefault="00413E60" w:rsidP="00413E60">
            <w:pPr>
              <w:numPr>
                <w:ilvl w:val="0"/>
                <w:numId w:val="37"/>
              </w:numPr>
              <w:overflowPunct w:val="0"/>
              <w:autoSpaceDE w:val="0"/>
              <w:autoSpaceDN w:val="0"/>
              <w:adjustRightInd w:val="0"/>
              <w:spacing w:before="120" w:after="120"/>
              <w:textAlignment w:val="baseline"/>
              <w:rPr>
                <w:lang w:val="en-US" w:eastAsia="zh-CN"/>
              </w:rPr>
            </w:pPr>
            <w:r w:rsidRPr="00413E60">
              <w:rPr>
                <w:lang w:val="en-US" w:eastAsia="zh-CN"/>
              </w:rPr>
              <w:t>Issue-2: FFS: Methodology for deriving gNB positioning measurement accuracy.</w:t>
            </w:r>
          </w:p>
          <w:p w:rsidR="00413E60" w:rsidRPr="00413E60" w:rsidRDefault="00413E60" w:rsidP="00413E60">
            <w:pPr>
              <w:numPr>
                <w:ilvl w:val="1"/>
                <w:numId w:val="37"/>
              </w:numPr>
              <w:overflowPunct w:val="0"/>
              <w:autoSpaceDE w:val="0"/>
              <w:autoSpaceDN w:val="0"/>
              <w:adjustRightInd w:val="0"/>
              <w:spacing w:before="120" w:after="120"/>
              <w:textAlignment w:val="baseline"/>
              <w:rPr>
                <w:lang w:val="en-US" w:eastAsia="zh-CN"/>
              </w:rPr>
            </w:pPr>
            <w:r w:rsidRPr="00413E60">
              <w:rPr>
                <w:lang w:eastAsia="zh-CN"/>
              </w:rPr>
              <w:t>Candidate options for deriving side conditions:</w:t>
            </w:r>
          </w:p>
          <w:p w:rsidR="00413E60" w:rsidRPr="00413E60" w:rsidRDefault="00413E60" w:rsidP="00413E60">
            <w:pPr>
              <w:numPr>
                <w:ilvl w:val="2"/>
                <w:numId w:val="37"/>
              </w:numPr>
              <w:overflowPunct w:val="0"/>
              <w:autoSpaceDE w:val="0"/>
              <w:autoSpaceDN w:val="0"/>
              <w:adjustRightInd w:val="0"/>
              <w:spacing w:before="120" w:after="120"/>
              <w:textAlignment w:val="baseline"/>
              <w:rPr>
                <w:lang w:val="en-US" w:eastAsia="zh-CN"/>
              </w:rPr>
            </w:pPr>
            <w:r w:rsidRPr="00413E60">
              <w:rPr>
                <w:lang w:val="en-US" w:eastAsia="zh-CN"/>
              </w:rPr>
              <w:t xml:space="preserve">Option 1: </w:t>
            </w:r>
          </w:p>
          <w:p w:rsidR="00413E60" w:rsidRPr="00413E60" w:rsidRDefault="00413E60" w:rsidP="00413E60">
            <w:pPr>
              <w:numPr>
                <w:ilvl w:val="3"/>
                <w:numId w:val="37"/>
              </w:numPr>
              <w:overflowPunct w:val="0"/>
              <w:autoSpaceDE w:val="0"/>
              <w:autoSpaceDN w:val="0"/>
              <w:adjustRightInd w:val="0"/>
              <w:spacing w:before="120" w:after="120"/>
              <w:textAlignment w:val="baseline"/>
              <w:rPr>
                <w:lang w:val="en-US" w:eastAsia="zh-CN"/>
              </w:rPr>
            </w:pPr>
            <w:r w:rsidRPr="00413E60">
              <w:rPr>
                <w:lang w:val="en-US" w:eastAsia="zh-CN"/>
              </w:rPr>
              <w:t>Side conditions based on clause 7.2, TS 36.111</w:t>
            </w:r>
          </w:p>
          <w:p w:rsidR="00413E60" w:rsidRPr="00413E60" w:rsidRDefault="00413E60" w:rsidP="00413E60">
            <w:pPr>
              <w:numPr>
                <w:ilvl w:val="2"/>
                <w:numId w:val="37"/>
              </w:numPr>
              <w:overflowPunct w:val="0"/>
              <w:autoSpaceDE w:val="0"/>
              <w:autoSpaceDN w:val="0"/>
              <w:adjustRightInd w:val="0"/>
              <w:spacing w:before="120" w:after="120"/>
              <w:textAlignment w:val="baseline"/>
              <w:rPr>
                <w:lang w:val="en-US" w:eastAsia="zh-CN"/>
              </w:rPr>
            </w:pPr>
            <w:r w:rsidRPr="00413E60">
              <w:rPr>
                <w:lang w:val="en-US" w:eastAsia="zh-CN"/>
              </w:rPr>
              <w:t xml:space="preserve">Option 2:  </w:t>
            </w:r>
          </w:p>
          <w:p w:rsidR="00413E60" w:rsidRPr="00413E60" w:rsidRDefault="00413E60" w:rsidP="00413E60">
            <w:pPr>
              <w:numPr>
                <w:ilvl w:val="3"/>
                <w:numId w:val="37"/>
              </w:numPr>
              <w:overflowPunct w:val="0"/>
              <w:autoSpaceDE w:val="0"/>
              <w:autoSpaceDN w:val="0"/>
              <w:adjustRightInd w:val="0"/>
              <w:spacing w:before="120" w:after="120"/>
              <w:textAlignment w:val="baseline"/>
              <w:rPr>
                <w:lang w:val="en-US" w:eastAsia="zh-CN"/>
              </w:rPr>
            </w:pPr>
            <w:r w:rsidRPr="00413E60">
              <w:rPr>
                <w:lang w:val="en-US" w:eastAsia="zh-CN"/>
              </w:rPr>
              <w:t>Side conditions derived from system simulations</w:t>
            </w:r>
          </w:p>
        </w:tc>
      </w:tr>
    </w:tbl>
    <w:p w:rsidR="00413E60" w:rsidRDefault="00413E60" w:rsidP="00413E60">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lastRenderedPageBreak/>
        <w:t>W</w:t>
      </w:r>
      <w:r>
        <w:rPr>
          <w:rFonts w:eastAsiaTheme="minorEastAsia"/>
          <w:lang w:eastAsia="zh-CN"/>
        </w:rPr>
        <w:t>e have provided some preliminary system level simulation results in our companion paper [2]. The observations are reproduced here</w:t>
      </w:r>
    </w:p>
    <w:tbl>
      <w:tblPr>
        <w:tblStyle w:val="af4"/>
        <w:tblW w:w="0" w:type="auto"/>
        <w:tblLook w:val="04A0" w:firstRow="1" w:lastRow="0" w:firstColumn="1" w:lastColumn="0" w:noHBand="0" w:noVBand="1"/>
      </w:tblPr>
      <w:tblGrid>
        <w:gridCol w:w="9621"/>
      </w:tblGrid>
      <w:tr w:rsidR="00413E60" w:rsidTr="00413E60">
        <w:tc>
          <w:tcPr>
            <w:tcW w:w="9621" w:type="dxa"/>
          </w:tcPr>
          <w:p w:rsidR="00413E60" w:rsidRPr="00826404" w:rsidRDefault="00413E60" w:rsidP="00413E60">
            <w:pPr>
              <w:spacing w:before="120" w:after="120"/>
              <w:rPr>
                <w:rFonts w:eastAsiaTheme="minorEastAsia"/>
                <w:b/>
                <w:lang w:eastAsia="zh-CN"/>
              </w:rPr>
            </w:pPr>
            <w:r w:rsidRPr="00826404">
              <w:rPr>
                <w:rFonts w:eastAsiaTheme="minorEastAsia" w:hint="eastAsia"/>
                <w:b/>
                <w:lang w:eastAsia="zh-CN"/>
              </w:rPr>
              <w:t>O</w:t>
            </w:r>
            <w:r w:rsidRPr="00826404">
              <w:rPr>
                <w:rFonts w:eastAsiaTheme="minorEastAsia"/>
                <w:b/>
                <w:lang w:eastAsia="zh-CN"/>
              </w:rPr>
              <w:t>bservation 1: the Es/Iot condition is quite dependent on the deployment scenario</w:t>
            </w:r>
          </w:p>
          <w:p w:rsidR="00413E60" w:rsidRPr="00826404" w:rsidRDefault="00413E60" w:rsidP="00413E60">
            <w:pPr>
              <w:spacing w:before="120" w:after="120"/>
              <w:rPr>
                <w:rFonts w:eastAsiaTheme="minorEastAsia"/>
                <w:b/>
                <w:lang w:eastAsia="zh-CN"/>
              </w:rPr>
            </w:pPr>
            <w:r w:rsidRPr="00826404">
              <w:rPr>
                <w:rFonts w:eastAsiaTheme="minorEastAsia" w:hint="eastAsia"/>
                <w:b/>
                <w:lang w:eastAsia="zh-CN"/>
              </w:rPr>
              <w:t>O</w:t>
            </w:r>
            <w:r w:rsidRPr="00826404">
              <w:rPr>
                <w:rFonts w:eastAsiaTheme="minorEastAsia"/>
                <w:b/>
                <w:lang w:eastAsia="zh-CN"/>
              </w:rPr>
              <w:t xml:space="preserve">bservation </w:t>
            </w:r>
            <w:r>
              <w:rPr>
                <w:rFonts w:eastAsiaTheme="minorEastAsia"/>
                <w:b/>
                <w:lang w:eastAsia="zh-CN"/>
              </w:rPr>
              <w:t>2</w:t>
            </w:r>
            <w:r w:rsidRPr="00826404">
              <w:rPr>
                <w:rFonts w:eastAsiaTheme="minorEastAsia"/>
                <w:b/>
                <w:lang w:eastAsia="zh-CN"/>
              </w:rPr>
              <w:t>: the Es/Iot condition is quite dependent on the</w:t>
            </w:r>
            <w:r>
              <w:rPr>
                <w:rFonts w:eastAsiaTheme="minorEastAsia"/>
                <w:b/>
                <w:lang w:eastAsia="zh-CN"/>
              </w:rPr>
              <w:t xml:space="preserve"> interference assumption</w:t>
            </w:r>
          </w:p>
          <w:p w:rsidR="00413E60" w:rsidRPr="00413E60" w:rsidRDefault="00413E60" w:rsidP="00413E60">
            <w:pPr>
              <w:spacing w:before="120" w:after="120"/>
              <w:rPr>
                <w:rFonts w:eastAsiaTheme="minorEastAsia"/>
                <w:b/>
                <w:lang w:eastAsia="zh-CN"/>
              </w:rPr>
            </w:pPr>
            <w:r w:rsidRPr="003F115D">
              <w:rPr>
                <w:rFonts w:eastAsiaTheme="minorEastAsia"/>
                <w:b/>
                <w:lang w:eastAsia="zh-CN"/>
              </w:rPr>
              <w:t xml:space="preserve">Observation 3: the Es/Iot condition is also </w:t>
            </w:r>
            <w:r>
              <w:rPr>
                <w:rFonts w:eastAsiaTheme="minorEastAsia"/>
                <w:b/>
                <w:lang w:eastAsia="zh-CN"/>
              </w:rPr>
              <w:t>different</w:t>
            </w:r>
            <w:r w:rsidRPr="003F115D">
              <w:rPr>
                <w:rFonts w:eastAsiaTheme="minorEastAsia"/>
                <w:b/>
                <w:lang w:eastAsia="zh-CN"/>
              </w:rPr>
              <w:t xml:space="preserve"> </w:t>
            </w:r>
            <w:r>
              <w:rPr>
                <w:rFonts w:eastAsiaTheme="minorEastAsia"/>
                <w:b/>
                <w:lang w:eastAsia="zh-CN"/>
              </w:rPr>
              <w:t xml:space="preserve">for different </w:t>
            </w:r>
            <w:r w:rsidRPr="003F115D">
              <w:rPr>
                <w:rFonts w:eastAsiaTheme="minorEastAsia"/>
                <w:b/>
                <w:lang w:eastAsia="zh-CN"/>
              </w:rPr>
              <w:t>cell</w:t>
            </w:r>
            <w:r>
              <w:rPr>
                <w:rFonts w:eastAsiaTheme="minorEastAsia"/>
                <w:b/>
                <w:lang w:eastAsia="zh-CN"/>
              </w:rPr>
              <w:t>s</w:t>
            </w:r>
          </w:p>
        </w:tc>
      </w:tr>
    </w:tbl>
    <w:p w:rsidR="00413E60" w:rsidRDefault="00413E60" w:rsidP="00413E60">
      <w:pPr>
        <w:overflowPunct w:val="0"/>
        <w:autoSpaceDE w:val="0"/>
        <w:autoSpaceDN w:val="0"/>
        <w:adjustRightInd w:val="0"/>
        <w:spacing w:before="120" w:after="120"/>
        <w:textAlignment w:val="baseline"/>
        <w:rPr>
          <w:lang w:eastAsia="zh-CN"/>
        </w:rPr>
      </w:pPr>
      <w:r>
        <w:rPr>
          <w:rFonts w:eastAsiaTheme="minorEastAsia"/>
          <w:lang w:eastAsia="zh-CN"/>
        </w:rPr>
        <w:t xml:space="preserve">Based on the observations, and also considering the fact that </w:t>
      </w:r>
      <w:r w:rsidRPr="00413E60">
        <w:rPr>
          <w:lang w:eastAsia="zh-CN"/>
        </w:rPr>
        <w:t>the link level performance is sensitive to Es/Iot conditions, it is meaningful to define more than one set of accuracy requirements for different Es/Iot side conditions</w:t>
      </w:r>
      <w:r>
        <w:rPr>
          <w:lang w:eastAsia="zh-CN"/>
        </w:rPr>
        <w:t xml:space="preserve"> corresponding to different deployment scenarios and interference coordination levels. </w:t>
      </w:r>
    </w:p>
    <w:p w:rsidR="00413E60" w:rsidRDefault="00413E60" w:rsidP="00413E60">
      <w:pPr>
        <w:overflowPunct w:val="0"/>
        <w:autoSpaceDE w:val="0"/>
        <w:autoSpaceDN w:val="0"/>
        <w:adjustRightInd w:val="0"/>
        <w:spacing w:before="120" w:after="120"/>
        <w:textAlignment w:val="baseline"/>
        <w:rPr>
          <w:rFonts w:eastAsia="宋体"/>
          <w:lang w:val="en-US" w:eastAsia="zh-CN"/>
        </w:rPr>
      </w:pPr>
      <w:r>
        <w:rPr>
          <w:lang w:eastAsia="zh-CN"/>
        </w:rPr>
        <w:t xml:space="preserve">However, we do not see a need to separate the requirements based on serving and neighbour cell. </w:t>
      </w:r>
      <w:r>
        <w:rPr>
          <w:rFonts w:eastAsia="宋体"/>
          <w:lang w:val="en-US" w:eastAsia="zh-CN"/>
        </w:rPr>
        <w:t xml:space="preserve">None of the positioning techniques that are relying on gNB measurement, can work if gNB can measure SRS from UE in the serving cell only. The ultimate positioning performance is limited by measurement of UE in neighbor cells, so defining a separate accuracy for serving cell UE would not help. </w:t>
      </w:r>
    </w:p>
    <w:p w:rsidR="00413E60" w:rsidRDefault="00413E60" w:rsidP="00413E60">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In addition, the performance is depending on the Es/Iot condition but not the cell type (serving or neighbor). Given the same Rx Es/Iot, the gNB should achieve same accuracy for a UE no matter if the UE is served by the gNB or by another neighbor gNB.</w:t>
      </w:r>
    </w:p>
    <w:p w:rsidR="00413E60" w:rsidRPr="00413E60" w:rsidRDefault="00413E60" w:rsidP="00413E60">
      <w:pPr>
        <w:overflowPunct w:val="0"/>
        <w:autoSpaceDE w:val="0"/>
        <w:autoSpaceDN w:val="0"/>
        <w:adjustRightInd w:val="0"/>
        <w:spacing w:before="120" w:after="120"/>
        <w:textAlignment w:val="baseline"/>
        <w:rPr>
          <w:lang w:eastAsia="zh-CN"/>
        </w:rPr>
      </w:pPr>
      <w:r>
        <w:rPr>
          <w:rFonts w:eastAsia="宋体"/>
          <w:lang w:val="en-US" w:eastAsia="zh-CN"/>
        </w:rPr>
        <w:t xml:space="preserve">On the exact value of the Es/Iot condition, our suggestion based on [2] is to </w:t>
      </w:r>
      <w:r w:rsidR="00B93A05">
        <w:rPr>
          <w:rFonts w:eastAsia="宋体"/>
          <w:lang w:val="en-US" w:eastAsia="zh-CN"/>
        </w:rPr>
        <w:t xml:space="preserve">define two levels at -15dB and 3dB respectively but we are open to further discuss. </w:t>
      </w:r>
    </w:p>
    <w:p w:rsidR="00413E60" w:rsidRDefault="00413E60" w:rsidP="00413E60">
      <w:pPr>
        <w:spacing w:before="120" w:after="120"/>
        <w:rPr>
          <w:rFonts w:eastAsiaTheme="minorEastAsia"/>
          <w:b/>
          <w:lang w:eastAsia="zh-CN"/>
        </w:rPr>
      </w:pPr>
      <w:r w:rsidRPr="00DD218A">
        <w:rPr>
          <w:rFonts w:eastAsiaTheme="minorEastAsia"/>
          <w:b/>
          <w:lang w:eastAsia="zh-CN"/>
        </w:rPr>
        <w:t xml:space="preserve">Proposal </w:t>
      </w:r>
      <w:r w:rsidR="00B93A05">
        <w:rPr>
          <w:rFonts w:eastAsiaTheme="minorEastAsia"/>
          <w:b/>
          <w:lang w:eastAsia="zh-CN"/>
        </w:rPr>
        <w:t>2</w:t>
      </w:r>
      <w:r w:rsidRPr="00DD218A">
        <w:rPr>
          <w:rFonts w:eastAsiaTheme="minorEastAsia"/>
          <w:b/>
          <w:lang w:eastAsia="zh-CN"/>
        </w:rPr>
        <w:t>: Define two sets of Es/Iot conditions for gNB positioning requirements at -15dB and 3dB</w:t>
      </w:r>
      <w:r w:rsidR="00B93A05">
        <w:rPr>
          <w:rFonts w:eastAsiaTheme="minorEastAsia"/>
          <w:b/>
          <w:lang w:eastAsia="zh-CN"/>
        </w:rPr>
        <w:t xml:space="preserve"> agnostic to cell type</w:t>
      </w:r>
      <w:r w:rsidRPr="00DD218A">
        <w:rPr>
          <w:rFonts w:eastAsiaTheme="minorEastAsia"/>
          <w:b/>
          <w:lang w:eastAsia="zh-CN"/>
        </w:rPr>
        <w:t xml:space="preserve">. </w:t>
      </w:r>
      <w:r w:rsidR="00B93A05">
        <w:rPr>
          <w:rFonts w:eastAsiaTheme="minorEastAsia"/>
          <w:b/>
          <w:lang w:eastAsia="zh-CN"/>
        </w:rPr>
        <w:t xml:space="preserve">No separate side conditions for serving cell and neighbour are defined. </w:t>
      </w:r>
    </w:p>
    <w:p w:rsidR="00246880" w:rsidRDefault="00246880" w:rsidP="00B93A05">
      <w:pPr>
        <w:pStyle w:val="2"/>
        <w:rPr>
          <w:lang w:eastAsia="zh-CN"/>
        </w:rPr>
      </w:pPr>
      <w:r>
        <w:rPr>
          <w:lang w:eastAsia="zh-CN"/>
        </w:rPr>
        <w:t>Beam configuration for gNB measurement accuracy</w:t>
      </w:r>
    </w:p>
    <w:tbl>
      <w:tblPr>
        <w:tblStyle w:val="af4"/>
        <w:tblW w:w="0" w:type="auto"/>
        <w:tblLook w:val="04A0" w:firstRow="1" w:lastRow="0" w:firstColumn="1" w:lastColumn="0" w:noHBand="0" w:noVBand="1"/>
      </w:tblPr>
      <w:tblGrid>
        <w:gridCol w:w="9621"/>
      </w:tblGrid>
      <w:tr w:rsidR="00B93A05" w:rsidTr="00B93A05">
        <w:tc>
          <w:tcPr>
            <w:tcW w:w="9621" w:type="dxa"/>
          </w:tcPr>
          <w:p w:rsidR="00025C03" w:rsidRPr="00B93A05" w:rsidRDefault="003701D3" w:rsidP="00B93A05">
            <w:pPr>
              <w:numPr>
                <w:ilvl w:val="0"/>
                <w:numId w:val="38"/>
              </w:numPr>
              <w:overflowPunct w:val="0"/>
              <w:autoSpaceDE w:val="0"/>
              <w:autoSpaceDN w:val="0"/>
              <w:adjustRightInd w:val="0"/>
              <w:spacing w:before="120" w:after="120"/>
              <w:textAlignment w:val="baseline"/>
              <w:rPr>
                <w:lang w:val="en-US" w:eastAsia="zh-CN"/>
              </w:rPr>
            </w:pPr>
            <w:r w:rsidRPr="00B93A05">
              <w:rPr>
                <w:lang w:val="en-US" w:eastAsia="zh-CN"/>
              </w:rPr>
              <w:t>FFS: Antenna beam configuration assumption in gNB for defining gNB positioning measurement accuracy.</w:t>
            </w:r>
          </w:p>
          <w:p w:rsidR="00025C03" w:rsidRPr="00B93A05" w:rsidRDefault="003701D3" w:rsidP="00B93A05">
            <w:pPr>
              <w:numPr>
                <w:ilvl w:val="0"/>
                <w:numId w:val="38"/>
              </w:numPr>
              <w:overflowPunct w:val="0"/>
              <w:autoSpaceDE w:val="0"/>
              <w:autoSpaceDN w:val="0"/>
              <w:adjustRightInd w:val="0"/>
              <w:spacing w:before="120" w:after="120"/>
              <w:textAlignment w:val="baseline"/>
              <w:rPr>
                <w:lang w:val="en-US" w:eastAsia="zh-CN"/>
              </w:rPr>
            </w:pPr>
            <w:r w:rsidRPr="00B93A05">
              <w:rPr>
                <w:lang w:eastAsia="zh-CN"/>
              </w:rPr>
              <w:t>Candidate options:</w:t>
            </w:r>
          </w:p>
          <w:p w:rsidR="00025C03" w:rsidRPr="00B93A05" w:rsidRDefault="003701D3" w:rsidP="00B93A05">
            <w:pPr>
              <w:numPr>
                <w:ilvl w:val="1"/>
                <w:numId w:val="38"/>
              </w:numPr>
              <w:overflowPunct w:val="0"/>
              <w:autoSpaceDE w:val="0"/>
              <w:autoSpaceDN w:val="0"/>
              <w:adjustRightInd w:val="0"/>
              <w:spacing w:before="120" w:after="120"/>
              <w:textAlignment w:val="baseline"/>
              <w:rPr>
                <w:lang w:val="en-US" w:eastAsia="zh-CN"/>
              </w:rPr>
            </w:pPr>
            <w:r w:rsidRPr="00B93A05">
              <w:rPr>
                <w:lang w:val="en-US" w:eastAsia="zh-CN"/>
              </w:rPr>
              <w:t xml:space="preserve">Option 1: </w:t>
            </w:r>
          </w:p>
          <w:p w:rsidR="00025C03" w:rsidRPr="00B93A05" w:rsidRDefault="003701D3" w:rsidP="00B93A05">
            <w:pPr>
              <w:numPr>
                <w:ilvl w:val="2"/>
                <w:numId w:val="38"/>
              </w:numPr>
              <w:overflowPunct w:val="0"/>
              <w:autoSpaceDE w:val="0"/>
              <w:autoSpaceDN w:val="0"/>
              <w:adjustRightInd w:val="0"/>
              <w:spacing w:before="120" w:after="120"/>
              <w:textAlignment w:val="baseline"/>
              <w:rPr>
                <w:lang w:val="en-US" w:eastAsia="zh-CN"/>
              </w:rPr>
            </w:pPr>
            <w:r w:rsidRPr="00B93A05">
              <w:rPr>
                <w:lang w:val="en-US" w:eastAsia="zh-CN"/>
              </w:rPr>
              <w:t>Fixed antenna beams are assumed in gNB for deriving accuracy</w:t>
            </w:r>
          </w:p>
          <w:p w:rsidR="00025C03" w:rsidRPr="00B93A05" w:rsidRDefault="003701D3" w:rsidP="00B93A05">
            <w:pPr>
              <w:numPr>
                <w:ilvl w:val="1"/>
                <w:numId w:val="38"/>
              </w:numPr>
              <w:overflowPunct w:val="0"/>
              <w:autoSpaceDE w:val="0"/>
              <w:autoSpaceDN w:val="0"/>
              <w:adjustRightInd w:val="0"/>
              <w:spacing w:before="120" w:after="120"/>
              <w:textAlignment w:val="baseline"/>
              <w:rPr>
                <w:lang w:val="en-US" w:eastAsia="zh-CN"/>
              </w:rPr>
            </w:pPr>
            <w:r w:rsidRPr="00B93A05">
              <w:rPr>
                <w:lang w:val="en-US" w:eastAsia="zh-CN"/>
              </w:rPr>
              <w:t xml:space="preserve">Option 2: </w:t>
            </w:r>
          </w:p>
          <w:p w:rsidR="00B93A05" w:rsidRPr="00B93A05" w:rsidRDefault="003701D3" w:rsidP="00B93A05">
            <w:pPr>
              <w:numPr>
                <w:ilvl w:val="2"/>
                <w:numId w:val="38"/>
              </w:numPr>
              <w:overflowPunct w:val="0"/>
              <w:autoSpaceDE w:val="0"/>
              <w:autoSpaceDN w:val="0"/>
              <w:adjustRightInd w:val="0"/>
              <w:spacing w:before="120" w:after="120"/>
              <w:textAlignment w:val="baseline"/>
              <w:rPr>
                <w:lang w:val="en-US" w:eastAsia="zh-CN"/>
              </w:rPr>
            </w:pPr>
            <w:r w:rsidRPr="00B93A05">
              <w:rPr>
                <w:lang w:val="en-US" w:eastAsia="zh-CN"/>
              </w:rPr>
              <w:t xml:space="preserve">Accuracy does not depend on antenna beam configuration in gNB i.e. do not assume fixed gNB antenna beams </w:t>
            </w:r>
          </w:p>
        </w:tc>
      </w:tr>
    </w:tbl>
    <w:p w:rsidR="00B93A05" w:rsidRDefault="00B93A05" w:rsidP="00B93A05">
      <w:pPr>
        <w:spacing w:before="120" w:after="120"/>
        <w:rPr>
          <w:rFonts w:eastAsia="宋体"/>
          <w:lang w:eastAsia="zh-CN"/>
        </w:rPr>
      </w:pPr>
      <w:r>
        <w:rPr>
          <w:rFonts w:eastAsia="宋体"/>
          <w:lang w:eastAsia="zh-CN"/>
        </w:rPr>
        <w:lastRenderedPageBreak/>
        <w:t>In our view, similar as for UL demodulation, gNB will do UL beam management and measure the UE SRS with different Rx beams for positioning measurement. How to form the Rx beams is up to gNB implementation. We do not see it necessary to assume fixed beams for gNB accuracy requirements. At least it is not clear to us how the requirements will be impacted by the assumption of fixed beam.</w:t>
      </w:r>
    </w:p>
    <w:p w:rsidR="00B93A05" w:rsidRDefault="00B93A05" w:rsidP="00B93A05">
      <w:pPr>
        <w:spacing w:before="120" w:after="120"/>
        <w:rPr>
          <w:rFonts w:eastAsia="宋体"/>
          <w:lang w:val="en-US" w:eastAsia="zh-CN"/>
        </w:rPr>
      </w:pPr>
      <w:r>
        <w:rPr>
          <w:rFonts w:eastAsia="宋体"/>
          <w:lang w:eastAsia="zh-CN"/>
        </w:rPr>
        <w:t>On the other hand, for the</w:t>
      </w:r>
      <w:r>
        <w:rPr>
          <w:rFonts w:eastAsia="宋体"/>
          <w:lang w:val="en-US" w:eastAsia="zh-CN"/>
        </w:rPr>
        <w:t xml:space="preserve"> testing we are open to discuss which direction is used in the test, and whether it should follow the same approach as RF tests (directional requirements are tested on declared beams).</w:t>
      </w:r>
    </w:p>
    <w:p w:rsidR="00B93A05" w:rsidRDefault="00B93A05" w:rsidP="00B93A05">
      <w:pPr>
        <w:spacing w:before="120" w:after="120"/>
        <w:rPr>
          <w:rFonts w:eastAsia="宋体"/>
          <w:b/>
          <w:lang w:eastAsia="zh-CN"/>
        </w:rPr>
      </w:pPr>
      <w:r>
        <w:rPr>
          <w:rFonts w:eastAsia="宋体"/>
          <w:b/>
          <w:lang w:val="en-US" w:eastAsia="zh-CN"/>
        </w:rPr>
        <w:t>Proposal 3: gNB accuracy requirements does not depend on antenna beam configuration in gNB. The testing direction can be further discussed for the tests.</w:t>
      </w:r>
    </w:p>
    <w:p w:rsidR="00246880" w:rsidRDefault="00246880" w:rsidP="00B93A05">
      <w:pPr>
        <w:pStyle w:val="2"/>
        <w:rPr>
          <w:lang w:eastAsia="zh-CN"/>
        </w:rPr>
      </w:pPr>
      <w:r>
        <w:rPr>
          <w:lang w:eastAsia="zh-CN"/>
        </w:rPr>
        <w:t xml:space="preserve">PRS/SRS configurations for gNB measurement accuracy </w:t>
      </w:r>
    </w:p>
    <w:tbl>
      <w:tblPr>
        <w:tblStyle w:val="af4"/>
        <w:tblW w:w="0" w:type="auto"/>
        <w:tblLook w:val="04A0" w:firstRow="1" w:lastRow="0" w:firstColumn="1" w:lastColumn="0" w:noHBand="0" w:noVBand="1"/>
      </w:tblPr>
      <w:tblGrid>
        <w:gridCol w:w="9621"/>
      </w:tblGrid>
      <w:tr w:rsidR="00B93A05" w:rsidTr="00B93A05">
        <w:tc>
          <w:tcPr>
            <w:tcW w:w="9621" w:type="dxa"/>
          </w:tcPr>
          <w:p w:rsidR="00025C03" w:rsidRPr="00B93A05" w:rsidRDefault="003701D3" w:rsidP="00B93A05">
            <w:pPr>
              <w:numPr>
                <w:ilvl w:val="0"/>
                <w:numId w:val="39"/>
              </w:numPr>
              <w:overflowPunct w:val="0"/>
              <w:autoSpaceDE w:val="0"/>
              <w:autoSpaceDN w:val="0"/>
              <w:adjustRightInd w:val="0"/>
              <w:spacing w:before="120" w:after="120"/>
              <w:textAlignment w:val="baseline"/>
              <w:rPr>
                <w:lang w:val="en-US" w:eastAsia="zh-CN"/>
              </w:rPr>
            </w:pPr>
            <w:r w:rsidRPr="00B93A05">
              <w:rPr>
                <w:lang w:val="en-US" w:eastAsia="zh-CN"/>
              </w:rPr>
              <w:t>SRS configurations for defining accuracy requirements are derived from link level simulations.</w:t>
            </w:r>
          </w:p>
          <w:p w:rsidR="00025C03" w:rsidRPr="00B93A05" w:rsidRDefault="003701D3" w:rsidP="00B93A05">
            <w:pPr>
              <w:numPr>
                <w:ilvl w:val="0"/>
                <w:numId w:val="39"/>
              </w:numPr>
              <w:overflowPunct w:val="0"/>
              <w:autoSpaceDE w:val="0"/>
              <w:autoSpaceDN w:val="0"/>
              <w:adjustRightInd w:val="0"/>
              <w:spacing w:before="120" w:after="120"/>
              <w:textAlignment w:val="baseline"/>
              <w:rPr>
                <w:lang w:val="en-US" w:eastAsia="zh-CN"/>
              </w:rPr>
            </w:pPr>
            <w:r w:rsidRPr="00B93A05">
              <w:rPr>
                <w:lang w:val="en-US" w:eastAsia="zh-CN"/>
              </w:rPr>
              <w:t>SRS configurations for which accuracy requirements are met are FFS.</w:t>
            </w:r>
          </w:p>
          <w:p w:rsidR="00025C03" w:rsidRPr="00B93A05" w:rsidRDefault="003701D3" w:rsidP="00B93A05">
            <w:pPr>
              <w:numPr>
                <w:ilvl w:val="0"/>
                <w:numId w:val="39"/>
              </w:numPr>
              <w:overflowPunct w:val="0"/>
              <w:autoSpaceDE w:val="0"/>
              <w:autoSpaceDN w:val="0"/>
              <w:adjustRightInd w:val="0"/>
              <w:spacing w:before="120" w:after="120"/>
              <w:textAlignment w:val="baseline"/>
              <w:rPr>
                <w:lang w:val="en-US" w:eastAsia="zh-CN"/>
              </w:rPr>
            </w:pPr>
            <w:r w:rsidRPr="00B93A05">
              <w:rPr>
                <w:lang w:val="en-US" w:eastAsia="zh-CN"/>
              </w:rPr>
              <w:t>gNB positioning measurement accuracy is defined based on the SRS BW.</w:t>
            </w:r>
          </w:p>
          <w:p w:rsidR="00025C03" w:rsidRPr="00B93A05" w:rsidRDefault="003701D3" w:rsidP="00B93A05">
            <w:pPr>
              <w:numPr>
                <w:ilvl w:val="0"/>
                <w:numId w:val="39"/>
              </w:numPr>
              <w:overflowPunct w:val="0"/>
              <w:autoSpaceDE w:val="0"/>
              <w:autoSpaceDN w:val="0"/>
              <w:adjustRightInd w:val="0"/>
              <w:spacing w:before="120" w:after="120"/>
              <w:textAlignment w:val="baseline"/>
              <w:rPr>
                <w:lang w:val="en-US" w:eastAsia="zh-CN"/>
              </w:rPr>
            </w:pPr>
            <w:r w:rsidRPr="00B93A05">
              <w:rPr>
                <w:lang w:val="en-US" w:eastAsia="zh-CN"/>
              </w:rPr>
              <w:t>FFS: Whether accuracy is defined and met for all or subset of SRS configurations:</w:t>
            </w:r>
          </w:p>
          <w:p w:rsidR="00025C03" w:rsidRPr="00B93A05" w:rsidRDefault="003701D3" w:rsidP="00B93A05">
            <w:pPr>
              <w:numPr>
                <w:ilvl w:val="0"/>
                <w:numId w:val="39"/>
              </w:numPr>
              <w:overflowPunct w:val="0"/>
              <w:autoSpaceDE w:val="0"/>
              <w:autoSpaceDN w:val="0"/>
              <w:adjustRightInd w:val="0"/>
              <w:spacing w:before="120" w:after="120"/>
              <w:textAlignment w:val="baseline"/>
              <w:rPr>
                <w:lang w:val="en-US" w:eastAsia="zh-CN"/>
              </w:rPr>
            </w:pPr>
            <w:r w:rsidRPr="00B93A05">
              <w:rPr>
                <w:lang w:val="en-US" w:eastAsia="zh-CN"/>
              </w:rPr>
              <w:t>Candidate options:</w:t>
            </w:r>
          </w:p>
          <w:p w:rsidR="00025C03" w:rsidRPr="00B93A05" w:rsidRDefault="003701D3" w:rsidP="00B93A05">
            <w:pPr>
              <w:numPr>
                <w:ilvl w:val="1"/>
                <w:numId w:val="39"/>
              </w:numPr>
              <w:overflowPunct w:val="0"/>
              <w:autoSpaceDE w:val="0"/>
              <w:autoSpaceDN w:val="0"/>
              <w:adjustRightInd w:val="0"/>
              <w:spacing w:before="120" w:after="120"/>
              <w:textAlignment w:val="baseline"/>
              <w:rPr>
                <w:lang w:val="en-US" w:eastAsia="zh-CN"/>
              </w:rPr>
            </w:pPr>
            <w:r w:rsidRPr="00B93A05">
              <w:rPr>
                <w:lang w:val="en-US" w:eastAsia="zh-CN"/>
              </w:rPr>
              <w:t xml:space="preserve">Option 1: </w:t>
            </w:r>
          </w:p>
          <w:p w:rsidR="00025C03" w:rsidRPr="00B93A05" w:rsidRDefault="003701D3" w:rsidP="00B93A05">
            <w:pPr>
              <w:numPr>
                <w:ilvl w:val="2"/>
                <w:numId w:val="39"/>
              </w:numPr>
              <w:overflowPunct w:val="0"/>
              <w:autoSpaceDE w:val="0"/>
              <w:autoSpaceDN w:val="0"/>
              <w:adjustRightInd w:val="0"/>
              <w:spacing w:before="120" w:after="120"/>
              <w:textAlignment w:val="baseline"/>
              <w:rPr>
                <w:lang w:val="en-US" w:eastAsia="zh-CN"/>
              </w:rPr>
            </w:pPr>
            <w:r w:rsidRPr="00B93A05">
              <w:rPr>
                <w:lang w:val="en-US" w:eastAsia="zh-CN"/>
              </w:rPr>
              <w:t>Accuracy is defined for all SRS configurations but is met only for subset of SRS configurations declared by the manufacturer</w:t>
            </w:r>
          </w:p>
          <w:p w:rsidR="00025C03" w:rsidRPr="00B93A05" w:rsidRDefault="003701D3" w:rsidP="00B93A05">
            <w:pPr>
              <w:numPr>
                <w:ilvl w:val="1"/>
                <w:numId w:val="39"/>
              </w:numPr>
              <w:overflowPunct w:val="0"/>
              <w:autoSpaceDE w:val="0"/>
              <w:autoSpaceDN w:val="0"/>
              <w:adjustRightInd w:val="0"/>
              <w:spacing w:before="120" w:after="120"/>
              <w:textAlignment w:val="baseline"/>
              <w:rPr>
                <w:lang w:val="en-US" w:eastAsia="zh-CN"/>
              </w:rPr>
            </w:pPr>
            <w:r w:rsidRPr="00B93A05">
              <w:rPr>
                <w:lang w:val="en-US" w:eastAsia="zh-CN"/>
              </w:rPr>
              <w:t xml:space="preserve">Option 2: </w:t>
            </w:r>
          </w:p>
          <w:p w:rsidR="00B93A05" w:rsidRPr="00B93A05" w:rsidRDefault="003701D3" w:rsidP="00B93A05">
            <w:pPr>
              <w:numPr>
                <w:ilvl w:val="2"/>
                <w:numId w:val="39"/>
              </w:numPr>
              <w:overflowPunct w:val="0"/>
              <w:autoSpaceDE w:val="0"/>
              <w:autoSpaceDN w:val="0"/>
              <w:adjustRightInd w:val="0"/>
              <w:spacing w:before="120" w:after="120"/>
              <w:textAlignment w:val="baseline"/>
              <w:rPr>
                <w:lang w:val="en-US" w:eastAsia="zh-CN"/>
              </w:rPr>
            </w:pPr>
            <w:r w:rsidRPr="00B93A05">
              <w:rPr>
                <w:lang w:val="en-US" w:eastAsia="zh-CN"/>
              </w:rPr>
              <w:t xml:space="preserve">Accuracy is defined and met for subset of SRS configurations. </w:t>
            </w:r>
          </w:p>
        </w:tc>
      </w:tr>
    </w:tbl>
    <w:p w:rsidR="00B93A05" w:rsidRDefault="00B93A05" w:rsidP="00B93A05">
      <w:pPr>
        <w:spacing w:before="120" w:after="120"/>
        <w:rPr>
          <w:rFonts w:cs="v5.0.0"/>
          <w:lang w:eastAsia="zh-CN"/>
        </w:rPr>
      </w:pPr>
      <w:r>
        <w:rPr>
          <w:rFonts w:eastAsia="宋体"/>
          <w:lang w:val="en-US" w:eastAsia="zh-CN"/>
        </w:rPr>
        <w:t xml:space="preserve">First of all, we should differentiate the requirements to be defined and requirements to be met by a gNB. In gNB demodulation, requirements are defined for a large set of configurations that are seen by operators and vendors as meaningful for deployment. For example, PRACH requirements are defined for many formats, i.e. format 0, </w:t>
      </w:r>
      <w:r>
        <w:rPr>
          <w:rFonts w:cs="v5.0.0"/>
          <w:lang w:eastAsia="zh-CN"/>
        </w:rPr>
        <w:t>A1, A2, A3, B4, C0, C2. However, it does not mean a gNB has to meet all of the requirements defined, instead it just meets the requirements for the PRACH formats it supports.</w:t>
      </w:r>
      <w:r>
        <w:rPr>
          <w:rFonts w:eastAsia="宋体" w:cs="v5.0.0"/>
          <w:lang w:eastAsia="zh-CN"/>
        </w:rPr>
        <w:t xml:space="preserve"> </w:t>
      </w:r>
      <w:r>
        <w:rPr>
          <w:rFonts w:cs="v5.0.0"/>
          <w:lang w:eastAsia="zh-CN"/>
        </w:rPr>
        <w:t xml:space="preserve">The same principle should also apply for gNB accuracy requirements. </w:t>
      </w:r>
    </w:p>
    <w:p w:rsidR="003F0658" w:rsidRDefault="00B93A05" w:rsidP="00B93A05">
      <w:pPr>
        <w:spacing w:before="120" w:after="120"/>
        <w:rPr>
          <w:rFonts w:eastAsia="宋体"/>
          <w:lang w:val="en-US" w:eastAsia="zh-CN"/>
        </w:rPr>
      </w:pPr>
      <w:r>
        <w:rPr>
          <w:rFonts w:eastAsia="宋体"/>
          <w:lang w:val="en-US" w:eastAsia="zh-CN"/>
        </w:rPr>
        <w:t xml:space="preserve">For requirements to be defined, we suggest to define requirements for a subset of SRS configurations. For UE side we agreed that the core requirements apply for all PRS configuration but accuracy requirements are defined for selected sets of PRS configuration. Using LTE as an example, RSTD accuracy is not defined for 1.4MHz and 1-SF PRS because the accuracy would be too bad to make sense. Based on similar principle, gNB accuracy requirements should also be defined for a subset of SRS configurations. </w:t>
      </w:r>
    </w:p>
    <w:p w:rsidR="00B93A05" w:rsidRDefault="00B93A05" w:rsidP="00B93A05">
      <w:pPr>
        <w:spacing w:before="120" w:after="120"/>
        <w:rPr>
          <w:rFonts w:eastAsia="宋体"/>
          <w:lang w:val="en-US" w:eastAsia="zh-CN"/>
        </w:rPr>
      </w:pPr>
      <w:r>
        <w:rPr>
          <w:rFonts w:eastAsia="宋体"/>
          <w:lang w:val="en-US" w:eastAsia="zh-CN"/>
        </w:rPr>
        <w:t xml:space="preserve">For the requirements to be met, of course it should be a subset of requirements defined. In addition, it may be subject to some gNB declaration. For example, a gNB not supporting 400MHz BW does not need to meet the (possible) requirements defined for SRS configuration with 400MHz BW. </w:t>
      </w:r>
    </w:p>
    <w:p w:rsidR="003F0658" w:rsidRPr="003F0658" w:rsidRDefault="003F0658" w:rsidP="00B93A05">
      <w:pPr>
        <w:spacing w:before="120" w:after="120"/>
        <w:rPr>
          <w:rFonts w:eastAsia="宋体"/>
          <w:lang w:val="en-US" w:eastAsia="zh-CN"/>
        </w:rPr>
      </w:pPr>
      <w:r>
        <w:rPr>
          <w:rFonts w:eastAsia="宋体"/>
          <w:lang w:val="en-US" w:eastAsia="zh-CN"/>
        </w:rPr>
        <w:t xml:space="preserve">On the exact configurations to define requirements, based on our link level results in [2], we suggest to </w:t>
      </w:r>
      <w:r w:rsidRPr="003F0658">
        <w:rPr>
          <w:rFonts w:eastAsia="宋体"/>
          <w:lang w:val="en-US" w:eastAsia="zh-CN"/>
        </w:rPr>
        <w:t>define accuracy requirements for multiple SRS BWs larger than 24 RB</w:t>
      </w:r>
      <w:r>
        <w:rPr>
          <w:rFonts w:eastAsia="宋体"/>
          <w:lang w:val="en-US" w:eastAsia="zh-CN"/>
        </w:rPr>
        <w:t xml:space="preserve"> and </w:t>
      </w:r>
      <w:r w:rsidRPr="003F0658">
        <w:rPr>
          <w:rFonts w:eastAsia="宋体"/>
          <w:lang w:val="en-US" w:eastAsia="zh-CN"/>
        </w:rPr>
        <w:t>define the accuracy requirements agnostic to comb and symbols size</w:t>
      </w:r>
      <w:r>
        <w:rPr>
          <w:rFonts w:eastAsia="宋体"/>
          <w:lang w:val="en-US" w:eastAsia="zh-CN"/>
        </w:rPr>
        <w:t>.</w:t>
      </w:r>
    </w:p>
    <w:p w:rsidR="003F0658" w:rsidRDefault="00B93A05" w:rsidP="00B93A05">
      <w:pPr>
        <w:spacing w:before="120" w:after="120"/>
        <w:rPr>
          <w:rFonts w:eastAsia="宋体"/>
          <w:b/>
          <w:lang w:val="en-US" w:eastAsia="zh-CN"/>
        </w:rPr>
      </w:pPr>
      <w:r>
        <w:rPr>
          <w:rFonts w:eastAsia="宋体"/>
          <w:b/>
          <w:lang w:val="en-US" w:eastAsia="zh-CN"/>
        </w:rPr>
        <w:t>Proposal 4: gNB accuracy requirements are defined for subset of SRS configurations.</w:t>
      </w:r>
    </w:p>
    <w:p w:rsidR="003F0658" w:rsidRPr="003F0658" w:rsidRDefault="003F0658" w:rsidP="003F0658">
      <w:pPr>
        <w:numPr>
          <w:ilvl w:val="0"/>
          <w:numId w:val="35"/>
        </w:numPr>
        <w:overflowPunct w:val="0"/>
        <w:autoSpaceDE w:val="0"/>
        <w:autoSpaceDN w:val="0"/>
        <w:adjustRightInd w:val="0"/>
        <w:spacing w:before="120" w:after="120"/>
        <w:textAlignment w:val="baseline"/>
        <w:rPr>
          <w:b/>
          <w:lang w:eastAsia="zh-CN"/>
        </w:rPr>
      </w:pPr>
      <w:r w:rsidRPr="003F0658">
        <w:rPr>
          <w:b/>
          <w:lang w:eastAsia="zh-CN"/>
        </w:rPr>
        <w:t>define accuracy requirements for multiple SRS BWs larger than 24 RB.</w:t>
      </w:r>
    </w:p>
    <w:p w:rsidR="003F0658" w:rsidRPr="003F0658" w:rsidRDefault="003F0658" w:rsidP="003F0658">
      <w:pPr>
        <w:numPr>
          <w:ilvl w:val="0"/>
          <w:numId w:val="35"/>
        </w:numPr>
        <w:overflowPunct w:val="0"/>
        <w:autoSpaceDE w:val="0"/>
        <w:autoSpaceDN w:val="0"/>
        <w:adjustRightInd w:val="0"/>
        <w:spacing w:before="120" w:after="120"/>
        <w:textAlignment w:val="baseline"/>
        <w:rPr>
          <w:b/>
          <w:lang w:eastAsia="zh-CN"/>
        </w:rPr>
      </w:pPr>
      <w:r w:rsidRPr="003F0658">
        <w:rPr>
          <w:b/>
          <w:lang w:eastAsia="zh-CN"/>
        </w:rPr>
        <w:t>define the accuracy requirements agnostic to comb and symbols size.</w:t>
      </w:r>
    </w:p>
    <w:p w:rsidR="00B93A05" w:rsidRDefault="00B93A05" w:rsidP="00B93A05">
      <w:pPr>
        <w:spacing w:before="120" w:after="120"/>
        <w:rPr>
          <w:rFonts w:eastAsia="宋体"/>
          <w:b/>
          <w:lang w:eastAsia="zh-CN"/>
        </w:rPr>
      </w:pPr>
      <w:r>
        <w:rPr>
          <w:rFonts w:eastAsia="宋体"/>
          <w:b/>
          <w:lang w:val="en-US" w:eastAsia="zh-CN"/>
        </w:rPr>
        <w:t>The accuracy requirements to be met for a certain gNB may be depending on gNB declaration.</w:t>
      </w:r>
    </w:p>
    <w:p w:rsidR="00246880" w:rsidRDefault="00246880" w:rsidP="003F0658">
      <w:pPr>
        <w:pStyle w:val="2"/>
        <w:rPr>
          <w:lang w:eastAsia="zh-CN"/>
        </w:rPr>
      </w:pPr>
      <w:r>
        <w:rPr>
          <w:lang w:eastAsia="zh-CN"/>
        </w:rPr>
        <w:t xml:space="preserve">Accuracy for different BS types (1-C, 1-H, 1-O, 2-O) </w:t>
      </w:r>
    </w:p>
    <w:tbl>
      <w:tblPr>
        <w:tblStyle w:val="af4"/>
        <w:tblW w:w="0" w:type="auto"/>
        <w:tblLook w:val="04A0" w:firstRow="1" w:lastRow="0" w:firstColumn="1" w:lastColumn="0" w:noHBand="0" w:noVBand="1"/>
      </w:tblPr>
      <w:tblGrid>
        <w:gridCol w:w="9621"/>
      </w:tblGrid>
      <w:tr w:rsidR="003F0658" w:rsidTr="003F0658">
        <w:tc>
          <w:tcPr>
            <w:tcW w:w="9621" w:type="dxa"/>
          </w:tcPr>
          <w:p w:rsidR="00025C03" w:rsidRPr="003F0658" w:rsidRDefault="003701D3" w:rsidP="003F0658">
            <w:pPr>
              <w:numPr>
                <w:ilvl w:val="0"/>
                <w:numId w:val="42"/>
              </w:numPr>
              <w:spacing w:before="120" w:after="120"/>
            </w:pPr>
            <w:r w:rsidRPr="003F0658">
              <w:t>gNB positioning measurement accuracy requirement depends on BS type (1-C, 1-H, 1-O, 2-O).</w:t>
            </w:r>
          </w:p>
          <w:p w:rsidR="003F0658" w:rsidRPr="003F0658" w:rsidRDefault="003701D3" w:rsidP="00246880">
            <w:pPr>
              <w:numPr>
                <w:ilvl w:val="1"/>
                <w:numId w:val="42"/>
              </w:numPr>
              <w:spacing w:before="120" w:after="120"/>
            </w:pPr>
            <w:r w:rsidRPr="003F0658">
              <w:lastRenderedPageBreak/>
              <w:t>Note: This issue can be further checked after the side condition is defined.</w:t>
            </w:r>
          </w:p>
        </w:tc>
      </w:tr>
    </w:tbl>
    <w:p w:rsidR="003F0658" w:rsidRDefault="003F0658" w:rsidP="003F0658">
      <w:pPr>
        <w:spacing w:before="120" w:after="120"/>
        <w:rPr>
          <w:rFonts w:eastAsia="宋体"/>
          <w:lang w:val="en-US" w:eastAsia="zh-CN"/>
        </w:rPr>
      </w:pPr>
      <w:r>
        <w:rPr>
          <w:rFonts w:eastAsia="宋体"/>
          <w:lang w:val="en-US" w:eastAsia="zh-CN"/>
        </w:rPr>
        <w:lastRenderedPageBreak/>
        <w:t xml:space="preserve">We believe gNB measurement accuracy will depend on the gNB types due to different implementation margin in the measurement. For example, for timing measurement, the calibration error for the group delay between the antenna and the baseband may be different for different gNB types. Similar difference may exists for the RF calibration error for the power measurement. </w:t>
      </w:r>
    </w:p>
    <w:p w:rsidR="00246880" w:rsidRPr="003F0658" w:rsidRDefault="003F0658" w:rsidP="00246880">
      <w:pPr>
        <w:spacing w:before="120" w:after="120"/>
        <w:rPr>
          <w:rFonts w:eastAsiaTheme="minorEastAsia"/>
          <w:b/>
          <w:lang w:val="en-US" w:eastAsia="zh-CN"/>
        </w:rPr>
      </w:pPr>
      <w:r w:rsidRPr="003F0658">
        <w:rPr>
          <w:rFonts w:eastAsiaTheme="minorEastAsia" w:hint="eastAsia"/>
          <w:b/>
          <w:lang w:val="en-US" w:eastAsia="zh-CN"/>
        </w:rPr>
        <w:t>P</w:t>
      </w:r>
      <w:r w:rsidRPr="003F0658">
        <w:rPr>
          <w:rFonts w:eastAsiaTheme="minorEastAsia"/>
          <w:b/>
          <w:lang w:val="en-US" w:eastAsia="zh-CN"/>
        </w:rPr>
        <w:t xml:space="preserve">roposal 5: RAN4 to discuss the </w:t>
      </w:r>
      <w:r w:rsidRPr="003F0658">
        <w:rPr>
          <w:rFonts w:eastAsia="宋体"/>
          <w:b/>
          <w:lang w:val="en-US" w:eastAsia="zh-CN"/>
        </w:rPr>
        <w:t>calibration error for the group delay and RSRP calibration error for different gNb types.</w:t>
      </w:r>
    </w:p>
    <w:p w:rsidR="00C3788F" w:rsidRDefault="00C3788F" w:rsidP="00C3788F">
      <w:pPr>
        <w:pStyle w:val="1"/>
        <w:jc w:val="both"/>
        <w:rPr>
          <w:lang w:val="en-US"/>
        </w:rPr>
      </w:pPr>
      <w:r>
        <w:rPr>
          <w:lang w:val="en-US"/>
        </w:rPr>
        <w:t>Conclusions</w:t>
      </w:r>
    </w:p>
    <w:p w:rsidR="00A741FD" w:rsidRDefault="00A741FD" w:rsidP="00A741FD">
      <w:pPr>
        <w:spacing w:before="120" w:after="120"/>
        <w:rPr>
          <w:rFonts w:eastAsia="宋体"/>
          <w:lang w:eastAsia="zh-CN"/>
        </w:rPr>
      </w:pPr>
      <w:r>
        <w:rPr>
          <w:rFonts w:eastAsia="宋体"/>
          <w:lang w:eastAsia="zh-CN"/>
        </w:rPr>
        <w:t xml:space="preserve">In this paper we provided our views </w:t>
      </w:r>
      <w:r w:rsidR="003F0658" w:rsidRPr="00246880">
        <w:rPr>
          <w:rFonts w:eastAsia="宋体"/>
          <w:lang w:eastAsia="zh-CN"/>
        </w:rPr>
        <w:t>on the remaining open issu</w:t>
      </w:r>
      <w:r w:rsidR="003F0658">
        <w:rPr>
          <w:rFonts w:eastAsia="宋体"/>
          <w:lang w:eastAsia="zh-CN"/>
        </w:rPr>
        <w:t>es in gNB accuracy requirements</w:t>
      </w:r>
      <w:r>
        <w:rPr>
          <w:rFonts w:eastAsia="宋体"/>
          <w:lang w:eastAsia="zh-CN"/>
        </w:rPr>
        <w:t>.</w:t>
      </w:r>
    </w:p>
    <w:p w:rsidR="003F0658" w:rsidRDefault="003F0658" w:rsidP="003F0658">
      <w:pPr>
        <w:spacing w:before="120" w:after="120"/>
        <w:rPr>
          <w:rFonts w:eastAsiaTheme="minorEastAsia"/>
          <w:lang w:eastAsia="zh-CN"/>
        </w:rPr>
      </w:pPr>
      <w:r>
        <w:rPr>
          <w:rFonts w:eastAsia="宋体"/>
          <w:b/>
          <w:lang w:val="en-US" w:eastAsia="zh-CN"/>
        </w:rPr>
        <w:t xml:space="preserve">Proposal 1: </w:t>
      </w:r>
      <w:r>
        <w:rPr>
          <w:b/>
        </w:rPr>
        <w:t>If a gNB declares support of a positioning technique, it should be able to meet the accuracy requirements defined for the corresponding measurement.</w:t>
      </w:r>
    </w:p>
    <w:p w:rsidR="003F0658" w:rsidRDefault="003F0658" w:rsidP="003F0658">
      <w:pPr>
        <w:spacing w:before="120" w:after="120"/>
        <w:rPr>
          <w:rFonts w:eastAsiaTheme="minorEastAsia"/>
          <w:b/>
          <w:lang w:eastAsia="zh-CN"/>
        </w:rPr>
      </w:pPr>
      <w:r w:rsidRPr="00DD218A">
        <w:rPr>
          <w:rFonts w:eastAsiaTheme="minorEastAsia"/>
          <w:b/>
          <w:lang w:eastAsia="zh-CN"/>
        </w:rPr>
        <w:t xml:space="preserve">Proposal </w:t>
      </w:r>
      <w:r>
        <w:rPr>
          <w:rFonts w:eastAsiaTheme="minorEastAsia"/>
          <w:b/>
          <w:lang w:eastAsia="zh-CN"/>
        </w:rPr>
        <w:t>2</w:t>
      </w:r>
      <w:r w:rsidRPr="00DD218A">
        <w:rPr>
          <w:rFonts w:eastAsiaTheme="minorEastAsia"/>
          <w:b/>
          <w:lang w:eastAsia="zh-CN"/>
        </w:rPr>
        <w:t>: Define two sets of Es/Iot conditions for gNB positioning requirements at -15dB and 3dB</w:t>
      </w:r>
      <w:r>
        <w:rPr>
          <w:rFonts w:eastAsiaTheme="minorEastAsia"/>
          <w:b/>
          <w:lang w:eastAsia="zh-CN"/>
        </w:rPr>
        <w:t xml:space="preserve"> agnostic to cell type</w:t>
      </w:r>
      <w:r w:rsidRPr="00DD218A">
        <w:rPr>
          <w:rFonts w:eastAsiaTheme="minorEastAsia"/>
          <w:b/>
          <w:lang w:eastAsia="zh-CN"/>
        </w:rPr>
        <w:t xml:space="preserve">. </w:t>
      </w:r>
      <w:r>
        <w:rPr>
          <w:rFonts w:eastAsiaTheme="minorEastAsia"/>
          <w:b/>
          <w:lang w:eastAsia="zh-CN"/>
        </w:rPr>
        <w:t xml:space="preserve">No separate side conditions for serving cell and neighbour are defined. </w:t>
      </w:r>
    </w:p>
    <w:p w:rsidR="003F0658" w:rsidRDefault="003F0658" w:rsidP="003F0658">
      <w:pPr>
        <w:spacing w:before="120" w:after="120"/>
        <w:rPr>
          <w:rFonts w:eastAsia="宋体"/>
          <w:b/>
          <w:lang w:eastAsia="zh-CN"/>
        </w:rPr>
      </w:pPr>
      <w:r>
        <w:rPr>
          <w:rFonts w:eastAsia="宋体"/>
          <w:b/>
          <w:lang w:val="en-US" w:eastAsia="zh-CN"/>
        </w:rPr>
        <w:t>Proposal 3: gNB accuracy requirements does not depend on antenna beam configuration in gNB. The testing direction can be further discussed for the tests.</w:t>
      </w:r>
    </w:p>
    <w:p w:rsidR="003F0658" w:rsidRDefault="003F0658" w:rsidP="003F0658">
      <w:pPr>
        <w:spacing w:before="120" w:after="120"/>
        <w:rPr>
          <w:rFonts w:eastAsia="宋体"/>
          <w:b/>
          <w:lang w:val="en-US" w:eastAsia="zh-CN"/>
        </w:rPr>
      </w:pPr>
      <w:r>
        <w:rPr>
          <w:rFonts w:eastAsia="宋体"/>
          <w:b/>
          <w:lang w:val="en-US" w:eastAsia="zh-CN"/>
        </w:rPr>
        <w:t>Proposal 4: gNB accuracy requirements are defined for subset of SRS configurations.</w:t>
      </w:r>
    </w:p>
    <w:p w:rsidR="003F0658" w:rsidRPr="003F0658" w:rsidRDefault="003F0658" w:rsidP="003F0658">
      <w:pPr>
        <w:numPr>
          <w:ilvl w:val="0"/>
          <w:numId w:val="35"/>
        </w:numPr>
        <w:overflowPunct w:val="0"/>
        <w:autoSpaceDE w:val="0"/>
        <w:autoSpaceDN w:val="0"/>
        <w:adjustRightInd w:val="0"/>
        <w:spacing w:before="120" w:after="120"/>
        <w:textAlignment w:val="baseline"/>
        <w:rPr>
          <w:b/>
          <w:lang w:eastAsia="zh-CN"/>
        </w:rPr>
      </w:pPr>
      <w:r w:rsidRPr="003F0658">
        <w:rPr>
          <w:b/>
          <w:lang w:eastAsia="zh-CN"/>
        </w:rPr>
        <w:t>define accuracy requirements for multiple SRS BWs larger than 24 RB.</w:t>
      </w:r>
    </w:p>
    <w:p w:rsidR="003F0658" w:rsidRPr="003F0658" w:rsidRDefault="003F0658" w:rsidP="003F0658">
      <w:pPr>
        <w:numPr>
          <w:ilvl w:val="0"/>
          <w:numId w:val="35"/>
        </w:numPr>
        <w:overflowPunct w:val="0"/>
        <w:autoSpaceDE w:val="0"/>
        <w:autoSpaceDN w:val="0"/>
        <w:adjustRightInd w:val="0"/>
        <w:spacing w:before="120" w:after="120"/>
        <w:textAlignment w:val="baseline"/>
        <w:rPr>
          <w:b/>
          <w:lang w:eastAsia="zh-CN"/>
        </w:rPr>
      </w:pPr>
      <w:r w:rsidRPr="003F0658">
        <w:rPr>
          <w:b/>
          <w:lang w:eastAsia="zh-CN"/>
        </w:rPr>
        <w:t>define the accuracy requirements agnostic to comb and symbols size.</w:t>
      </w:r>
    </w:p>
    <w:p w:rsidR="003F0658" w:rsidRDefault="003F0658" w:rsidP="003F0658">
      <w:pPr>
        <w:spacing w:before="120" w:after="120"/>
        <w:rPr>
          <w:rFonts w:eastAsia="宋体"/>
          <w:b/>
          <w:lang w:eastAsia="zh-CN"/>
        </w:rPr>
      </w:pPr>
      <w:r>
        <w:rPr>
          <w:rFonts w:eastAsia="宋体"/>
          <w:b/>
          <w:lang w:val="en-US" w:eastAsia="zh-CN"/>
        </w:rPr>
        <w:t>The accuracy requirements to be met for a certain gNB may be depending on gNB declaration.</w:t>
      </w:r>
    </w:p>
    <w:p w:rsidR="00610113" w:rsidRPr="003F0658" w:rsidRDefault="003F0658" w:rsidP="003F0658">
      <w:pPr>
        <w:spacing w:before="120" w:after="120"/>
        <w:rPr>
          <w:rFonts w:eastAsiaTheme="minorEastAsia"/>
          <w:b/>
          <w:lang w:val="en-US" w:eastAsia="zh-CN"/>
        </w:rPr>
      </w:pPr>
      <w:r w:rsidRPr="003F0658">
        <w:rPr>
          <w:rFonts w:eastAsiaTheme="minorEastAsia" w:hint="eastAsia"/>
          <w:b/>
          <w:lang w:val="en-US" w:eastAsia="zh-CN"/>
        </w:rPr>
        <w:t>P</w:t>
      </w:r>
      <w:r w:rsidRPr="003F0658">
        <w:rPr>
          <w:rFonts w:eastAsiaTheme="minorEastAsia"/>
          <w:b/>
          <w:lang w:val="en-US" w:eastAsia="zh-CN"/>
        </w:rPr>
        <w:t xml:space="preserve">roposal 5: RAN4 to discuss the </w:t>
      </w:r>
      <w:r w:rsidRPr="003F0658">
        <w:rPr>
          <w:rFonts w:eastAsia="宋体"/>
          <w:b/>
          <w:lang w:val="en-US" w:eastAsia="zh-CN"/>
        </w:rPr>
        <w:t>calibration error for the group delay and RSRP calibration error for different gNb types.</w:t>
      </w:r>
    </w:p>
    <w:p w:rsidR="00C0754F" w:rsidRDefault="00C0754F" w:rsidP="00C0754F">
      <w:pPr>
        <w:pStyle w:val="1"/>
        <w:jc w:val="both"/>
        <w:rPr>
          <w:lang w:val="en-US"/>
        </w:rPr>
      </w:pPr>
      <w:r w:rsidRPr="00C0754F">
        <w:rPr>
          <w:lang w:val="en-US"/>
        </w:rPr>
        <w:t>Reference</w:t>
      </w:r>
    </w:p>
    <w:p w:rsidR="00B71712" w:rsidRDefault="00A741FD" w:rsidP="00A741FD">
      <w:pPr>
        <w:numPr>
          <w:ilvl w:val="0"/>
          <w:numId w:val="5"/>
        </w:numPr>
        <w:spacing w:before="120" w:after="120"/>
        <w:rPr>
          <w:rFonts w:eastAsia="宋体"/>
          <w:lang w:eastAsia="zh-CN"/>
        </w:rPr>
      </w:pPr>
      <w:r w:rsidRPr="00A741FD">
        <w:rPr>
          <w:rFonts w:eastAsia="宋体"/>
          <w:lang w:val="en-US" w:eastAsia="zh-CN"/>
        </w:rPr>
        <w:t>R4-2012</w:t>
      </w:r>
      <w:r w:rsidR="00793D11">
        <w:rPr>
          <w:rFonts w:eastAsia="宋体"/>
          <w:lang w:val="en-US" w:eastAsia="zh-CN"/>
        </w:rPr>
        <w:t>302</w:t>
      </w:r>
      <w:r w:rsidR="00A83A1B">
        <w:rPr>
          <w:rFonts w:eastAsia="宋体"/>
          <w:lang w:val="en-US" w:eastAsia="zh-CN"/>
        </w:rPr>
        <w:t xml:space="preserve">, </w:t>
      </w:r>
      <w:r w:rsidRPr="00A741FD">
        <w:rPr>
          <w:rFonts w:eastAsia="宋体"/>
          <w:lang w:eastAsia="zh-CN"/>
        </w:rPr>
        <w:t>WF on gNB requirements for NR positioning</w:t>
      </w:r>
      <w:r w:rsidR="00A83A1B">
        <w:rPr>
          <w:rFonts w:eastAsia="宋体"/>
          <w:lang w:val="en-US" w:eastAsia="zh-CN"/>
        </w:rPr>
        <w:t xml:space="preserve">, </w:t>
      </w:r>
      <w:r w:rsidRPr="00A741FD">
        <w:rPr>
          <w:rFonts w:eastAsia="宋体"/>
          <w:lang w:eastAsia="zh-CN"/>
        </w:rPr>
        <w:t>Ericsson</w:t>
      </w:r>
    </w:p>
    <w:p w:rsidR="00413E60" w:rsidRDefault="00413E60" w:rsidP="00413E60">
      <w:pPr>
        <w:numPr>
          <w:ilvl w:val="0"/>
          <w:numId w:val="5"/>
        </w:numPr>
        <w:spacing w:before="120" w:after="120"/>
        <w:rPr>
          <w:rFonts w:eastAsia="宋体"/>
          <w:lang w:eastAsia="zh-CN"/>
        </w:rPr>
      </w:pPr>
      <w:r>
        <w:rPr>
          <w:rFonts w:eastAsia="宋体"/>
          <w:lang w:eastAsia="zh-CN"/>
        </w:rPr>
        <w:t>R4-201</w:t>
      </w:r>
      <w:r w:rsidR="005A4F8B">
        <w:rPr>
          <w:rFonts w:eastAsia="宋体"/>
          <w:lang w:eastAsia="zh-CN"/>
        </w:rPr>
        <w:t>5769</w:t>
      </w:r>
      <w:bookmarkStart w:id="0" w:name="_GoBack"/>
      <w:bookmarkEnd w:id="0"/>
      <w:r>
        <w:rPr>
          <w:rFonts w:eastAsia="宋体"/>
          <w:lang w:eastAsia="zh-CN"/>
        </w:rPr>
        <w:t xml:space="preserve">, </w:t>
      </w:r>
      <w:r w:rsidRPr="00413E60">
        <w:rPr>
          <w:rFonts w:eastAsia="宋体"/>
          <w:lang w:eastAsia="zh-CN"/>
        </w:rPr>
        <w:t>System and link level simulation results for gNB measurement requirements</w:t>
      </w:r>
      <w:r>
        <w:rPr>
          <w:rFonts w:eastAsia="宋体"/>
          <w:lang w:eastAsia="zh-CN"/>
        </w:rPr>
        <w:t xml:space="preserve">, </w:t>
      </w:r>
      <w:r w:rsidRPr="00413E60">
        <w:rPr>
          <w:rFonts w:eastAsia="宋体"/>
          <w:lang w:eastAsia="zh-CN"/>
        </w:rPr>
        <w:t>Huawei, HiSilicon</w:t>
      </w:r>
    </w:p>
    <w:p w:rsidR="00CD6297" w:rsidRPr="00793D11" w:rsidRDefault="00CD6297" w:rsidP="00CD6297">
      <w:pPr>
        <w:spacing w:before="120" w:after="120"/>
        <w:rPr>
          <w:rFonts w:eastAsia="宋体"/>
          <w:lang w:eastAsia="zh-CN"/>
        </w:rPr>
      </w:pPr>
    </w:p>
    <w:sectPr w:rsidR="00CD6297" w:rsidRPr="00793D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60B" w:rsidRDefault="00E3260B">
      <w:pPr>
        <w:spacing w:before="120" w:after="120"/>
      </w:pPr>
      <w:r>
        <w:separator/>
      </w:r>
    </w:p>
  </w:endnote>
  <w:endnote w:type="continuationSeparator" w:id="0">
    <w:p w:rsidR="00E3260B" w:rsidRDefault="00E3260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E60" w:rsidRDefault="00413E6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13E60" w:rsidRDefault="00413E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E60" w:rsidRDefault="00413E6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A4F8B">
      <w:rPr>
        <w:rStyle w:val="af1"/>
      </w:rPr>
      <w:t>4</w:t>
    </w:r>
    <w:r>
      <w:rPr>
        <w:rStyle w:val="af1"/>
      </w:rPr>
      <w:fldChar w:fldCharType="end"/>
    </w:r>
  </w:p>
  <w:p w:rsidR="00413E60" w:rsidRDefault="00413E6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60B" w:rsidRDefault="00E3260B">
      <w:pPr>
        <w:spacing w:before="120" w:after="120"/>
      </w:pPr>
      <w:r>
        <w:separator/>
      </w:r>
    </w:p>
  </w:footnote>
  <w:footnote w:type="continuationSeparator" w:id="0">
    <w:p w:rsidR="00E3260B" w:rsidRDefault="00E3260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142262"/>
    <w:multiLevelType w:val="hybridMultilevel"/>
    <w:tmpl w:val="7E20EF30"/>
    <w:lvl w:ilvl="0" w:tplc="AF34D60C">
      <w:start w:val="1"/>
      <w:numFmt w:val="bullet"/>
      <w:lvlText w:val="•"/>
      <w:lvlJc w:val="left"/>
      <w:pPr>
        <w:tabs>
          <w:tab w:val="num" w:pos="720"/>
        </w:tabs>
        <w:ind w:left="720" w:hanging="360"/>
      </w:pPr>
      <w:rPr>
        <w:rFonts w:ascii="Arial" w:hAnsi="Arial" w:hint="default"/>
      </w:rPr>
    </w:lvl>
    <w:lvl w:ilvl="1" w:tplc="00D6648E">
      <w:numFmt w:val="bullet"/>
      <w:lvlText w:val="•"/>
      <w:lvlJc w:val="left"/>
      <w:pPr>
        <w:tabs>
          <w:tab w:val="num" w:pos="1440"/>
        </w:tabs>
        <w:ind w:left="1440" w:hanging="360"/>
      </w:pPr>
      <w:rPr>
        <w:rFonts w:ascii="Arial" w:hAnsi="Arial" w:hint="default"/>
      </w:rPr>
    </w:lvl>
    <w:lvl w:ilvl="2" w:tplc="160C506A" w:tentative="1">
      <w:start w:val="1"/>
      <w:numFmt w:val="bullet"/>
      <w:lvlText w:val="•"/>
      <w:lvlJc w:val="left"/>
      <w:pPr>
        <w:tabs>
          <w:tab w:val="num" w:pos="2160"/>
        </w:tabs>
        <w:ind w:left="2160" w:hanging="360"/>
      </w:pPr>
      <w:rPr>
        <w:rFonts w:ascii="Arial" w:hAnsi="Arial" w:hint="default"/>
      </w:rPr>
    </w:lvl>
    <w:lvl w:ilvl="3" w:tplc="77405A72" w:tentative="1">
      <w:start w:val="1"/>
      <w:numFmt w:val="bullet"/>
      <w:lvlText w:val="•"/>
      <w:lvlJc w:val="left"/>
      <w:pPr>
        <w:tabs>
          <w:tab w:val="num" w:pos="2880"/>
        </w:tabs>
        <w:ind w:left="2880" w:hanging="360"/>
      </w:pPr>
      <w:rPr>
        <w:rFonts w:ascii="Arial" w:hAnsi="Arial" w:hint="default"/>
      </w:rPr>
    </w:lvl>
    <w:lvl w:ilvl="4" w:tplc="63E8339E" w:tentative="1">
      <w:start w:val="1"/>
      <w:numFmt w:val="bullet"/>
      <w:lvlText w:val="•"/>
      <w:lvlJc w:val="left"/>
      <w:pPr>
        <w:tabs>
          <w:tab w:val="num" w:pos="3600"/>
        </w:tabs>
        <w:ind w:left="3600" w:hanging="360"/>
      </w:pPr>
      <w:rPr>
        <w:rFonts w:ascii="Arial" w:hAnsi="Arial" w:hint="default"/>
      </w:rPr>
    </w:lvl>
    <w:lvl w:ilvl="5" w:tplc="8598AF5C" w:tentative="1">
      <w:start w:val="1"/>
      <w:numFmt w:val="bullet"/>
      <w:lvlText w:val="•"/>
      <w:lvlJc w:val="left"/>
      <w:pPr>
        <w:tabs>
          <w:tab w:val="num" w:pos="4320"/>
        </w:tabs>
        <w:ind w:left="4320" w:hanging="360"/>
      </w:pPr>
      <w:rPr>
        <w:rFonts w:ascii="Arial" w:hAnsi="Arial" w:hint="default"/>
      </w:rPr>
    </w:lvl>
    <w:lvl w:ilvl="6" w:tplc="09AC5C08" w:tentative="1">
      <w:start w:val="1"/>
      <w:numFmt w:val="bullet"/>
      <w:lvlText w:val="•"/>
      <w:lvlJc w:val="left"/>
      <w:pPr>
        <w:tabs>
          <w:tab w:val="num" w:pos="5040"/>
        </w:tabs>
        <w:ind w:left="5040" w:hanging="360"/>
      </w:pPr>
      <w:rPr>
        <w:rFonts w:ascii="Arial" w:hAnsi="Arial" w:hint="default"/>
      </w:rPr>
    </w:lvl>
    <w:lvl w:ilvl="7" w:tplc="FA785266" w:tentative="1">
      <w:start w:val="1"/>
      <w:numFmt w:val="bullet"/>
      <w:lvlText w:val="•"/>
      <w:lvlJc w:val="left"/>
      <w:pPr>
        <w:tabs>
          <w:tab w:val="num" w:pos="5760"/>
        </w:tabs>
        <w:ind w:left="5760" w:hanging="360"/>
      </w:pPr>
      <w:rPr>
        <w:rFonts w:ascii="Arial" w:hAnsi="Arial" w:hint="default"/>
      </w:rPr>
    </w:lvl>
    <w:lvl w:ilvl="8" w:tplc="9B3863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F045F"/>
    <w:multiLevelType w:val="hybridMultilevel"/>
    <w:tmpl w:val="C55024C2"/>
    <w:lvl w:ilvl="0" w:tplc="77DA8916">
      <w:start w:val="1"/>
      <w:numFmt w:val="bullet"/>
      <w:lvlText w:val="•"/>
      <w:lvlJc w:val="left"/>
      <w:pPr>
        <w:tabs>
          <w:tab w:val="num" w:pos="720"/>
        </w:tabs>
        <w:ind w:left="720" w:hanging="360"/>
      </w:pPr>
      <w:rPr>
        <w:rFonts w:ascii="Arial" w:hAnsi="Arial" w:hint="default"/>
      </w:rPr>
    </w:lvl>
    <w:lvl w:ilvl="1" w:tplc="B78CF6A0" w:tentative="1">
      <w:start w:val="1"/>
      <w:numFmt w:val="bullet"/>
      <w:lvlText w:val="•"/>
      <w:lvlJc w:val="left"/>
      <w:pPr>
        <w:tabs>
          <w:tab w:val="num" w:pos="1440"/>
        </w:tabs>
        <w:ind w:left="1440" w:hanging="360"/>
      </w:pPr>
      <w:rPr>
        <w:rFonts w:ascii="Arial" w:hAnsi="Arial" w:hint="default"/>
      </w:rPr>
    </w:lvl>
    <w:lvl w:ilvl="2" w:tplc="FDF68D3A" w:tentative="1">
      <w:start w:val="1"/>
      <w:numFmt w:val="bullet"/>
      <w:lvlText w:val="•"/>
      <w:lvlJc w:val="left"/>
      <w:pPr>
        <w:tabs>
          <w:tab w:val="num" w:pos="2160"/>
        </w:tabs>
        <w:ind w:left="2160" w:hanging="360"/>
      </w:pPr>
      <w:rPr>
        <w:rFonts w:ascii="Arial" w:hAnsi="Arial" w:hint="default"/>
      </w:rPr>
    </w:lvl>
    <w:lvl w:ilvl="3" w:tplc="8D3CB532" w:tentative="1">
      <w:start w:val="1"/>
      <w:numFmt w:val="bullet"/>
      <w:lvlText w:val="•"/>
      <w:lvlJc w:val="left"/>
      <w:pPr>
        <w:tabs>
          <w:tab w:val="num" w:pos="2880"/>
        </w:tabs>
        <w:ind w:left="2880" w:hanging="360"/>
      </w:pPr>
      <w:rPr>
        <w:rFonts w:ascii="Arial" w:hAnsi="Arial" w:hint="default"/>
      </w:rPr>
    </w:lvl>
    <w:lvl w:ilvl="4" w:tplc="DC322B40" w:tentative="1">
      <w:start w:val="1"/>
      <w:numFmt w:val="bullet"/>
      <w:lvlText w:val="•"/>
      <w:lvlJc w:val="left"/>
      <w:pPr>
        <w:tabs>
          <w:tab w:val="num" w:pos="3600"/>
        </w:tabs>
        <w:ind w:left="3600" w:hanging="360"/>
      </w:pPr>
      <w:rPr>
        <w:rFonts w:ascii="Arial" w:hAnsi="Arial" w:hint="default"/>
      </w:rPr>
    </w:lvl>
    <w:lvl w:ilvl="5" w:tplc="928ECE70" w:tentative="1">
      <w:start w:val="1"/>
      <w:numFmt w:val="bullet"/>
      <w:lvlText w:val="•"/>
      <w:lvlJc w:val="left"/>
      <w:pPr>
        <w:tabs>
          <w:tab w:val="num" w:pos="4320"/>
        </w:tabs>
        <w:ind w:left="4320" w:hanging="360"/>
      </w:pPr>
      <w:rPr>
        <w:rFonts w:ascii="Arial" w:hAnsi="Arial" w:hint="default"/>
      </w:rPr>
    </w:lvl>
    <w:lvl w:ilvl="6" w:tplc="4082271C" w:tentative="1">
      <w:start w:val="1"/>
      <w:numFmt w:val="bullet"/>
      <w:lvlText w:val="•"/>
      <w:lvlJc w:val="left"/>
      <w:pPr>
        <w:tabs>
          <w:tab w:val="num" w:pos="5040"/>
        </w:tabs>
        <w:ind w:left="5040" w:hanging="360"/>
      </w:pPr>
      <w:rPr>
        <w:rFonts w:ascii="Arial" w:hAnsi="Arial" w:hint="default"/>
      </w:rPr>
    </w:lvl>
    <w:lvl w:ilvl="7" w:tplc="C3901FFA" w:tentative="1">
      <w:start w:val="1"/>
      <w:numFmt w:val="bullet"/>
      <w:lvlText w:val="•"/>
      <w:lvlJc w:val="left"/>
      <w:pPr>
        <w:tabs>
          <w:tab w:val="num" w:pos="5760"/>
        </w:tabs>
        <w:ind w:left="5760" w:hanging="360"/>
      </w:pPr>
      <w:rPr>
        <w:rFonts w:ascii="Arial" w:hAnsi="Arial" w:hint="default"/>
      </w:rPr>
    </w:lvl>
    <w:lvl w:ilvl="8" w:tplc="0DBE8A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992B28"/>
    <w:multiLevelType w:val="hybridMultilevel"/>
    <w:tmpl w:val="6FA0D9EC"/>
    <w:lvl w:ilvl="0" w:tplc="B400ECE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A30FFD"/>
    <w:multiLevelType w:val="hybridMultilevel"/>
    <w:tmpl w:val="3D78938A"/>
    <w:lvl w:ilvl="0" w:tplc="9FF86F20">
      <w:start w:val="1"/>
      <w:numFmt w:val="bullet"/>
      <w:lvlText w:val="•"/>
      <w:lvlJc w:val="left"/>
      <w:pPr>
        <w:tabs>
          <w:tab w:val="num" w:pos="720"/>
        </w:tabs>
        <w:ind w:left="720" w:hanging="360"/>
      </w:pPr>
      <w:rPr>
        <w:rFonts w:ascii="Arial" w:hAnsi="Arial" w:hint="default"/>
      </w:rPr>
    </w:lvl>
    <w:lvl w:ilvl="1" w:tplc="7BD069A8">
      <w:numFmt w:val="bullet"/>
      <w:lvlText w:val="•"/>
      <w:lvlJc w:val="left"/>
      <w:pPr>
        <w:tabs>
          <w:tab w:val="num" w:pos="1440"/>
        </w:tabs>
        <w:ind w:left="1440" w:hanging="360"/>
      </w:pPr>
      <w:rPr>
        <w:rFonts w:ascii="Arial" w:hAnsi="Arial" w:hint="default"/>
      </w:rPr>
    </w:lvl>
    <w:lvl w:ilvl="2" w:tplc="D17E66AE">
      <w:numFmt w:val="bullet"/>
      <w:lvlText w:val="•"/>
      <w:lvlJc w:val="left"/>
      <w:pPr>
        <w:tabs>
          <w:tab w:val="num" w:pos="2160"/>
        </w:tabs>
        <w:ind w:left="2160" w:hanging="360"/>
      </w:pPr>
      <w:rPr>
        <w:rFonts w:ascii="Arial" w:hAnsi="Arial" w:hint="default"/>
      </w:rPr>
    </w:lvl>
    <w:lvl w:ilvl="3" w:tplc="82C8A42E" w:tentative="1">
      <w:start w:val="1"/>
      <w:numFmt w:val="bullet"/>
      <w:lvlText w:val="•"/>
      <w:lvlJc w:val="left"/>
      <w:pPr>
        <w:tabs>
          <w:tab w:val="num" w:pos="2880"/>
        </w:tabs>
        <w:ind w:left="2880" w:hanging="360"/>
      </w:pPr>
      <w:rPr>
        <w:rFonts w:ascii="Arial" w:hAnsi="Arial" w:hint="default"/>
      </w:rPr>
    </w:lvl>
    <w:lvl w:ilvl="4" w:tplc="EF1A7E18" w:tentative="1">
      <w:start w:val="1"/>
      <w:numFmt w:val="bullet"/>
      <w:lvlText w:val="•"/>
      <w:lvlJc w:val="left"/>
      <w:pPr>
        <w:tabs>
          <w:tab w:val="num" w:pos="3600"/>
        </w:tabs>
        <w:ind w:left="3600" w:hanging="360"/>
      </w:pPr>
      <w:rPr>
        <w:rFonts w:ascii="Arial" w:hAnsi="Arial" w:hint="default"/>
      </w:rPr>
    </w:lvl>
    <w:lvl w:ilvl="5" w:tplc="DB42F320" w:tentative="1">
      <w:start w:val="1"/>
      <w:numFmt w:val="bullet"/>
      <w:lvlText w:val="•"/>
      <w:lvlJc w:val="left"/>
      <w:pPr>
        <w:tabs>
          <w:tab w:val="num" w:pos="4320"/>
        </w:tabs>
        <w:ind w:left="4320" w:hanging="360"/>
      </w:pPr>
      <w:rPr>
        <w:rFonts w:ascii="Arial" w:hAnsi="Arial" w:hint="default"/>
      </w:rPr>
    </w:lvl>
    <w:lvl w:ilvl="6" w:tplc="D86E9ED4" w:tentative="1">
      <w:start w:val="1"/>
      <w:numFmt w:val="bullet"/>
      <w:lvlText w:val="•"/>
      <w:lvlJc w:val="left"/>
      <w:pPr>
        <w:tabs>
          <w:tab w:val="num" w:pos="5040"/>
        </w:tabs>
        <w:ind w:left="5040" w:hanging="360"/>
      </w:pPr>
      <w:rPr>
        <w:rFonts w:ascii="Arial" w:hAnsi="Arial" w:hint="default"/>
      </w:rPr>
    </w:lvl>
    <w:lvl w:ilvl="7" w:tplc="B0043B3C" w:tentative="1">
      <w:start w:val="1"/>
      <w:numFmt w:val="bullet"/>
      <w:lvlText w:val="•"/>
      <w:lvlJc w:val="left"/>
      <w:pPr>
        <w:tabs>
          <w:tab w:val="num" w:pos="5760"/>
        </w:tabs>
        <w:ind w:left="5760" w:hanging="360"/>
      </w:pPr>
      <w:rPr>
        <w:rFonts w:ascii="Arial" w:hAnsi="Arial" w:hint="default"/>
      </w:rPr>
    </w:lvl>
    <w:lvl w:ilvl="8" w:tplc="EFE82F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C505D"/>
    <w:multiLevelType w:val="hybridMultilevel"/>
    <w:tmpl w:val="83A0350C"/>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EF72F2"/>
    <w:multiLevelType w:val="hybridMultilevel"/>
    <w:tmpl w:val="DF6CACB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900334"/>
    <w:multiLevelType w:val="hybridMultilevel"/>
    <w:tmpl w:val="29A6101C"/>
    <w:lvl w:ilvl="0" w:tplc="6B0ABEC8">
      <w:start w:val="1"/>
      <w:numFmt w:val="bullet"/>
      <w:lvlText w:val="•"/>
      <w:lvlJc w:val="left"/>
      <w:pPr>
        <w:tabs>
          <w:tab w:val="num" w:pos="720"/>
        </w:tabs>
        <w:ind w:left="720" w:hanging="360"/>
      </w:pPr>
      <w:rPr>
        <w:rFonts w:ascii="Arial" w:hAnsi="Arial" w:hint="default"/>
      </w:rPr>
    </w:lvl>
    <w:lvl w:ilvl="1" w:tplc="702A6890">
      <w:numFmt w:val="bullet"/>
      <w:lvlText w:val="•"/>
      <w:lvlJc w:val="left"/>
      <w:pPr>
        <w:tabs>
          <w:tab w:val="num" w:pos="1440"/>
        </w:tabs>
        <w:ind w:left="1440" w:hanging="360"/>
      </w:pPr>
      <w:rPr>
        <w:rFonts w:ascii="Arial" w:hAnsi="Arial" w:hint="default"/>
      </w:rPr>
    </w:lvl>
    <w:lvl w:ilvl="2" w:tplc="F46C57FC">
      <w:numFmt w:val="bullet"/>
      <w:lvlText w:val="•"/>
      <w:lvlJc w:val="left"/>
      <w:pPr>
        <w:tabs>
          <w:tab w:val="num" w:pos="2160"/>
        </w:tabs>
        <w:ind w:left="2160" w:hanging="360"/>
      </w:pPr>
      <w:rPr>
        <w:rFonts w:ascii="Arial" w:hAnsi="Arial" w:hint="default"/>
      </w:rPr>
    </w:lvl>
    <w:lvl w:ilvl="3" w:tplc="B00EBDE4" w:tentative="1">
      <w:start w:val="1"/>
      <w:numFmt w:val="bullet"/>
      <w:lvlText w:val="•"/>
      <w:lvlJc w:val="left"/>
      <w:pPr>
        <w:tabs>
          <w:tab w:val="num" w:pos="2880"/>
        </w:tabs>
        <w:ind w:left="2880" w:hanging="360"/>
      </w:pPr>
      <w:rPr>
        <w:rFonts w:ascii="Arial" w:hAnsi="Arial" w:hint="default"/>
      </w:rPr>
    </w:lvl>
    <w:lvl w:ilvl="4" w:tplc="8DF43F18" w:tentative="1">
      <w:start w:val="1"/>
      <w:numFmt w:val="bullet"/>
      <w:lvlText w:val="•"/>
      <w:lvlJc w:val="left"/>
      <w:pPr>
        <w:tabs>
          <w:tab w:val="num" w:pos="3600"/>
        </w:tabs>
        <w:ind w:left="3600" w:hanging="360"/>
      </w:pPr>
      <w:rPr>
        <w:rFonts w:ascii="Arial" w:hAnsi="Arial" w:hint="default"/>
      </w:rPr>
    </w:lvl>
    <w:lvl w:ilvl="5" w:tplc="05A86E1E" w:tentative="1">
      <w:start w:val="1"/>
      <w:numFmt w:val="bullet"/>
      <w:lvlText w:val="•"/>
      <w:lvlJc w:val="left"/>
      <w:pPr>
        <w:tabs>
          <w:tab w:val="num" w:pos="4320"/>
        </w:tabs>
        <w:ind w:left="4320" w:hanging="360"/>
      </w:pPr>
      <w:rPr>
        <w:rFonts w:ascii="Arial" w:hAnsi="Arial" w:hint="default"/>
      </w:rPr>
    </w:lvl>
    <w:lvl w:ilvl="6" w:tplc="F03E2AD4" w:tentative="1">
      <w:start w:val="1"/>
      <w:numFmt w:val="bullet"/>
      <w:lvlText w:val="•"/>
      <w:lvlJc w:val="left"/>
      <w:pPr>
        <w:tabs>
          <w:tab w:val="num" w:pos="5040"/>
        </w:tabs>
        <w:ind w:left="5040" w:hanging="360"/>
      </w:pPr>
      <w:rPr>
        <w:rFonts w:ascii="Arial" w:hAnsi="Arial" w:hint="default"/>
      </w:rPr>
    </w:lvl>
    <w:lvl w:ilvl="7" w:tplc="60309880" w:tentative="1">
      <w:start w:val="1"/>
      <w:numFmt w:val="bullet"/>
      <w:lvlText w:val="•"/>
      <w:lvlJc w:val="left"/>
      <w:pPr>
        <w:tabs>
          <w:tab w:val="num" w:pos="5760"/>
        </w:tabs>
        <w:ind w:left="5760" w:hanging="360"/>
      </w:pPr>
      <w:rPr>
        <w:rFonts w:ascii="Arial" w:hAnsi="Arial" w:hint="default"/>
      </w:rPr>
    </w:lvl>
    <w:lvl w:ilvl="8" w:tplc="1366A5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9D01D57"/>
    <w:multiLevelType w:val="hybridMultilevel"/>
    <w:tmpl w:val="9A80CF40"/>
    <w:lvl w:ilvl="0" w:tplc="8A545548">
      <w:start w:val="1"/>
      <w:numFmt w:val="bullet"/>
      <w:lvlText w:val="•"/>
      <w:lvlJc w:val="left"/>
      <w:pPr>
        <w:tabs>
          <w:tab w:val="num" w:pos="720"/>
        </w:tabs>
        <w:ind w:left="720" w:hanging="360"/>
      </w:pPr>
      <w:rPr>
        <w:rFonts w:ascii="Arial" w:hAnsi="Arial" w:hint="default"/>
      </w:rPr>
    </w:lvl>
    <w:lvl w:ilvl="1" w:tplc="2DFA3C34">
      <w:numFmt w:val="bullet"/>
      <w:lvlText w:val="•"/>
      <w:lvlJc w:val="left"/>
      <w:pPr>
        <w:tabs>
          <w:tab w:val="num" w:pos="1440"/>
        </w:tabs>
        <w:ind w:left="1440" w:hanging="360"/>
      </w:pPr>
      <w:rPr>
        <w:rFonts w:ascii="Arial" w:hAnsi="Arial" w:hint="default"/>
      </w:rPr>
    </w:lvl>
    <w:lvl w:ilvl="2" w:tplc="E932D6EA">
      <w:numFmt w:val="bullet"/>
      <w:lvlText w:val="•"/>
      <w:lvlJc w:val="left"/>
      <w:pPr>
        <w:tabs>
          <w:tab w:val="num" w:pos="2160"/>
        </w:tabs>
        <w:ind w:left="2160" w:hanging="360"/>
      </w:pPr>
      <w:rPr>
        <w:rFonts w:ascii="Arial" w:hAnsi="Arial" w:hint="default"/>
      </w:rPr>
    </w:lvl>
    <w:lvl w:ilvl="3" w:tplc="4D784B86" w:tentative="1">
      <w:start w:val="1"/>
      <w:numFmt w:val="bullet"/>
      <w:lvlText w:val="•"/>
      <w:lvlJc w:val="left"/>
      <w:pPr>
        <w:tabs>
          <w:tab w:val="num" w:pos="2880"/>
        </w:tabs>
        <w:ind w:left="2880" w:hanging="360"/>
      </w:pPr>
      <w:rPr>
        <w:rFonts w:ascii="Arial" w:hAnsi="Arial" w:hint="default"/>
      </w:rPr>
    </w:lvl>
    <w:lvl w:ilvl="4" w:tplc="E64A6CB4" w:tentative="1">
      <w:start w:val="1"/>
      <w:numFmt w:val="bullet"/>
      <w:lvlText w:val="•"/>
      <w:lvlJc w:val="left"/>
      <w:pPr>
        <w:tabs>
          <w:tab w:val="num" w:pos="3600"/>
        </w:tabs>
        <w:ind w:left="3600" w:hanging="360"/>
      </w:pPr>
      <w:rPr>
        <w:rFonts w:ascii="Arial" w:hAnsi="Arial" w:hint="default"/>
      </w:rPr>
    </w:lvl>
    <w:lvl w:ilvl="5" w:tplc="8DF46540" w:tentative="1">
      <w:start w:val="1"/>
      <w:numFmt w:val="bullet"/>
      <w:lvlText w:val="•"/>
      <w:lvlJc w:val="left"/>
      <w:pPr>
        <w:tabs>
          <w:tab w:val="num" w:pos="4320"/>
        </w:tabs>
        <w:ind w:left="4320" w:hanging="360"/>
      </w:pPr>
      <w:rPr>
        <w:rFonts w:ascii="Arial" w:hAnsi="Arial" w:hint="default"/>
      </w:rPr>
    </w:lvl>
    <w:lvl w:ilvl="6" w:tplc="DB7A833C" w:tentative="1">
      <w:start w:val="1"/>
      <w:numFmt w:val="bullet"/>
      <w:lvlText w:val="•"/>
      <w:lvlJc w:val="left"/>
      <w:pPr>
        <w:tabs>
          <w:tab w:val="num" w:pos="5040"/>
        </w:tabs>
        <w:ind w:left="5040" w:hanging="360"/>
      </w:pPr>
      <w:rPr>
        <w:rFonts w:ascii="Arial" w:hAnsi="Arial" w:hint="default"/>
      </w:rPr>
    </w:lvl>
    <w:lvl w:ilvl="7" w:tplc="1F2ADDF0" w:tentative="1">
      <w:start w:val="1"/>
      <w:numFmt w:val="bullet"/>
      <w:lvlText w:val="•"/>
      <w:lvlJc w:val="left"/>
      <w:pPr>
        <w:tabs>
          <w:tab w:val="num" w:pos="5760"/>
        </w:tabs>
        <w:ind w:left="5760" w:hanging="360"/>
      </w:pPr>
      <w:rPr>
        <w:rFonts w:ascii="Arial" w:hAnsi="Arial" w:hint="default"/>
      </w:rPr>
    </w:lvl>
    <w:lvl w:ilvl="8" w:tplc="BF50F1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C691F14"/>
    <w:multiLevelType w:val="hybridMultilevel"/>
    <w:tmpl w:val="F60CF5A8"/>
    <w:lvl w:ilvl="0" w:tplc="BF34D5AC">
      <w:start w:val="1"/>
      <w:numFmt w:val="bullet"/>
      <w:lvlText w:val="•"/>
      <w:lvlJc w:val="left"/>
      <w:pPr>
        <w:tabs>
          <w:tab w:val="num" w:pos="720"/>
        </w:tabs>
        <w:ind w:left="720" w:hanging="360"/>
      </w:pPr>
      <w:rPr>
        <w:rFonts w:ascii="Arial" w:hAnsi="Arial" w:hint="default"/>
      </w:rPr>
    </w:lvl>
    <w:lvl w:ilvl="1" w:tplc="A0F8EAC2">
      <w:numFmt w:val="bullet"/>
      <w:lvlText w:val="•"/>
      <w:lvlJc w:val="left"/>
      <w:pPr>
        <w:tabs>
          <w:tab w:val="num" w:pos="1440"/>
        </w:tabs>
        <w:ind w:left="1440" w:hanging="360"/>
      </w:pPr>
      <w:rPr>
        <w:rFonts w:ascii="Arial" w:hAnsi="Arial" w:hint="default"/>
      </w:rPr>
    </w:lvl>
    <w:lvl w:ilvl="2" w:tplc="B484E0E8">
      <w:numFmt w:val="bullet"/>
      <w:lvlText w:val="•"/>
      <w:lvlJc w:val="left"/>
      <w:pPr>
        <w:tabs>
          <w:tab w:val="num" w:pos="2160"/>
        </w:tabs>
        <w:ind w:left="2160" w:hanging="360"/>
      </w:pPr>
      <w:rPr>
        <w:rFonts w:ascii="Arial" w:hAnsi="Arial" w:hint="default"/>
      </w:rPr>
    </w:lvl>
    <w:lvl w:ilvl="3" w:tplc="9E862B10">
      <w:numFmt w:val="bullet"/>
      <w:lvlText w:val="•"/>
      <w:lvlJc w:val="left"/>
      <w:pPr>
        <w:tabs>
          <w:tab w:val="num" w:pos="2880"/>
        </w:tabs>
        <w:ind w:left="2880" w:hanging="360"/>
      </w:pPr>
      <w:rPr>
        <w:rFonts w:ascii="Arial" w:hAnsi="Arial" w:hint="default"/>
      </w:rPr>
    </w:lvl>
    <w:lvl w:ilvl="4" w:tplc="7C9E312C" w:tentative="1">
      <w:start w:val="1"/>
      <w:numFmt w:val="bullet"/>
      <w:lvlText w:val="•"/>
      <w:lvlJc w:val="left"/>
      <w:pPr>
        <w:tabs>
          <w:tab w:val="num" w:pos="3600"/>
        </w:tabs>
        <w:ind w:left="3600" w:hanging="360"/>
      </w:pPr>
      <w:rPr>
        <w:rFonts w:ascii="Arial" w:hAnsi="Arial" w:hint="default"/>
      </w:rPr>
    </w:lvl>
    <w:lvl w:ilvl="5" w:tplc="F286B59A" w:tentative="1">
      <w:start w:val="1"/>
      <w:numFmt w:val="bullet"/>
      <w:lvlText w:val="•"/>
      <w:lvlJc w:val="left"/>
      <w:pPr>
        <w:tabs>
          <w:tab w:val="num" w:pos="4320"/>
        </w:tabs>
        <w:ind w:left="4320" w:hanging="360"/>
      </w:pPr>
      <w:rPr>
        <w:rFonts w:ascii="Arial" w:hAnsi="Arial" w:hint="default"/>
      </w:rPr>
    </w:lvl>
    <w:lvl w:ilvl="6" w:tplc="449C8E64" w:tentative="1">
      <w:start w:val="1"/>
      <w:numFmt w:val="bullet"/>
      <w:lvlText w:val="•"/>
      <w:lvlJc w:val="left"/>
      <w:pPr>
        <w:tabs>
          <w:tab w:val="num" w:pos="5040"/>
        </w:tabs>
        <w:ind w:left="5040" w:hanging="360"/>
      </w:pPr>
      <w:rPr>
        <w:rFonts w:ascii="Arial" w:hAnsi="Arial" w:hint="default"/>
      </w:rPr>
    </w:lvl>
    <w:lvl w:ilvl="7" w:tplc="11F2AE44" w:tentative="1">
      <w:start w:val="1"/>
      <w:numFmt w:val="bullet"/>
      <w:lvlText w:val="•"/>
      <w:lvlJc w:val="left"/>
      <w:pPr>
        <w:tabs>
          <w:tab w:val="num" w:pos="5760"/>
        </w:tabs>
        <w:ind w:left="5760" w:hanging="360"/>
      </w:pPr>
      <w:rPr>
        <w:rFonts w:ascii="Arial" w:hAnsi="Arial" w:hint="default"/>
      </w:rPr>
    </w:lvl>
    <w:lvl w:ilvl="8" w:tplc="164E0D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F13C9B"/>
    <w:multiLevelType w:val="hybridMultilevel"/>
    <w:tmpl w:val="7ACC4E56"/>
    <w:lvl w:ilvl="0" w:tplc="A88E0134">
      <w:start w:val="1"/>
      <w:numFmt w:val="bullet"/>
      <w:lvlText w:val="•"/>
      <w:lvlJc w:val="left"/>
      <w:pPr>
        <w:tabs>
          <w:tab w:val="num" w:pos="720"/>
        </w:tabs>
        <w:ind w:left="720" w:hanging="360"/>
      </w:pPr>
      <w:rPr>
        <w:rFonts w:ascii="Arial" w:hAnsi="Arial" w:hint="default"/>
      </w:rPr>
    </w:lvl>
    <w:lvl w:ilvl="1" w:tplc="8D98A41A">
      <w:numFmt w:val="bullet"/>
      <w:lvlText w:val="•"/>
      <w:lvlJc w:val="left"/>
      <w:pPr>
        <w:tabs>
          <w:tab w:val="num" w:pos="1440"/>
        </w:tabs>
        <w:ind w:left="1440" w:hanging="360"/>
      </w:pPr>
      <w:rPr>
        <w:rFonts w:ascii="Arial" w:hAnsi="Arial" w:hint="default"/>
      </w:rPr>
    </w:lvl>
    <w:lvl w:ilvl="2" w:tplc="E1B21068">
      <w:numFmt w:val="bullet"/>
      <w:lvlText w:val="•"/>
      <w:lvlJc w:val="left"/>
      <w:pPr>
        <w:tabs>
          <w:tab w:val="num" w:pos="2160"/>
        </w:tabs>
        <w:ind w:left="2160" w:hanging="360"/>
      </w:pPr>
      <w:rPr>
        <w:rFonts w:ascii="Arial" w:hAnsi="Arial" w:hint="default"/>
      </w:rPr>
    </w:lvl>
    <w:lvl w:ilvl="3" w:tplc="C54EC684" w:tentative="1">
      <w:start w:val="1"/>
      <w:numFmt w:val="bullet"/>
      <w:lvlText w:val="•"/>
      <w:lvlJc w:val="left"/>
      <w:pPr>
        <w:tabs>
          <w:tab w:val="num" w:pos="2880"/>
        </w:tabs>
        <w:ind w:left="2880" w:hanging="360"/>
      </w:pPr>
      <w:rPr>
        <w:rFonts w:ascii="Arial" w:hAnsi="Arial" w:hint="default"/>
      </w:rPr>
    </w:lvl>
    <w:lvl w:ilvl="4" w:tplc="2DC8ACF0" w:tentative="1">
      <w:start w:val="1"/>
      <w:numFmt w:val="bullet"/>
      <w:lvlText w:val="•"/>
      <w:lvlJc w:val="left"/>
      <w:pPr>
        <w:tabs>
          <w:tab w:val="num" w:pos="3600"/>
        </w:tabs>
        <w:ind w:left="3600" w:hanging="360"/>
      </w:pPr>
      <w:rPr>
        <w:rFonts w:ascii="Arial" w:hAnsi="Arial" w:hint="default"/>
      </w:rPr>
    </w:lvl>
    <w:lvl w:ilvl="5" w:tplc="F44CB3C0" w:tentative="1">
      <w:start w:val="1"/>
      <w:numFmt w:val="bullet"/>
      <w:lvlText w:val="•"/>
      <w:lvlJc w:val="left"/>
      <w:pPr>
        <w:tabs>
          <w:tab w:val="num" w:pos="4320"/>
        </w:tabs>
        <w:ind w:left="4320" w:hanging="360"/>
      </w:pPr>
      <w:rPr>
        <w:rFonts w:ascii="Arial" w:hAnsi="Arial" w:hint="default"/>
      </w:rPr>
    </w:lvl>
    <w:lvl w:ilvl="6" w:tplc="7048D3C4" w:tentative="1">
      <w:start w:val="1"/>
      <w:numFmt w:val="bullet"/>
      <w:lvlText w:val="•"/>
      <w:lvlJc w:val="left"/>
      <w:pPr>
        <w:tabs>
          <w:tab w:val="num" w:pos="5040"/>
        </w:tabs>
        <w:ind w:left="5040" w:hanging="360"/>
      </w:pPr>
      <w:rPr>
        <w:rFonts w:ascii="Arial" w:hAnsi="Arial" w:hint="default"/>
      </w:rPr>
    </w:lvl>
    <w:lvl w:ilvl="7" w:tplc="9FDAE57A" w:tentative="1">
      <w:start w:val="1"/>
      <w:numFmt w:val="bullet"/>
      <w:lvlText w:val="•"/>
      <w:lvlJc w:val="left"/>
      <w:pPr>
        <w:tabs>
          <w:tab w:val="num" w:pos="5760"/>
        </w:tabs>
        <w:ind w:left="5760" w:hanging="360"/>
      </w:pPr>
      <w:rPr>
        <w:rFonts w:ascii="Arial" w:hAnsi="Arial" w:hint="default"/>
      </w:rPr>
    </w:lvl>
    <w:lvl w:ilvl="8" w:tplc="36C456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1F0A33"/>
    <w:multiLevelType w:val="hybridMultilevel"/>
    <w:tmpl w:val="0A12B32C"/>
    <w:lvl w:ilvl="0" w:tplc="3C004BAC">
      <w:start w:val="1"/>
      <w:numFmt w:val="bullet"/>
      <w:lvlText w:val="•"/>
      <w:lvlJc w:val="left"/>
      <w:pPr>
        <w:tabs>
          <w:tab w:val="num" w:pos="720"/>
        </w:tabs>
        <w:ind w:left="720" w:hanging="360"/>
      </w:pPr>
      <w:rPr>
        <w:rFonts w:ascii="Arial" w:hAnsi="Arial" w:hint="default"/>
      </w:rPr>
    </w:lvl>
    <w:lvl w:ilvl="1" w:tplc="6F1A9EF4">
      <w:start w:val="1"/>
      <w:numFmt w:val="bullet"/>
      <w:lvlText w:val="•"/>
      <w:lvlJc w:val="left"/>
      <w:pPr>
        <w:tabs>
          <w:tab w:val="num" w:pos="1440"/>
        </w:tabs>
        <w:ind w:left="1440" w:hanging="360"/>
      </w:pPr>
      <w:rPr>
        <w:rFonts w:ascii="Arial" w:hAnsi="Arial" w:hint="default"/>
      </w:rPr>
    </w:lvl>
    <w:lvl w:ilvl="2" w:tplc="914C7D16">
      <w:start w:val="1"/>
      <w:numFmt w:val="bullet"/>
      <w:lvlText w:val="•"/>
      <w:lvlJc w:val="left"/>
      <w:pPr>
        <w:tabs>
          <w:tab w:val="num" w:pos="2160"/>
        </w:tabs>
        <w:ind w:left="2160" w:hanging="360"/>
      </w:pPr>
      <w:rPr>
        <w:rFonts w:ascii="Arial" w:hAnsi="Arial" w:hint="default"/>
      </w:rPr>
    </w:lvl>
    <w:lvl w:ilvl="3" w:tplc="2C9A7310" w:tentative="1">
      <w:start w:val="1"/>
      <w:numFmt w:val="bullet"/>
      <w:lvlText w:val="•"/>
      <w:lvlJc w:val="left"/>
      <w:pPr>
        <w:tabs>
          <w:tab w:val="num" w:pos="2880"/>
        </w:tabs>
        <w:ind w:left="2880" w:hanging="360"/>
      </w:pPr>
      <w:rPr>
        <w:rFonts w:ascii="Arial" w:hAnsi="Arial" w:hint="default"/>
      </w:rPr>
    </w:lvl>
    <w:lvl w:ilvl="4" w:tplc="93328BC8" w:tentative="1">
      <w:start w:val="1"/>
      <w:numFmt w:val="bullet"/>
      <w:lvlText w:val="•"/>
      <w:lvlJc w:val="left"/>
      <w:pPr>
        <w:tabs>
          <w:tab w:val="num" w:pos="3600"/>
        </w:tabs>
        <w:ind w:left="3600" w:hanging="360"/>
      </w:pPr>
      <w:rPr>
        <w:rFonts w:ascii="Arial" w:hAnsi="Arial" w:hint="default"/>
      </w:rPr>
    </w:lvl>
    <w:lvl w:ilvl="5" w:tplc="E1F89278" w:tentative="1">
      <w:start w:val="1"/>
      <w:numFmt w:val="bullet"/>
      <w:lvlText w:val="•"/>
      <w:lvlJc w:val="left"/>
      <w:pPr>
        <w:tabs>
          <w:tab w:val="num" w:pos="4320"/>
        </w:tabs>
        <w:ind w:left="4320" w:hanging="360"/>
      </w:pPr>
      <w:rPr>
        <w:rFonts w:ascii="Arial" w:hAnsi="Arial" w:hint="default"/>
      </w:rPr>
    </w:lvl>
    <w:lvl w:ilvl="6" w:tplc="93C21682" w:tentative="1">
      <w:start w:val="1"/>
      <w:numFmt w:val="bullet"/>
      <w:lvlText w:val="•"/>
      <w:lvlJc w:val="left"/>
      <w:pPr>
        <w:tabs>
          <w:tab w:val="num" w:pos="5040"/>
        </w:tabs>
        <w:ind w:left="5040" w:hanging="360"/>
      </w:pPr>
      <w:rPr>
        <w:rFonts w:ascii="Arial" w:hAnsi="Arial" w:hint="default"/>
      </w:rPr>
    </w:lvl>
    <w:lvl w:ilvl="7" w:tplc="CC56897E" w:tentative="1">
      <w:start w:val="1"/>
      <w:numFmt w:val="bullet"/>
      <w:lvlText w:val="•"/>
      <w:lvlJc w:val="left"/>
      <w:pPr>
        <w:tabs>
          <w:tab w:val="num" w:pos="5760"/>
        </w:tabs>
        <w:ind w:left="5760" w:hanging="360"/>
      </w:pPr>
      <w:rPr>
        <w:rFonts w:ascii="Arial" w:hAnsi="Arial" w:hint="default"/>
      </w:rPr>
    </w:lvl>
    <w:lvl w:ilvl="8" w:tplc="4462BD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EB103F"/>
    <w:multiLevelType w:val="hybridMultilevel"/>
    <w:tmpl w:val="E9C85158"/>
    <w:lvl w:ilvl="0" w:tplc="202461E4">
      <w:start w:val="1"/>
      <w:numFmt w:val="bullet"/>
      <w:lvlText w:val="•"/>
      <w:lvlJc w:val="left"/>
      <w:pPr>
        <w:tabs>
          <w:tab w:val="num" w:pos="720"/>
        </w:tabs>
        <w:ind w:left="720" w:hanging="360"/>
      </w:pPr>
      <w:rPr>
        <w:rFonts w:ascii="Arial" w:hAnsi="Arial" w:cs="Times New Roman" w:hint="default"/>
      </w:rPr>
    </w:lvl>
    <w:lvl w:ilvl="1" w:tplc="0186B666">
      <w:numFmt w:val="bullet"/>
      <w:lvlText w:val="•"/>
      <w:lvlJc w:val="left"/>
      <w:pPr>
        <w:tabs>
          <w:tab w:val="num" w:pos="1440"/>
        </w:tabs>
        <w:ind w:left="1440" w:hanging="360"/>
      </w:pPr>
      <w:rPr>
        <w:rFonts w:ascii="Arial" w:hAnsi="Arial" w:cs="Times New Roman" w:hint="default"/>
      </w:rPr>
    </w:lvl>
    <w:lvl w:ilvl="2" w:tplc="13BC6E76">
      <w:numFmt w:val="bullet"/>
      <w:lvlText w:val="•"/>
      <w:lvlJc w:val="left"/>
      <w:pPr>
        <w:tabs>
          <w:tab w:val="num" w:pos="2160"/>
        </w:tabs>
        <w:ind w:left="2160" w:hanging="360"/>
      </w:pPr>
      <w:rPr>
        <w:rFonts w:ascii="Arial" w:hAnsi="Arial" w:cs="Times New Roman" w:hint="default"/>
      </w:rPr>
    </w:lvl>
    <w:lvl w:ilvl="3" w:tplc="0E22A4E6">
      <w:start w:val="1"/>
      <w:numFmt w:val="bullet"/>
      <w:lvlText w:val="•"/>
      <w:lvlJc w:val="left"/>
      <w:pPr>
        <w:tabs>
          <w:tab w:val="num" w:pos="2880"/>
        </w:tabs>
        <w:ind w:left="2880" w:hanging="360"/>
      </w:pPr>
      <w:rPr>
        <w:rFonts w:ascii="Arial" w:hAnsi="Arial" w:cs="Times New Roman" w:hint="default"/>
      </w:rPr>
    </w:lvl>
    <w:lvl w:ilvl="4" w:tplc="7ACA0E18">
      <w:start w:val="1"/>
      <w:numFmt w:val="bullet"/>
      <w:lvlText w:val="•"/>
      <w:lvlJc w:val="left"/>
      <w:pPr>
        <w:tabs>
          <w:tab w:val="num" w:pos="3600"/>
        </w:tabs>
        <w:ind w:left="3600" w:hanging="360"/>
      </w:pPr>
      <w:rPr>
        <w:rFonts w:ascii="Arial" w:hAnsi="Arial" w:cs="Times New Roman" w:hint="default"/>
      </w:rPr>
    </w:lvl>
    <w:lvl w:ilvl="5" w:tplc="248C5426">
      <w:start w:val="1"/>
      <w:numFmt w:val="bullet"/>
      <w:lvlText w:val="•"/>
      <w:lvlJc w:val="left"/>
      <w:pPr>
        <w:tabs>
          <w:tab w:val="num" w:pos="4320"/>
        </w:tabs>
        <w:ind w:left="4320" w:hanging="360"/>
      </w:pPr>
      <w:rPr>
        <w:rFonts w:ascii="Arial" w:hAnsi="Arial" w:cs="Times New Roman" w:hint="default"/>
      </w:rPr>
    </w:lvl>
    <w:lvl w:ilvl="6" w:tplc="B4F6E1AC">
      <w:start w:val="1"/>
      <w:numFmt w:val="bullet"/>
      <w:lvlText w:val="•"/>
      <w:lvlJc w:val="left"/>
      <w:pPr>
        <w:tabs>
          <w:tab w:val="num" w:pos="5040"/>
        </w:tabs>
        <w:ind w:left="5040" w:hanging="360"/>
      </w:pPr>
      <w:rPr>
        <w:rFonts w:ascii="Arial" w:hAnsi="Arial" w:cs="Times New Roman" w:hint="default"/>
      </w:rPr>
    </w:lvl>
    <w:lvl w:ilvl="7" w:tplc="44F01E7C">
      <w:start w:val="1"/>
      <w:numFmt w:val="bullet"/>
      <w:lvlText w:val="•"/>
      <w:lvlJc w:val="left"/>
      <w:pPr>
        <w:tabs>
          <w:tab w:val="num" w:pos="5760"/>
        </w:tabs>
        <w:ind w:left="5760" w:hanging="360"/>
      </w:pPr>
      <w:rPr>
        <w:rFonts w:ascii="Arial" w:hAnsi="Arial" w:cs="Times New Roman" w:hint="default"/>
      </w:rPr>
    </w:lvl>
    <w:lvl w:ilvl="8" w:tplc="ED3CC30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5"/>
  </w:num>
  <w:num w:numId="3">
    <w:abstractNumId w:val="38"/>
  </w:num>
  <w:num w:numId="4">
    <w:abstractNumId w:val="7"/>
  </w:num>
  <w:num w:numId="5">
    <w:abstractNumId w:val="16"/>
  </w:num>
  <w:num w:numId="6">
    <w:abstractNumId w:val="31"/>
  </w:num>
  <w:num w:numId="7">
    <w:abstractNumId w:val="23"/>
  </w:num>
  <w:num w:numId="8">
    <w:abstractNumId w:val="40"/>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5"/>
  </w:num>
  <w:num w:numId="12">
    <w:abstractNumId w:val="32"/>
  </w:num>
  <w:num w:numId="13">
    <w:abstractNumId w:val="25"/>
  </w:num>
  <w:num w:numId="14">
    <w:abstractNumId w:val="37"/>
  </w:num>
  <w:num w:numId="15">
    <w:abstractNumId w:val="33"/>
  </w:num>
  <w:num w:numId="16">
    <w:abstractNumId w:val="6"/>
  </w:num>
  <w:num w:numId="17">
    <w:abstractNumId w:val="28"/>
  </w:num>
  <w:num w:numId="18">
    <w:abstractNumId w:val="11"/>
  </w:num>
  <w:num w:numId="19">
    <w:abstractNumId w:val="29"/>
  </w:num>
  <w:num w:numId="20">
    <w:abstractNumId w:val="34"/>
  </w:num>
  <w:num w:numId="21">
    <w:abstractNumId w:val="14"/>
  </w:num>
  <w:num w:numId="22">
    <w:abstractNumId w:val="20"/>
  </w:num>
  <w:num w:numId="23">
    <w:abstractNumId w:val="4"/>
  </w:num>
  <w:num w:numId="24">
    <w:abstractNumId w:val="18"/>
  </w:num>
  <w:num w:numId="25">
    <w:abstractNumId w:val="21"/>
  </w:num>
  <w:num w:numId="26">
    <w:abstractNumId w:val="0"/>
  </w:num>
  <w:num w:numId="27">
    <w:abstractNumId w:val="27"/>
  </w:num>
  <w:num w:numId="28">
    <w:abstractNumId w:val="26"/>
  </w:num>
  <w:num w:numId="29">
    <w:abstractNumId w:val="36"/>
  </w:num>
  <w:num w:numId="30">
    <w:abstractNumId w:val="12"/>
  </w:num>
  <w:num w:numId="31">
    <w:abstractNumId w:val="30"/>
  </w:num>
  <w:num w:numId="32">
    <w:abstractNumId w:val="22"/>
  </w:num>
  <w:num w:numId="33">
    <w:abstractNumId w:val="8"/>
  </w:num>
  <w:num w:numId="34">
    <w:abstractNumId w:val="9"/>
  </w:num>
  <w:num w:numId="35">
    <w:abstractNumId w:val="3"/>
  </w:num>
  <w:num w:numId="36">
    <w:abstractNumId w:val="13"/>
  </w:num>
  <w:num w:numId="37">
    <w:abstractNumId w:val="19"/>
  </w:num>
  <w:num w:numId="38">
    <w:abstractNumId w:val="5"/>
  </w:num>
  <w:num w:numId="39">
    <w:abstractNumId w:val="24"/>
  </w:num>
  <w:num w:numId="40">
    <w:abstractNumId w:val="2"/>
  </w:num>
  <w:num w:numId="41">
    <w:abstractNumId w:val="10"/>
  </w:num>
  <w:num w:numId="42">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C03"/>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3DB"/>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880"/>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1D3"/>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58"/>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3E60"/>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8E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766"/>
    <w:rsid w:val="005A29EA"/>
    <w:rsid w:val="005A2D3C"/>
    <w:rsid w:val="005A2F1B"/>
    <w:rsid w:val="005A329D"/>
    <w:rsid w:val="005A35C0"/>
    <w:rsid w:val="005A35FA"/>
    <w:rsid w:val="005A3A56"/>
    <w:rsid w:val="005A3B03"/>
    <w:rsid w:val="005A3C41"/>
    <w:rsid w:val="005A4ECA"/>
    <w:rsid w:val="005A4F8B"/>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3D1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1FD"/>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7B"/>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A0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4E61"/>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8B5"/>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60B"/>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152656">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0427394">
      <w:bodyDiv w:val="1"/>
      <w:marLeft w:val="0"/>
      <w:marRight w:val="0"/>
      <w:marTop w:val="0"/>
      <w:marBottom w:val="0"/>
      <w:divBdr>
        <w:top w:val="none" w:sz="0" w:space="0" w:color="auto"/>
        <w:left w:val="none" w:sz="0" w:space="0" w:color="auto"/>
        <w:bottom w:val="none" w:sz="0" w:space="0" w:color="auto"/>
        <w:right w:val="none" w:sz="0" w:space="0" w:color="auto"/>
      </w:divBdr>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606235">
      <w:bodyDiv w:val="1"/>
      <w:marLeft w:val="0"/>
      <w:marRight w:val="0"/>
      <w:marTop w:val="0"/>
      <w:marBottom w:val="0"/>
      <w:divBdr>
        <w:top w:val="none" w:sz="0" w:space="0" w:color="auto"/>
        <w:left w:val="none" w:sz="0" w:space="0" w:color="auto"/>
        <w:bottom w:val="none" w:sz="0" w:space="0" w:color="auto"/>
        <w:right w:val="none" w:sz="0" w:space="0" w:color="auto"/>
      </w:divBdr>
      <w:divsChild>
        <w:div w:id="500513780">
          <w:marLeft w:val="360"/>
          <w:marRight w:val="0"/>
          <w:marTop w:val="200"/>
          <w:marBottom w:val="0"/>
          <w:divBdr>
            <w:top w:val="none" w:sz="0" w:space="0" w:color="auto"/>
            <w:left w:val="none" w:sz="0" w:space="0" w:color="auto"/>
            <w:bottom w:val="none" w:sz="0" w:space="0" w:color="auto"/>
            <w:right w:val="none" w:sz="0" w:space="0" w:color="auto"/>
          </w:divBdr>
        </w:div>
        <w:div w:id="633022724">
          <w:marLeft w:val="360"/>
          <w:marRight w:val="0"/>
          <w:marTop w:val="2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4648770">
      <w:bodyDiv w:val="1"/>
      <w:marLeft w:val="0"/>
      <w:marRight w:val="0"/>
      <w:marTop w:val="0"/>
      <w:marBottom w:val="0"/>
      <w:divBdr>
        <w:top w:val="none" w:sz="0" w:space="0" w:color="auto"/>
        <w:left w:val="none" w:sz="0" w:space="0" w:color="auto"/>
        <w:bottom w:val="none" w:sz="0" w:space="0" w:color="auto"/>
        <w:right w:val="none" w:sz="0" w:space="0" w:color="auto"/>
      </w:divBdr>
      <w:divsChild>
        <w:div w:id="1696885625">
          <w:marLeft w:val="360"/>
          <w:marRight w:val="0"/>
          <w:marTop w:val="200"/>
          <w:marBottom w:val="0"/>
          <w:divBdr>
            <w:top w:val="none" w:sz="0" w:space="0" w:color="auto"/>
            <w:left w:val="none" w:sz="0" w:space="0" w:color="auto"/>
            <w:bottom w:val="none" w:sz="0" w:space="0" w:color="auto"/>
            <w:right w:val="none" w:sz="0" w:space="0" w:color="auto"/>
          </w:divBdr>
        </w:div>
        <w:div w:id="599266330">
          <w:marLeft w:val="360"/>
          <w:marRight w:val="0"/>
          <w:marTop w:val="200"/>
          <w:marBottom w:val="0"/>
          <w:divBdr>
            <w:top w:val="none" w:sz="0" w:space="0" w:color="auto"/>
            <w:left w:val="none" w:sz="0" w:space="0" w:color="auto"/>
            <w:bottom w:val="none" w:sz="0" w:space="0" w:color="auto"/>
            <w:right w:val="none" w:sz="0" w:space="0" w:color="auto"/>
          </w:divBdr>
        </w:div>
        <w:div w:id="181865264">
          <w:marLeft w:val="1080"/>
          <w:marRight w:val="0"/>
          <w:marTop w:val="100"/>
          <w:marBottom w:val="0"/>
          <w:divBdr>
            <w:top w:val="none" w:sz="0" w:space="0" w:color="auto"/>
            <w:left w:val="none" w:sz="0" w:space="0" w:color="auto"/>
            <w:bottom w:val="none" w:sz="0" w:space="0" w:color="auto"/>
            <w:right w:val="none" w:sz="0" w:space="0" w:color="auto"/>
          </w:divBdr>
        </w:div>
        <w:div w:id="528569650">
          <w:marLeft w:val="1800"/>
          <w:marRight w:val="0"/>
          <w:marTop w:val="100"/>
          <w:marBottom w:val="0"/>
          <w:divBdr>
            <w:top w:val="none" w:sz="0" w:space="0" w:color="auto"/>
            <w:left w:val="none" w:sz="0" w:space="0" w:color="auto"/>
            <w:bottom w:val="none" w:sz="0" w:space="0" w:color="auto"/>
            <w:right w:val="none" w:sz="0" w:space="0" w:color="auto"/>
          </w:divBdr>
        </w:div>
        <w:div w:id="170534083">
          <w:marLeft w:val="1080"/>
          <w:marRight w:val="0"/>
          <w:marTop w:val="100"/>
          <w:marBottom w:val="0"/>
          <w:divBdr>
            <w:top w:val="none" w:sz="0" w:space="0" w:color="auto"/>
            <w:left w:val="none" w:sz="0" w:space="0" w:color="auto"/>
            <w:bottom w:val="none" w:sz="0" w:space="0" w:color="auto"/>
            <w:right w:val="none" w:sz="0" w:space="0" w:color="auto"/>
          </w:divBdr>
        </w:div>
        <w:div w:id="348458929">
          <w:marLeft w:val="180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715464">
      <w:bodyDiv w:val="1"/>
      <w:marLeft w:val="0"/>
      <w:marRight w:val="0"/>
      <w:marTop w:val="0"/>
      <w:marBottom w:val="0"/>
      <w:divBdr>
        <w:top w:val="none" w:sz="0" w:space="0" w:color="auto"/>
        <w:left w:val="none" w:sz="0" w:space="0" w:color="auto"/>
        <w:bottom w:val="none" w:sz="0" w:space="0" w:color="auto"/>
        <w:right w:val="none" w:sz="0" w:space="0" w:color="auto"/>
      </w:divBdr>
      <w:divsChild>
        <w:div w:id="292373666">
          <w:marLeft w:val="360"/>
          <w:marRight w:val="0"/>
          <w:marTop w:val="20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414541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3667562">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1689350">
      <w:bodyDiv w:val="1"/>
      <w:marLeft w:val="0"/>
      <w:marRight w:val="0"/>
      <w:marTop w:val="0"/>
      <w:marBottom w:val="0"/>
      <w:divBdr>
        <w:top w:val="none" w:sz="0" w:space="0" w:color="auto"/>
        <w:left w:val="none" w:sz="0" w:space="0" w:color="auto"/>
        <w:bottom w:val="none" w:sz="0" w:space="0" w:color="auto"/>
        <w:right w:val="none" w:sz="0" w:space="0" w:color="auto"/>
      </w:divBdr>
      <w:divsChild>
        <w:div w:id="1897744469">
          <w:marLeft w:val="360"/>
          <w:marRight w:val="0"/>
          <w:marTop w:val="200"/>
          <w:marBottom w:val="0"/>
          <w:divBdr>
            <w:top w:val="none" w:sz="0" w:space="0" w:color="auto"/>
            <w:left w:val="none" w:sz="0" w:space="0" w:color="auto"/>
            <w:bottom w:val="none" w:sz="0" w:space="0" w:color="auto"/>
            <w:right w:val="none" w:sz="0" w:space="0" w:color="auto"/>
          </w:divBdr>
        </w:div>
        <w:div w:id="410585706">
          <w:marLeft w:val="360"/>
          <w:marRight w:val="0"/>
          <w:marTop w:val="200"/>
          <w:marBottom w:val="0"/>
          <w:divBdr>
            <w:top w:val="none" w:sz="0" w:space="0" w:color="auto"/>
            <w:left w:val="none" w:sz="0" w:space="0" w:color="auto"/>
            <w:bottom w:val="none" w:sz="0" w:space="0" w:color="auto"/>
            <w:right w:val="none" w:sz="0" w:space="0" w:color="auto"/>
          </w:divBdr>
        </w:div>
        <w:div w:id="2019035072">
          <w:marLeft w:val="1080"/>
          <w:marRight w:val="0"/>
          <w:marTop w:val="100"/>
          <w:marBottom w:val="0"/>
          <w:divBdr>
            <w:top w:val="none" w:sz="0" w:space="0" w:color="auto"/>
            <w:left w:val="none" w:sz="0" w:space="0" w:color="auto"/>
            <w:bottom w:val="none" w:sz="0" w:space="0" w:color="auto"/>
            <w:right w:val="none" w:sz="0" w:space="0" w:color="auto"/>
          </w:divBdr>
        </w:div>
        <w:div w:id="581329958">
          <w:marLeft w:val="1800"/>
          <w:marRight w:val="0"/>
          <w:marTop w:val="100"/>
          <w:marBottom w:val="0"/>
          <w:divBdr>
            <w:top w:val="none" w:sz="0" w:space="0" w:color="auto"/>
            <w:left w:val="none" w:sz="0" w:space="0" w:color="auto"/>
            <w:bottom w:val="none" w:sz="0" w:space="0" w:color="auto"/>
            <w:right w:val="none" w:sz="0" w:space="0" w:color="auto"/>
          </w:divBdr>
        </w:div>
        <w:div w:id="316998382">
          <w:marLeft w:val="1080"/>
          <w:marRight w:val="0"/>
          <w:marTop w:val="100"/>
          <w:marBottom w:val="0"/>
          <w:divBdr>
            <w:top w:val="none" w:sz="0" w:space="0" w:color="auto"/>
            <w:left w:val="none" w:sz="0" w:space="0" w:color="auto"/>
            <w:bottom w:val="none" w:sz="0" w:space="0" w:color="auto"/>
            <w:right w:val="none" w:sz="0" w:space="0" w:color="auto"/>
          </w:divBdr>
        </w:div>
        <w:div w:id="10229433">
          <w:marLeft w:val="1800"/>
          <w:marRight w:val="0"/>
          <w:marTop w:val="1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57970404">
      <w:bodyDiv w:val="1"/>
      <w:marLeft w:val="0"/>
      <w:marRight w:val="0"/>
      <w:marTop w:val="0"/>
      <w:marBottom w:val="0"/>
      <w:divBdr>
        <w:top w:val="none" w:sz="0" w:space="0" w:color="auto"/>
        <w:left w:val="none" w:sz="0" w:space="0" w:color="auto"/>
        <w:bottom w:val="none" w:sz="0" w:space="0" w:color="auto"/>
        <w:right w:val="none" w:sz="0" w:space="0" w:color="auto"/>
      </w:divBdr>
      <w:divsChild>
        <w:div w:id="2089302110">
          <w:marLeft w:val="360"/>
          <w:marRight w:val="0"/>
          <w:marTop w:val="200"/>
          <w:marBottom w:val="0"/>
          <w:divBdr>
            <w:top w:val="none" w:sz="0" w:space="0" w:color="auto"/>
            <w:left w:val="none" w:sz="0" w:space="0" w:color="auto"/>
            <w:bottom w:val="none" w:sz="0" w:space="0" w:color="auto"/>
            <w:right w:val="none" w:sz="0" w:space="0" w:color="auto"/>
          </w:divBdr>
        </w:div>
        <w:div w:id="683941817">
          <w:marLeft w:val="360"/>
          <w:marRight w:val="0"/>
          <w:marTop w:val="200"/>
          <w:marBottom w:val="0"/>
          <w:divBdr>
            <w:top w:val="none" w:sz="0" w:space="0" w:color="auto"/>
            <w:left w:val="none" w:sz="0" w:space="0" w:color="auto"/>
            <w:bottom w:val="none" w:sz="0" w:space="0" w:color="auto"/>
            <w:right w:val="none" w:sz="0" w:space="0" w:color="auto"/>
          </w:divBdr>
        </w:div>
        <w:div w:id="464157551">
          <w:marLeft w:val="1080"/>
          <w:marRight w:val="0"/>
          <w:marTop w:val="100"/>
          <w:marBottom w:val="0"/>
          <w:divBdr>
            <w:top w:val="none" w:sz="0" w:space="0" w:color="auto"/>
            <w:left w:val="none" w:sz="0" w:space="0" w:color="auto"/>
            <w:bottom w:val="none" w:sz="0" w:space="0" w:color="auto"/>
            <w:right w:val="none" w:sz="0" w:space="0" w:color="auto"/>
          </w:divBdr>
        </w:div>
        <w:div w:id="379523519">
          <w:marLeft w:val="1800"/>
          <w:marRight w:val="0"/>
          <w:marTop w:val="100"/>
          <w:marBottom w:val="0"/>
          <w:divBdr>
            <w:top w:val="none" w:sz="0" w:space="0" w:color="auto"/>
            <w:left w:val="none" w:sz="0" w:space="0" w:color="auto"/>
            <w:bottom w:val="none" w:sz="0" w:space="0" w:color="auto"/>
            <w:right w:val="none" w:sz="0" w:space="0" w:color="auto"/>
          </w:divBdr>
        </w:div>
        <w:div w:id="1615599460">
          <w:marLeft w:val="1080"/>
          <w:marRight w:val="0"/>
          <w:marTop w:val="100"/>
          <w:marBottom w:val="0"/>
          <w:divBdr>
            <w:top w:val="none" w:sz="0" w:space="0" w:color="auto"/>
            <w:left w:val="none" w:sz="0" w:space="0" w:color="auto"/>
            <w:bottom w:val="none" w:sz="0" w:space="0" w:color="auto"/>
            <w:right w:val="none" w:sz="0" w:space="0" w:color="auto"/>
          </w:divBdr>
        </w:div>
        <w:div w:id="1844320993">
          <w:marLeft w:val="1800"/>
          <w:marRight w:val="0"/>
          <w:marTop w:val="100"/>
          <w:marBottom w:val="0"/>
          <w:divBdr>
            <w:top w:val="none" w:sz="0" w:space="0" w:color="auto"/>
            <w:left w:val="none" w:sz="0" w:space="0" w:color="auto"/>
            <w:bottom w:val="none" w:sz="0" w:space="0" w:color="auto"/>
            <w:right w:val="none" w:sz="0" w:space="0" w:color="auto"/>
          </w:divBdr>
        </w:div>
      </w:divsChild>
    </w:div>
    <w:div w:id="1062606348">
      <w:bodyDiv w:val="1"/>
      <w:marLeft w:val="0"/>
      <w:marRight w:val="0"/>
      <w:marTop w:val="0"/>
      <w:marBottom w:val="0"/>
      <w:divBdr>
        <w:top w:val="none" w:sz="0" w:space="0" w:color="auto"/>
        <w:left w:val="none" w:sz="0" w:space="0" w:color="auto"/>
        <w:bottom w:val="none" w:sz="0" w:space="0" w:color="auto"/>
        <w:right w:val="none" w:sz="0" w:space="0" w:color="auto"/>
      </w:divBdr>
      <w:divsChild>
        <w:div w:id="468547941">
          <w:marLeft w:val="360"/>
          <w:marRight w:val="0"/>
          <w:marTop w:val="200"/>
          <w:marBottom w:val="0"/>
          <w:divBdr>
            <w:top w:val="none" w:sz="0" w:space="0" w:color="auto"/>
            <w:left w:val="none" w:sz="0" w:space="0" w:color="auto"/>
            <w:bottom w:val="none" w:sz="0" w:space="0" w:color="auto"/>
            <w:right w:val="none" w:sz="0" w:space="0" w:color="auto"/>
          </w:divBdr>
        </w:div>
        <w:div w:id="739671665">
          <w:marLeft w:val="1080"/>
          <w:marRight w:val="0"/>
          <w:marTop w:val="100"/>
          <w:marBottom w:val="0"/>
          <w:divBdr>
            <w:top w:val="none" w:sz="0" w:space="0" w:color="auto"/>
            <w:left w:val="none" w:sz="0" w:space="0" w:color="auto"/>
            <w:bottom w:val="none" w:sz="0" w:space="0" w:color="auto"/>
            <w:right w:val="none" w:sz="0" w:space="0" w:color="auto"/>
          </w:divBdr>
        </w:div>
        <w:div w:id="217593448">
          <w:marLeft w:val="1800"/>
          <w:marRight w:val="0"/>
          <w:marTop w:val="100"/>
          <w:marBottom w:val="0"/>
          <w:divBdr>
            <w:top w:val="none" w:sz="0" w:space="0" w:color="auto"/>
            <w:left w:val="none" w:sz="0" w:space="0" w:color="auto"/>
            <w:bottom w:val="none" w:sz="0" w:space="0" w:color="auto"/>
            <w:right w:val="none" w:sz="0" w:space="0" w:color="auto"/>
          </w:divBdr>
        </w:div>
        <w:div w:id="611782788">
          <w:marLeft w:val="1080"/>
          <w:marRight w:val="0"/>
          <w:marTop w:val="100"/>
          <w:marBottom w:val="0"/>
          <w:divBdr>
            <w:top w:val="none" w:sz="0" w:space="0" w:color="auto"/>
            <w:left w:val="none" w:sz="0" w:space="0" w:color="auto"/>
            <w:bottom w:val="none" w:sz="0" w:space="0" w:color="auto"/>
            <w:right w:val="none" w:sz="0" w:space="0" w:color="auto"/>
          </w:divBdr>
        </w:div>
        <w:div w:id="924921431">
          <w:marLeft w:val="1800"/>
          <w:marRight w:val="0"/>
          <w:marTop w:val="100"/>
          <w:marBottom w:val="0"/>
          <w:divBdr>
            <w:top w:val="none" w:sz="0" w:space="0" w:color="auto"/>
            <w:left w:val="none" w:sz="0" w:space="0" w:color="auto"/>
            <w:bottom w:val="none" w:sz="0" w:space="0" w:color="auto"/>
            <w:right w:val="none" w:sz="0" w:space="0" w:color="auto"/>
          </w:divBdr>
        </w:div>
        <w:div w:id="2139297088">
          <w:marLeft w:val="360"/>
          <w:marRight w:val="0"/>
          <w:marTop w:val="200"/>
          <w:marBottom w:val="0"/>
          <w:divBdr>
            <w:top w:val="none" w:sz="0" w:space="0" w:color="auto"/>
            <w:left w:val="none" w:sz="0" w:space="0" w:color="auto"/>
            <w:bottom w:val="none" w:sz="0" w:space="0" w:color="auto"/>
            <w:right w:val="none" w:sz="0" w:space="0" w:color="auto"/>
          </w:divBdr>
        </w:div>
        <w:div w:id="514657774">
          <w:marLeft w:val="1080"/>
          <w:marRight w:val="0"/>
          <w:marTop w:val="100"/>
          <w:marBottom w:val="0"/>
          <w:divBdr>
            <w:top w:val="none" w:sz="0" w:space="0" w:color="auto"/>
            <w:left w:val="none" w:sz="0" w:space="0" w:color="auto"/>
            <w:bottom w:val="none" w:sz="0" w:space="0" w:color="auto"/>
            <w:right w:val="none" w:sz="0" w:space="0" w:color="auto"/>
          </w:divBdr>
        </w:div>
        <w:div w:id="395010159">
          <w:marLeft w:val="1800"/>
          <w:marRight w:val="0"/>
          <w:marTop w:val="100"/>
          <w:marBottom w:val="0"/>
          <w:divBdr>
            <w:top w:val="none" w:sz="0" w:space="0" w:color="auto"/>
            <w:left w:val="none" w:sz="0" w:space="0" w:color="auto"/>
            <w:bottom w:val="none" w:sz="0" w:space="0" w:color="auto"/>
            <w:right w:val="none" w:sz="0" w:space="0" w:color="auto"/>
          </w:divBdr>
        </w:div>
        <w:div w:id="232938066">
          <w:marLeft w:val="2520"/>
          <w:marRight w:val="0"/>
          <w:marTop w:val="100"/>
          <w:marBottom w:val="0"/>
          <w:divBdr>
            <w:top w:val="none" w:sz="0" w:space="0" w:color="auto"/>
            <w:left w:val="none" w:sz="0" w:space="0" w:color="auto"/>
            <w:bottom w:val="none" w:sz="0" w:space="0" w:color="auto"/>
            <w:right w:val="none" w:sz="0" w:space="0" w:color="auto"/>
          </w:divBdr>
        </w:div>
        <w:div w:id="1281259610">
          <w:marLeft w:val="1800"/>
          <w:marRight w:val="0"/>
          <w:marTop w:val="100"/>
          <w:marBottom w:val="0"/>
          <w:divBdr>
            <w:top w:val="none" w:sz="0" w:space="0" w:color="auto"/>
            <w:left w:val="none" w:sz="0" w:space="0" w:color="auto"/>
            <w:bottom w:val="none" w:sz="0" w:space="0" w:color="auto"/>
            <w:right w:val="none" w:sz="0" w:space="0" w:color="auto"/>
          </w:divBdr>
        </w:div>
        <w:div w:id="595985290">
          <w:marLeft w:val="252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68267151">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79515">
      <w:bodyDiv w:val="1"/>
      <w:marLeft w:val="0"/>
      <w:marRight w:val="0"/>
      <w:marTop w:val="0"/>
      <w:marBottom w:val="0"/>
      <w:divBdr>
        <w:top w:val="none" w:sz="0" w:space="0" w:color="auto"/>
        <w:left w:val="none" w:sz="0" w:space="0" w:color="auto"/>
        <w:bottom w:val="none" w:sz="0" w:space="0" w:color="auto"/>
        <w:right w:val="none" w:sz="0" w:space="0" w:color="auto"/>
      </w:divBdr>
      <w:divsChild>
        <w:div w:id="1257981348">
          <w:marLeft w:val="360"/>
          <w:marRight w:val="0"/>
          <w:marTop w:val="200"/>
          <w:marBottom w:val="0"/>
          <w:divBdr>
            <w:top w:val="none" w:sz="0" w:space="0" w:color="auto"/>
            <w:left w:val="none" w:sz="0" w:space="0" w:color="auto"/>
            <w:bottom w:val="none" w:sz="0" w:space="0" w:color="auto"/>
            <w:right w:val="none" w:sz="0" w:space="0" w:color="auto"/>
          </w:divBdr>
        </w:div>
        <w:div w:id="766772322">
          <w:marLeft w:val="360"/>
          <w:marRight w:val="0"/>
          <w:marTop w:val="200"/>
          <w:marBottom w:val="0"/>
          <w:divBdr>
            <w:top w:val="none" w:sz="0" w:space="0" w:color="auto"/>
            <w:left w:val="none" w:sz="0" w:space="0" w:color="auto"/>
            <w:bottom w:val="none" w:sz="0" w:space="0" w:color="auto"/>
            <w:right w:val="none" w:sz="0" w:space="0" w:color="auto"/>
          </w:divBdr>
        </w:div>
        <w:div w:id="1715546551">
          <w:marLeft w:val="1080"/>
          <w:marRight w:val="0"/>
          <w:marTop w:val="100"/>
          <w:marBottom w:val="0"/>
          <w:divBdr>
            <w:top w:val="none" w:sz="0" w:space="0" w:color="auto"/>
            <w:left w:val="none" w:sz="0" w:space="0" w:color="auto"/>
            <w:bottom w:val="none" w:sz="0" w:space="0" w:color="auto"/>
            <w:right w:val="none" w:sz="0" w:space="0" w:color="auto"/>
          </w:divBdr>
        </w:div>
        <w:div w:id="1117526452">
          <w:marLeft w:val="1800"/>
          <w:marRight w:val="0"/>
          <w:marTop w:val="100"/>
          <w:marBottom w:val="0"/>
          <w:divBdr>
            <w:top w:val="none" w:sz="0" w:space="0" w:color="auto"/>
            <w:left w:val="none" w:sz="0" w:space="0" w:color="auto"/>
            <w:bottom w:val="none" w:sz="0" w:space="0" w:color="auto"/>
            <w:right w:val="none" w:sz="0" w:space="0" w:color="auto"/>
          </w:divBdr>
        </w:div>
        <w:div w:id="863707700">
          <w:marLeft w:val="1080"/>
          <w:marRight w:val="0"/>
          <w:marTop w:val="100"/>
          <w:marBottom w:val="0"/>
          <w:divBdr>
            <w:top w:val="none" w:sz="0" w:space="0" w:color="auto"/>
            <w:left w:val="none" w:sz="0" w:space="0" w:color="auto"/>
            <w:bottom w:val="none" w:sz="0" w:space="0" w:color="auto"/>
            <w:right w:val="none" w:sz="0" w:space="0" w:color="auto"/>
          </w:divBdr>
        </w:div>
        <w:div w:id="639577423">
          <w:marLeft w:val="1800"/>
          <w:marRight w:val="0"/>
          <w:marTop w:val="100"/>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65006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1081082">
      <w:bodyDiv w:val="1"/>
      <w:marLeft w:val="0"/>
      <w:marRight w:val="0"/>
      <w:marTop w:val="0"/>
      <w:marBottom w:val="0"/>
      <w:divBdr>
        <w:top w:val="none" w:sz="0" w:space="0" w:color="auto"/>
        <w:left w:val="none" w:sz="0" w:space="0" w:color="auto"/>
        <w:bottom w:val="none" w:sz="0" w:space="0" w:color="auto"/>
        <w:right w:val="none" w:sz="0" w:space="0" w:color="auto"/>
      </w:divBdr>
      <w:divsChild>
        <w:div w:id="40400479">
          <w:marLeft w:val="360"/>
          <w:marRight w:val="0"/>
          <w:marTop w:val="200"/>
          <w:marBottom w:val="0"/>
          <w:divBdr>
            <w:top w:val="none" w:sz="0" w:space="0" w:color="auto"/>
            <w:left w:val="none" w:sz="0" w:space="0" w:color="auto"/>
            <w:bottom w:val="none" w:sz="0" w:space="0" w:color="auto"/>
            <w:right w:val="none" w:sz="0" w:space="0" w:color="auto"/>
          </w:divBdr>
        </w:div>
        <w:div w:id="321474778">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678011">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38300047">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0067554">
      <w:bodyDiv w:val="1"/>
      <w:marLeft w:val="0"/>
      <w:marRight w:val="0"/>
      <w:marTop w:val="0"/>
      <w:marBottom w:val="0"/>
      <w:divBdr>
        <w:top w:val="none" w:sz="0" w:space="0" w:color="auto"/>
        <w:left w:val="none" w:sz="0" w:space="0" w:color="auto"/>
        <w:bottom w:val="none" w:sz="0" w:space="0" w:color="auto"/>
        <w:right w:val="none" w:sz="0" w:space="0" w:color="auto"/>
      </w:divBdr>
    </w:div>
    <w:div w:id="1902516493">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45905888">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7213742">
      <w:bodyDiv w:val="1"/>
      <w:marLeft w:val="0"/>
      <w:marRight w:val="0"/>
      <w:marTop w:val="0"/>
      <w:marBottom w:val="0"/>
      <w:divBdr>
        <w:top w:val="none" w:sz="0" w:space="0" w:color="auto"/>
        <w:left w:val="none" w:sz="0" w:space="0" w:color="auto"/>
        <w:bottom w:val="none" w:sz="0" w:space="0" w:color="auto"/>
        <w:right w:val="none" w:sz="0" w:space="0" w:color="auto"/>
      </w:divBdr>
      <w:divsChild>
        <w:div w:id="635330344">
          <w:marLeft w:val="360"/>
          <w:marRight w:val="0"/>
          <w:marTop w:val="200"/>
          <w:marBottom w:val="0"/>
          <w:divBdr>
            <w:top w:val="none" w:sz="0" w:space="0" w:color="auto"/>
            <w:left w:val="none" w:sz="0" w:space="0" w:color="auto"/>
            <w:bottom w:val="none" w:sz="0" w:space="0" w:color="auto"/>
            <w:right w:val="none" w:sz="0" w:space="0" w:color="auto"/>
          </w:divBdr>
        </w:div>
        <w:div w:id="1456944284">
          <w:marLeft w:val="360"/>
          <w:marRight w:val="0"/>
          <w:marTop w:val="200"/>
          <w:marBottom w:val="0"/>
          <w:divBdr>
            <w:top w:val="none" w:sz="0" w:space="0" w:color="auto"/>
            <w:left w:val="none" w:sz="0" w:space="0" w:color="auto"/>
            <w:bottom w:val="none" w:sz="0" w:space="0" w:color="auto"/>
            <w:right w:val="none" w:sz="0" w:space="0" w:color="auto"/>
          </w:divBdr>
        </w:div>
        <w:div w:id="1773234979">
          <w:marLeft w:val="1080"/>
          <w:marRight w:val="0"/>
          <w:marTop w:val="100"/>
          <w:marBottom w:val="0"/>
          <w:divBdr>
            <w:top w:val="none" w:sz="0" w:space="0" w:color="auto"/>
            <w:left w:val="none" w:sz="0" w:space="0" w:color="auto"/>
            <w:bottom w:val="none" w:sz="0" w:space="0" w:color="auto"/>
            <w:right w:val="none" w:sz="0" w:space="0" w:color="auto"/>
          </w:divBdr>
        </w:div>
        <w:div w:id="1655646951">
          <w:marLeft w:val="1800"/>
          <w:marRight w:val="0"/>
          <w:marTop w:val="100"/>
          <w:marBottom w:val="0"/>
          <w:divBdr>
            <w:top w:val="none" w:sz="0" w:space="0" w:color="auto"/>
            <w:left w:val="none" w:sz="0" w:space="0" w:color="auto"/>
            <w:bottom w:val="none" w:sz="0" w:space="0" w:color="auto"/>
            <w:right w:val="none" w:sz="0" w:space="0" w:color="auto"/>
          </w:divBdr>
        </w:div>
        <w:div w:id="263072069">
          <w:marLeft w:val="1080"/>
          <w:marRight w:val="0"/>
          <w:marTop w:val="100"/>
          <w:marBottom w:val="0"/>
          <w:divBdr>
            <w:top w:val="none" w:sz="0" w:space="0" w:color="auto"/>
            <w:left w:val="none" w:sz="0" w:space="0" w:color="auto"/>
            <w:bottom w:val="none" w:sz="0" w:space="0" w:color="auto"/>
            <w:right w:val="none" w:sz="0" w:space="0" w:color="auto"/>
          </w:divBdr>
        </w:div>
        <w:div w:id="1480262960">
          <w:marLeft w:val="1800"/>
          <w:marRight w:val="0"/>
          <w:marTop w:val="100"/>
          <w:marBottom w:val="0"/>
          <w:divBdr>
            <w:top w:val="none" w:sz="0" w:space="0" w:color="auto"/>
            <w:left w:val="none" w:sz="0" w:space="0" w:color="auto"/>
            <w:bottom w:val="none" w:sz="0" w:space="0" w:color="auto"/>
            <w:right w:val="none" w:sz="0" w:space="0" w:color="auto"/>
          </w:divBdr>
        </w:div>
      </w:divsChild>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A485590-CE48-4F96-A0FB-86E55F64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8337</TotalTime>
  <Pages>1</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cp:revision>
  <cp:lastPrinted>2009-04-22T06:01:00Z</cp:lastPrinted>
  <dcterms:created xsi:type="dcterms:W3CDTF">2020-07-07T06:33:00Z</dcterms:created>
  <dcterms:modified xsi:type="dcterms:W3CDTF">2020-10-23T13:41:00Z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