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FEA2F6" w14:textId="470376C5" w:rsidR="00B222CB" w:rsidRPr="00B222CB" w:rsidRDefault="00B222CB" w:rsidP="00B222CB">
      <w:pPr>
        <w:pStyle w:val="a3"/>
        <w:rPr>
          <w:rFonts w:cs="Arial"/>
          <w:noProof w:val="0"/>
          <w:sz w:val="24"/>
          <w:szCs w:val="24"/>
        </w:rPr>
      </w:pPr>
      <w:r w:rsidRPr="00B222CB">
        <w:rPr>
          <w:rFonts w:cs="Arial"/>
          <w:noProof w:val="0"/>
          <w:sz w:val="24"/>
          <w:szCs w:val="24"/>
        </w:rPr>
        <w:t xml:space="preserve">3GPP TSG-RAN WG4 Meeting # 97-e </w:t>
      </w:r>
      <w:r w:rsidRPr="00B222CB">
        <w:rPr>
          <w:rFonts w:cs="Arial"/>
          <w:noProof w:val="0"/>
          <w:sz w:val="24"/>
          <w:szCs w:val="24"/>
        </w:rPr>
        <w:tab/>
      </w:r>
      <w:r>
        <w:rPr>
          <w:rFonts w:cs="Arial"/>
          <w:noProof w:val="0"/>
          <w:sz w:val="24"/>
          <w:szCs w:val="24"/>
        </w:rPr>
        <w:t xml:space="preserve">                              </w:t>
      </w:r>
      <w:r w:rsidR="00003462" w:rsidRPr="00003462">
        <w:rPr>
          <w:rFonts w:cs="Arial"/>
          <w:noProof w:val="0"/>
          <w:sz w:val="24"/>
          <w:szCs w:val="24"/>
        </w:rPr>
        <w:t>R4-2015522</w:t>
      </w:r>
      <w:bookmarkStart w:id="0" w:name="_GoBack"/>
      <w:bookmarkEnd w:id="0"/>
    </w:p>
    <w:p w14:paraId="63686C3E" w14:textId="73BEA7AF" w:rsidR="00DF0231" w:rsidRPr="00F714A7" w:rsidRDefault="00B222CB" w:rsidP="00B222CB">
      <w:pPr>
        <w:pStyle w:val="a3"/>
        <w:rPr>
          <w:rFonts w:eastAsia="宋体"/>
          <w:noProof w:val="0"/>
          <w:sz w:val="24"/>
          <w:szCs w:val="24"/>
          <w:lang w:eastAsia="zh-CN"/>
        </w:rPr>
      </w:pPr>
      <w:r w:rsidRPr="00B222CB">
        <w:rPr>
          <w:rFonts w:cs="Arial"/>
          <w:noProof w:val="0"/>
          <w:sz w:val="24"/>
          <w:szCs w:val="24"/>
        </w:rPr>
        <w:t>Electronic Meeting, 2-13 Nov., 2020</w:t>
      </w:r>
    </w:p>
    <w:p w14:paraId="380D8527" w14:textId="77777777" w:rsidR="00DF0231" w:rsidRPr="002D2977" w:rsidRDefault="00DF0231" w:rsidP="00DF0231">
      <w:pPr>
        <w:pStyle w:val="a3"/>
        <w:rPr>
          <w:noProof w:val="0"/>
        </w:rPr>
      </w:pPr>
    </w:p>
    <w:p w14:paraId="79BA01F4" w14:textId="77777777" w:rsidR="00DF0231" w:rsidRPr="002D2977" w:rsidRDefault="00DF0231" w:rsidP="00DF0231">
      <w:pPr>
        <w:pStyle w:val="a4"/>
        <w:rPr>
          <w:noProof w:val="0"/>
        </w:rPr>
      </w:pPr>
    </w:p>
    <w:p w14:paraId="6FE9F735" w14:textId="3574A09A"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B222CB">
        <w:rPr>
          <w:rFonts w:ascii="Arial" w:hAnsi="Arial"/>
          <w:sz w:val="24"/>
          <w:lang w:val="en-US"/>
        </w:rPr>
        <w:t>7.1.5.10</w:t>
      </w:r>
    </w:p>
    <w:p w14:paraId="7DBD98F9"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6DA277DF" w14:textId="2D9BDB2F"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E97466" w:rsidRPr="00E97466">
        <w:rPr>
          <w:rFonts w:ascii="Arial" w:hAnsi="Arial"/>
          <w:sz w:val="24"/>
          <w:lang w:val="en-US"/>
        </w:rPr>
        <w:t>Discussion on measurement requirements for NR-U</w:t>
      </w:r>
    </w:p>
    <w:p w14:paraId="0CDDAA1D"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2ED3D701" w14:textId="77777777" w:rsidR="00DF0231" w:rsidRPr="002D2977" w:rsidRDefault="00DF0231" w:rsidP="00DF0231">
      <w:pPr>
        <w:pStyle w:val="1"/>
        <w:numPr>
          <w:ilvl w:val="0"/>
          <w:numId w:val="1"/>
        </w:numPr>
        <w:rPr>
          <w:lang w:val="en-US"/>
        </w:rPr>
      </w:pPr>
      <w:r w:rsidRPr="002D2977">
        <w:rPr>
          <w:lang w:val="en-US"/>
        </w:rPr>
        <w:t>Introduction</w:t>
      </w:r>
    </w:p>
    <w:p w14:paraId="5AC28BFD" w14:textId="21497F3D" w:rsidR="00E775B2" w:rsidRDefault="00F10653" w:rsidP="00DF0231">
      <w:pPr>
        <w:rPr>
          <w:rFonts w:eastAsiaTheme="minorEastAsia"/>
          <w:lang w:val="en-US" w:eastAsia="zh-CN"/>
        </w:rPr>
      </w:pPr>
      <w:r>
        <w:rPr>
          <w:rFonts w:eastAsiaTheme="minorEastAsia"/>
          <w:lang w:val="en-US" w:eastAsia="zh-CN"/>
        </w:rPr>
        <w:t>In last RAN</w:t>
      </w:r>
      <w:r w:rsidR="003139FE">
        <w:rPr>
          <w:rFonts w:eastAsiaTheme="minorEastAsia"/>
          <w:lang w:val="en-US" w:eastAsia="zh-CN"/>
        </w:rPr>
        <w:t>#9</w:t>
      </w:r>
      <w:r w:rsidR="002428D6">
        <w:rPr>
          <w:rFonts w:eastAsiaTheme="minorEastAsia"/>
          <w:lang w:val="en-US" w:eastAsia="zh-CN"/>
        </w:rPr>
        <w:t>6</w:t>
      </w:r>
      <w:r w:rsidR="00F714A7">
        <w:rPr>
          <w:rFonts w:eastAsiaTheme="minorEastAsia"/>
          <w:lang w:val="en-US" w:eastAsia="zh-CN"/>
        </w:rPr>
        <w:t>e</w:t>
      </w:r>
      <w:r w:rsidR="00DF0231" w:rsidRPr="002D2977">
        <w:rPr>
          <w:rFonts w:eastAsiaTheme="minorEastAsia"/>
          <w:lang w:val="en-US" w:eastAsia="zh-CN"/>
        </w:rPr>
        <w:t xml:space="preserve"> </w:t>
      </w:r>
      <w:r>
        <w:rPr>
          <w:rFonts w:eastAsiaTheme="minorEastAsia"/>
          <w:lang w:val="en-US" w:eastAsia="zh-CN"/>
        </w:rPr>
        <w:t xml:space="preserve">meeting </w:t>
      </w:r>
      <w:r w:rsidR="00DF0231" w:rsidRPr="002D2977">
        <w:rPr>
          <w:rFonts w:eastAsiaTheme="minorEastAsia"/>
          <w:lang w:val="en-US" w:eastAsia="zh-CN"/>
        </w:rPr>
        <w:t xml:space="preserve">the </w:t>
      </w:r>
      <w:r w:rsidR="00E97466">
        <w:rPr>
          <w:rFonts w:eastAsiaTheme="minorEastAsia"/>
          <w:lang w:val="en-US" w:eastAsia="zh-CN"/>
        </w:rPr>
        <w:t>measurement requirements</w:t>
      </w:r>
      <w:r w:rsidR="00D53A4A">
        <w:rPr>
          <w:rFonts w:eastAsiaTheme="minorEastAsia"/>
          <w:lang w:val="en-US" w:eastAsia="zh-CN"/>
        </w:rPr>
        <w:t xml:space="preserve"> in NR-U</w:t>
      </w:r>
      <w:r w:rsidR="00E775B2">
        <w:rPr>
          <w:rFonts w:eastAsiaTheme="minorEastAsia"/>
          <w:lang w:val="en-US" w:eastAsia="zh-CN"/>
        </w:rPr>
        <w:t xml:space="preserve"> were discussed</w:t>
      </w:r>
      <w:r w:rsidR="00D53A4A">
        <w:rPr>
          <w:rFonts w:eastAsiaTheme="minorEastAsia"/>
          <w:lang w:val="en-US" w:eastAsia="zh-CN"/>
        </w:rPr>
        <w:t xml:space="preserve"> with agreements captured in</w:t>
      </w:r>
      <w:r w:rsidR="00FD345B">
        <w:rPr>
          <w:rFonts w:eastAsiaTheme="minorEastAsia"/>
          <w:lang w:val="en-US" w:eastAsia="zh-CN"/>
        </w:rPr>
        <w:t xml:space="preserve"> [1]</w:t>
      </w:r>
      <w:r w:rsidR="00E775B2">
        <w:rPr>
          <w:rFonts w:eastAsiaTheme="minorEastAsia"/>
          <w:lang w:val="en-US" w:eastAsia="zh-CN"/>
        </w:rPr>
        <w:t xml:space="preserve">. </w:t>
      </w:r>
      <w:r w:rsidR="00E97466">
        <w:rPr>
          <w:rFonts w:eastAsiaTheme="minorEastAsia"/>
          <w:lang w:val="en-US" w:eastAsia="zh-CN"/>
        </w:rPr>
        <w:t xml:space="preserve">There are still </w:t>
      </w:r>
      <w:r w:rsidR="00C1419F">
        <w:rPr>
          <w:rFonts w:eastAsiaTheme="minorEastAsia" w:hint="eastAsia"/>
          <w:lang w:val="en-US" w:eastAsia="zh-CN"/>
        </w:rPr>
        <w:t>s</w:t>
      </w:r>
      <w:r w:rsidR="00E97466">
        <w:rPr>
          <w:rFonts w:eastAsiaTheme="minorEastAsia"/>
          <w:lang w:val="en-US" w:eastAsia="zh-CN"/>
        </w:rPr>
        <w:t>ome open issues left and we further provide our views in this paper.</w:t>
      </w:r>
    </w:p>
    <w:p w14:paraId="6D78271B" w14:textId="77777777" w:rsidR="00DF0231" w:rsidRDefault="00DF0231" w:rsidP="00DF0231">
      <w:pPr>
        <w:pStyle w:val="1"/>
        <w:numPr>
          <w:ilvl w:val="0"/>
          <w:numId w:val="1"/>
        </w:numPr>
        <w:rPr>
          <w:lang w:val="en-US"/>
        </w:rPr>
      </w:pPr>
      <w:r w:rsidRPr="002D2977">
        <w:rPr>
          <w:lang w:val="en-US"/>
        </w:rPr>
        <w:t>Discussion</w:t>
      </w:r>
    </w:p>
    <w:p w14:paraId="15852B96" w14:textId="36A78D60" w:rsidR="00E97466" w:rsidRDefault="00E97466" w:rsidP="00E97466">
      <w:pPr>
        <w:rPr>
          <w:lang w:val="en-US"/>
        </w:rPr>
      </w:pPr>
      <w:r>
        <w:rPr>
          <w:lang w:val="en-US"/>
        </w:rPr>
        <w:t xml:space="preserve">One of the remaining issues is the scheduling restriction for inter-band CA. </w:t>
      </w:r>
      <w:r w:rsidR="0079721F">
        <w:rPr>
          <w:lang w:val="en-US"/>
        </w:rPr>
        <w:t>During the discussion in the last meeting, most companies support</w:t>
      </w:r>
      <w:r w:rsidR="00C1419F">
        <w:rPr>
          <w:lang w:val="en-US"/>
        </w:rPr>
        <w:t>ed</w:t>
      </w:r>
      <w:r w:rsidR="0079721F">
        <w:rPr>
          <w:lang w:val="en-US"/>
        </w:rPr>
        <w:t xml:space="preserve"> the proposal that the scheduling restriction due to one CC shall not apply to other CCs on the </w:t>
      </w:r>
      <w:r w:rsidR="00C1419F">
        <w:rPr>
          <w:lang w:val="en-US"/>
        </w:rPr>
        <w:t xml:space="preserve">other </w:t>
      </w:r>
      <w:r w:rsidR="0079721F">
        <w:rPr>
          <w:lang w:val="en-US"/>
        </w:rPr>
        <w:t>bands. Companies have concerns about the proposal think the inter-band CA case is still open for R15 requirements. However, by going through the R15 requirements about the scheduling availability, it is clear that there is no scheduling restrictions for inter-band CA in FR1 which was defined in the spec as shown below:</w:t>
      </w:r>
    </w:p>
    <w:tbl>
      <w:tblPr>
        <w:tblStyle w:val="a7"/>
        <w:tblW w:w="0" w:type="auto"/>
        <w:tblLook w:val="04A0" w:firstRow="1" w:lastRow="0" w:firstColumn="1" w:lastColumn="0" w:noHBand="0" w:noVBand="1"/>
      </w:tblPr>
      <w:tblGrid>
        <w:gridCol w:w="9562"/>
      </w:tblGrid>
      <w:tr w:rsidR="0079721F" w14:paraId="0221CBE4" w14:textId="77777777" w:rsidTr="0079721F">
        <w:tc>
          <w:tcPr>
            <w:tcW w:w="9562" w:type="dxa"/>
          </w:tcPr>
          <w:p w14:paraId="7E31E5D5" w14:textId="54139B2C" w:rsidR="0079721F" w:rsidRDefault="0079721F" w:rsidP="0079721F">
            <w:pPr>
              <w:ind w:left="113"/>
              <w:rPr>
                <w:lang w:val="en-US"/>
              </w:rPr>
            </w:pPr>
            <w:r>
              <w:rPr>
                <w:lang w:val="en-US"/>
              </w:rPr>
              <w:t>38.133 V15.5.0</w:t>
            </w:r>
          </w:p>
          <w:p w14:paraId="5B4B0547" w14:textId="77777777" w:rsidR="0079721F" w:rsidRDefault="0079721F" w:rsidP="0079721F">
            <w:pPr>
              <w:ind w:left="113"/>
              <w:rPr>
                <w:lang w:val="en-US"/>
              </w:rPr>
            </w:pPr>
          </w:p>
          <w:p w14:paraId="68165A05" w14:textId="77777777" w:rsidR="0079721F" w:rsidRPr="007926EA" w:rsidRDefault="0079721F" w:rsidP="0079721F">
            <w:pPr>
              <w:keepNext/>
              <w:keepLines/>
              <w:ind w:left="113" w:hanging="1701"/>
              <w:outlineLvl w:val="4"/>
            </w:pPr>
            <w:r w:rsidRPr="007926EA">
              <w:rPr>
                <w:rFonts w:ascii="Arial" w:hAnsi="Arial"/>
                <w:sz w:val="22"/>
              </w:rPr>
              <w:t>9.2.5.3.2</w:t>
            </w:r>
            <w:r w:rsidRPr="007926EA">
              <w:rPr>
                <w:rFonts w:ascii="Arial" w:hAnsi="Arial"/>
                <w:sz w:val="22"/>
              </w:rPr>
              <w:tab/>
              <w:t>Scheduling availability of UE performing measurements with a different subcarrier spacing than PDSCH/PDCCH on FR1</w:t>
            </w:r>
          </w:p>
          <w:p w14:paraId="3C885ADE" w14:textId="77777777" w:rsidR="0079721F" w:rsidRPr="007926EA" w:rsidRDefault="0079721F" w:rsidP="0079721F">
            <w:pPr>
              <w:ind w:left="113"/>
            </w:pPr>
            <w:r w:rsidRPr="007926EA">
              <w:t>For UE which support</w:t>
            </w:r>
            <w:r w:rsidRPr="007926EA">
              <w:rPr>
                <w:i/>
              </w:rPr>
              <w:t xml:space="preserve"> </w:t>
            </w:r>
            <w:proofErr w:type="spellStart"/>
            <w:r w:rsidRPr="007926EA">
              <w:rPr>
                <w:i/>
              </w:rPr>
              <w:t>simultaneousRxDataSSB-DiffNumerology</w:t>
            </w:r>
            <w:proofErr w:type="spellEnd"/>
            <w:r w:rsidRPr="007926EA">
              <w:rPr>
                <w:i/>
                <w:lang w:eastAsia="ja-JP"/>
              </w:rPr>
              <w:t xml:space="preserve"> </w:t>
            </w:r>
            <w:r w:rsidRPr="007926EA">
              <w:t xml:space="preserve">[14] there are no restrictions on scheduling availability due to measurements. For UE which do not support </w:t>
            </w:r>
            <w:proofErr w:type="spellStart"/>
            <w:r w:rsidRPr="007926EA">
              <w:rPr>
                <w:i/>
              </w:rPr>
              <w:t>simultaneousRxDataSSB-DiffNumerology</w:t>
            </w:r>
            <w:proofErr w:type="spellEnd"/>
            <w:r w:rsidRPr="007926EA">
              <w:rPr>
                <w:i/>
              </w:rPr>
              <w:t xml:space="preserve"> </w:t>
            </w:r>
            <w:r w:rsidRPr="007926EA">
              <w:t>[14] the following restrictions apply due to SS-RSRP/RSRQ/SINR measurement</w:t>
            </w:r>
          </w:p>
          <w:p w14:paraId="5612C373" w14:textId="77777777" w:rsidR="0079721F" w:rsidRPr="007926EA" w:rsidRDefault="0079721F" w:rsidP="0079721F">
            <w:pPr>
              <w:ind w:left="113" w:hanging="284"/>
              <w:rPr>
                <w:lang w:eastAsia="zh-CN"/>
              </w:rPr>
            </w:pPr>
            <w:r w:rsidRPr="007926EA">
              <w:rPr>
                <w:lang w:val="en-US" w:eastAsia="zh-CN"/>
              </w:rPr>
              <w:t>-</w:t>
            </w:r>
            <w:r w:rsidRPr="007926EA">
              <w:rPr>
                <w:lang w:val="en-US" w:eastAsia="zh-CN"/>
              </w:rPr>
              <w:tab/>
              <w:t xml:space="preserve">If </w:t>
            </w:r>
            <w:r w:rsidRPr="007926EA">
              <w:rPr>
                <w:i/>
                <w:noProof/>
                <w:lang w:val="en-US" w:eastAsia="ja-JP"/>
              </w:rPr>
              <w:t>deriveSSB_IndexFromCell</w:t>
            </w:r>
            <w:r w:rsidRPr="007926EA">
              <w:rPr>
                <w:lang w:val="en-US" w:eastAsia="zh-CN"/>
              </w:rPr>
              <w:t xml:space="preserve"> is enabled </w:t>
            </w:r>
            <w:bookmarkStart w:id="1" w:name="_Hlk507691153"/>
            <w:r w:rsidRPr="007926EA">
              <w:rPr>
                <w:lang w:val="en-US" w:eastAsia="zh-CN"/>
              </w:rPr>
              <w:t xml:space="preserve">the UE is not expected to transmit PUCCH/PUSCH/SRS or receive PDCCH/PDSCH/TRS/CSI-RS for CQI </w:t>
            </w:r>
            <w:bookmarkEnd w:id="1"/>
            <w:r w:rsidRPr="007926EA">
              <w:rPr>
                <w:lang w:val="en-US" w:eastAsia="zh-CN"/>
              </w:rPr>
              <w:t>on SSB symbols to be measured, and on 1 data symbol before each consecutive SSB symbols</w:t>
            </w:r>
            <w:r>
              <w:rPr>
                <w:lang w:val="en-US" w:eastAsia="zh-CN"/>
              </w:rPr>
              <w:t xml:space="preserve"> to be measured</w:t>
            </w:r>
            <w:r w:rsidRPr="007926EA">
              <w:rPr>
                <w:lang w:val="en-US" w:eastAsia="zh-CN"/>
              </w:rPr>
              <w:t xml:space="preserve"> and 1 data symbol after each consecutive SSB symbols</w:t>
            </w:r>
            <w:r>
              <w:rPr>
                <w:lang w:val="en-US" w:eastAsia="zh-CN"/>
              </w:rPr>
              <w:t xml:space="preserve"> to be measured</w:t>
            </w:r>
            <w:r w:rsidRPr="007926EA">
              <w:rPr>
                <w:lang w:val="en-US" w:eastAsia="zh-CN"/>
              </w:rPr>
              <w:t xml:space="preserve"> within SMTC window duration. </w:t>
            </w:r>
            <w:r w:rsidRPr="007926EA">
              <w:t xml:space="preserve">If the high layer in TS 38.331 [2] </w:t>
            </w:r>
            <w:proofErr w:type="spellStart"/>
            <w:r w:rsidRPr="007926EA">
              <w:t>signaling</w:t>
            </w:r>
            <w:proofErr w:type="spellEnd"/>
            <w:r w:rsidRPr="007926EA">
              <w:t xml:space="preserve">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28E0F396" w14:textId="77777777" w:rsidR="0079721F" w:rsidRPr="007926EA" w:rsidRDefault="0079721F" w:rsidP="0079721F">
            <w:pPr>
              <w:ind w:left="113" w:hanging="284"/>
              <w:rPr>
                <w:lang w:eastAsia="zh-CN"/>
              </w:rPr>
            </w:pPr>
            <w:r w:rsidRPr="007926EA">
              <w:rPr>
                <w:lang w:val="en-US" w:eastAsia="zh-CN"/>
              </w:rPr>
              <w:t>-</w:t>
            </w:r>
            <w:r w:rsidRPr="007926EA">
              <w:rPr>
                <w:lang w:val="en-US" w:eastAsia="zh-CN"/>
              </w:rPr>
              <w:tab/>
              <w:t xml:space="preserve">If </w:t>
            </w:r>
            <w:r w:rsidRPr="007926EA">
              <w:rPr>
                <w:i/>
                <w:noProof/>
                <w:lang w:val="en-US" w:eastAsia="ja-JP"/>
              </w:rPr>
              <w:t>deriveSSB_IndexFromCell</w:t>
            </w:r>
            <w:r w:rsidRPr="007926EA">
              <w:rPr>
                <w:lang w:val="en-US" w:eastAsia="zh-CN"/>
              </w:rPr>
              <w:t xml:space="preserve"> is </w:t>
            </w:r>
            <w:r w:rsidRPr="007926EA">
              <w:rPr>
                <w:lang w:val="en-US" w:eastAsia="ko-KR"/>
              </w:rPr>
              <w:t xml:space="preserve">not </w:t>
            </w:r>
            <w:r w:rsidRPr="007926EA">
              <w:rPr>
                <w:lang w:val="en-US" w:eastAsia="zh-CN"/>
              </w:rPr>
              <w:t xml:space="preserve">enabled the UE is not expected to transmit PUCCH/PUSCH/SRS or receive PDCCH/PDSCH/TRS/CSI-RS for CQI on all symbols within SMTC window duration. </w:t>
            </w:r>
            <w:r w:rsidRPr="007926EA">
              <w:t xml:space="preserve">If the high layer in TS 38.331 [2] </w:t>
            </w:r>
            <w:proofErr w:type="spellStart"/>
            <w:r w:rsidRPr="007926EA">
              <w:t>signaling</w:t>
            </w:r>
            <w:proofErr w:type="spellEnd"/>
            <w:r w:rsidRPr="007926EA">
              <w:t xml:space="preserve">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67D8C59B" w14:textId="0F34C0D4" w:rsidR="0079721F" w:rsidRDefault="0079721F" w:rsidP="0079721F">
            <w:pPr>
              <w:ind w:left="113"/>
              <w:rPr>
                <w:lang w:val="en-US"/>
              </w:rPr>
            </w:pPr>
            <w:r w:rsidRPr="007926EA">
              <w:rPr>
                <w:lang w:val="en-US"/>
              </w:rPr>
              <w:t>When intra</w:t>
            </w:r>
            <w:r w:rsidRPr="007926EA">
              <w:rPr>
                <w:lang w:val="en-US" w:eastAsia="ja-JP"/>
              </w:rPr>
              <w:t>-</w:t>
            </w:r>
            <w:r w:rsidRPr="007926EA">
              <w:rPr>
                <w:lang w:val="en-US"/>
              </w:rPr>
              <w:t>band carrier aggregation is perfo</w:t>
            </w:r>
            <w:r w:rsidRPr="007926EA">
              <w:rPr>
                <w:lang w:val="en-US" w:eastAsia="ja-JP"/>
              </w:rPr>
              <w:t>r</w:t>
            </w:r>
            <w:r w:rsidRPr="007926EA">
              <w:rPr>
                <w:lang w:val="en-US"/>
              </w:rPr>
              <w:t xml:space="preserve">med, the scheduling restrictions </w:t>
            </w:r>
            <w:r>
              <w:rPr>
                <w:lang w:val="en-US"/>
              </w:rPr>
              <w:t xml:space="preserve">due to one serving cell should also </w:t>
            </w:r>
            <w:r w:rsidRPr="007926EA">
              <w:rPr>
                <w:lang w:val="en-US"/>
              </w:rPr>
              <w:t xml:space="preserve">apply to all </w:t>
            </w:r>
            <w:r>
              <w:rPr>
                <w:lang w:val="en-US"/>
              </w:rPr>
              <w:t xml:space="preserve">other </w:t>
            </w:r>
            <w:r w:rsidRPr="007926EA">
              <w:rPr>
                <w:lang w:val="en-US"/>
              </w:rPr>
              <w:t xml:space="preserve">serving cells </w:t>
            </w:r>
            <w:r>
              <w:rPr>
                <w:lang w:val="en-US"/>
              </w:rPr>
              <w:t>in</w:t>
            </w:r>
            <w:r w:rsidRPr="007926EA">
              <w:rPr>
                <w:lang w:val="en-US"/>
              </w:rPr>
              <w:t xml:space="preserve"> the </w:t>
            </w:r>
            <w:r>
              <w:rPr>
                <w:lang w:val="en-US"/>
              </w:rPr>
              <w:t xml:space="preserve">same </w:t>
            </w:r>
            <w:r w:rsidRPr="007926EA">
              <w:rPr>
                <w:lang w:val="en-US"/>
              </w:rPr>
              <w:t>band</w:t>
            </w:r>
            <w:r>
              <w:rPr>
                <w:lang w:val="en-US"/>
              </w:rPr>
              <w:t xml:space="preserve"> on the symbols</w:t>
            </w:r>
            <w:r w:rsidRPr="00105635">
              <w:t xml:space="preserve"> </w:t>
            </w:r>
            <w:r>
              <w:t xml:space="preserve">that fully or partially overlap with </w:t>
            </w:r>
            <w:r w:rsidRPr="009615C6">
              <w:t>aforementioned</w:t>
            </w:r>
            <w:r>
              <w:t xml:space="preserve"> restricted symbols</w:t>
            </w:r>
            <w:r w:rsidRPr="007926EA">
              <w:rPr>
                <w:lang w:val="en-US"/>
              </w:rPr>
              <w:t>.</w:t>
            </w:r>
            <w:r w:rsidRPr="007926EA">
              <w:rPr>
                <w:lang w:val="en-US" w:eastAsia="ja-JP"/>
              </w:rPr>
              <w:t xml:space="preserve"> </w:t>
            </w:r>
            <w:r w:rsidRPr="0079721F">
              <w:rPr>
                <w:highlight w:val="yellow"/>
                <w:lang w:val="en-US" w:eastAsia="ja-JP"/>
              </w:rPr>
              <w:t xml:space="preserve">When inter-band carrier aggregation within FR1 is performed, </w:t>
            </w:r>
            <w:r w:rsidRPr="0079721F">
              <w:rPr>
                <w:highlight w:val="yellow"/>
                <w:lang w:eastAsia="ja-JP"/>
              </w:rPr>
              <w:t>t</w:t>
            </w:r>
            <w:r w:rsidRPr="0079721F">
              <w:rPr>
                <w:highlight w:val="yellow"/>
              </w:rPr>
              <w:t xml:space="preserve">here are no scheduling restrictions </w:t>
            </w:r>
            <w:r w:rsidRPr="0079721F">
              <w:rPr>
                <w:highlight w:val="yellow"/>
                <w:lang w:eastAsia="ja-JP"/>
              </w:rPr>
              <w:t xml:space="preserve">on FR1 serving cell(s) in the bands </w:t>
            </w:r>
            <w:r w:rsidRPr="0079721F">
              <w:rPr>
                <w:highlight w:val="yellow"/>
              </w:rPr>
              <w:t xml:space="preserve">due to measurements performed on </w:t>
            </w:r>
            <w:r w:rsidRPr="0079721F">
              <w:rPr>
                <w:highlight w:val="yellow"/>
                <w:lang w:eastAsia="ja-JP"/>
              </w:rPr>
              <w:t>FR1 serving cell frequency layer in different bands</w:t>
            </w:r>
            <w:r w:rsidRPr="0079721F">
              <w:rPr>
                <w:highlight w:val="yellow"/>
                <w:lang w:val="en-US" w:eastAsia="ja-JP"/>
              </w:rPr>
              <w:t>.</w:t>
            </w:r>
          </w:p>
        </w:tc>
      </w:tr>
    </w:tbl>
    <w:p w14:paraId="6BCD2BC3" w14:textId="77777777" w:rsidR="0079721F" w:rsidRDefault="0079721F" w:rsidP="00E97466">
      <w:pPr>
        <w:rPr>
          <w:lang w:val="en-US"/>
        </w:rPr>
      </w:pPr>
    </w:p>
    <w:p w14:paraId="75D63052" w14:textId="1D3AFC71" w:rsidR="0079721F" w:rsidRDefault="0079721F" w:rsidP="00E97466">
      <w:pPr>
        <w:rPr>
          <w:lang w:val="en-US"/>
        </w:rPr>
      </w:pPr>
      <w:r>
        <w:rPr>
          <w:lang w:val="en-US"/>
        </w:rPr>
        <w:t xml:space="preserve">The highlight part was removed to only define the case where there is scheduling restrictions and it is stated at the beginning that </w:t>
      </w:r>
      <w:r w:rsidR="002A6E27">
        <w:rPr>
          <w:lang w:val="en-US"/>
        </w:rPr>
        <w:t xml:space="preserve">only the conditions where there are scheduling restrictions are defined, otherwise there is no scheduling restriction. </w:t>
      </w:r>
    </w:p>
    <w:tbl>
      <w:tblPr>
        <w:tblStyle w:val="a7"/>
        <w:tblW w:w="0" w:type="auto"/>
        <w:tblLook w:val="04A0" w:firstRow="1" w:lastRow="0" w:firstColumn="1" w:lastColumn="0" w:noHBand="0" w:noVBand="1"/>
      </w:tblPr>
      <w:tblGrid>
        <w:gridCol w:w="9562"/>
      </w:tblGrid>
      <w:tr w:rsidR="0079721F" w14:paraId="332B8FC8" w14:textId="77777777" w:rsidTr="0079721F">
        <w:tc>
          <w:tcPr>
            <w:tcW w:w="9562" w:type="dxa"/>
          </w:tcPr>
          <w:p w14:paraId="2937ACC5" w14:textId="77777777" w:rsidR="0079721F" w:rsidRPr="009C5807" w:rsidRDefault="0079721F" w:rsidP="0079721F">
            <w:pPr>
              <w:pStyle w:val="4"/>
            </w:pPr>
            <w:r w:rsidRPr="009C5807">
              <w:lastRenderedPageBreak/>
              <w:t>9.2.5.3</w:t>
            </w:r>
            <w:r w:rsidRPr="009C5807">
              <w:tab/>
              <w:t>Scheduling availability of UE during intra-frequency measurements</w:t>
            </w:r>
          </w:p>
          <w:p w14:paraId="49112E57" w14:textId="57EBD57C" w:rsidR="0079721F" w:rsidRDefault="0079721F" w:rsidP="0079721F">
            <w:pPr>
              <w:rPr>
                <w:lang w:val="en-US"/>
              </w:rPr>
            </w:pPr>
            <w:r w:rsidRPr="009C5807">
              <w:rPr>
                <w:lang w:eastAsia="zh-CN"/>
              </w:rPr>
              <w:t>UE shall be capable of measuring without measurement gaps when the SSB is completely contained in the active bandwidth part of the UE. When</w:t>
            </w:r>
            <w:r w:rsidRPr="009C5807">
              <w:t xml:space="preserve"> any of the </w:t>
            </w:r>
            <w:r w:rsidRPr="009C5807">
              <w:rPr>
                <w:lang w:eastAsia="zh-CN"/>
              </w:rPr>
              <w:t>conditions in the following clauses is met</w:t>
            </w:r>
            <w:r w:rsidRPr="009C5807">
              <w:t xml:space="preserve">, there are restrictions on the scheduling availability; </w:t>
            </w:r>
            <w:r w:rsidRPr="002A6E27">
              <w:rPr>
                <w:highlight w:val="yellow"/>
              </w:rPr>
              <w:t>otherwise, there is no scheduling restriction.</w:t>
            </w:r>
          </w:p>
        </w:tc>
      </w:tr>
    </w:tbl>
    <w:p w14:paraId="70FEBB5F" w14:textId="77777777" w:rsidR="0079721F" w:rsidRDefault="0079721F" w:rsidP="00E97466">
      <w:pPr>
        <w:rPr>
          <w:lang w:val="en-US"/>
        </w:rPr>
      </w:pPr>
    </w:p>
    <w:p w14:paraId="7AF333B1" w14:textId="156933E5" w:rsidR="002A6E27" w:rsidRDefault="002A6E27" w:rsidP="00E97466">
      <w:pPr>
        <w:rPr>
          <w:lang w:val="en-US"/>
        </w:rPr>
      </w:pPr>
      <w:r>
        <w:rPr>
          <w:lang w:val="en-US"/>
        </w:rPr>
        <w:t xml:space="preserve">Therefore, we think it is clear that there is no scheduling restrictions for inter-band CA regardless of supporting </w:t>
      </w:r>
      <w:r w:rsidRPr="002A6E27">
        <w:rPr>
          <w:lang w:val="en-US"/>
        </w:rPr>
        <w:t>mixed numerology</w:t>
      </w:r>
      <w:r>
        <w:rPr>
          <w:lang w:val="en-US"/>
        </w:rPr>
        <w:t xml:space="preserve"> or not.</w:t>
      </w:r>
    </w:p>
    <w:p w14:paraId="7FF8A1FE" w14:textId="0437CFD4" w:rsidR="002A6E27" w:rsidRDefault="002A6E27" w:rsidP="00E97466">
      <w:pPr>
        <w:rPr>
          <w:b/>
          <w:lang w:val="en-US"/>
        </w:rPr>
      </w:pPr>
      <w:r w:rsidRPr="002A6E27">
        <w:rPr>
          <w:b/>
          <w:lang w:val="en-US"/>
        </w:rPr>
        <w:t>Proposal 1: In FR1 inter-band CA, the scheduling restriction due to one CC shall not apply to other CCs on the other bands.</w:t>
      </w:r>
    </w:p>
    <w:p w14:paraId="4D72006B" w14:textId="69FEA1C2" w:rsidR="00E97466" w:rsidRDefault="00AD133A" w:rsidP="00D53A4A">
      <w:pPr>
        <w:rPr>
          <w:rFonts w:eastAsiaTheme="minorEastAsia"/>
          <w:lang w:val="en-US" w:eastAsia="zh-CN"/>
        </w:rPr>
      </w:pPr>
      <w:r>
        <w:rPr>
          <w:rFonts w:eastAsiaTheme="minorEastAsia" w:hint="eastAsia"/>
          <w:lang w:val="en-US" w:eastAsia="zh-CN"/>
        </w:rPr>
        <w:t>Another</w:t>
      </w:r>
      <w:r>
        <w:rPr>
          <w:rFonts w:eastAsiaTheme="minorEastAsia"/>
          <w:lang w:val="en-US" w:eastAsia="zh-CN"/>
        </w:rPr>
        <w:t xml:space="preserve"> remaining issue is about whether to include the scheduling restriction on 1 data symbol before and after the RSSI measurement symbol. As commended during the last meeting, the intra-frequency RSSI/CO measurements </w:t>
      </w:r>
      <w:r w:rsidR="007E0E3C">
        <w:rPr>
          <w:rFonts w:eastAsiaTheme="minorEastAsia"/>
          <w:lang w:val="en-US" w:eastAsia="zh-CN"/>
        </w:rPr>
        <w:t xml:space="preserve">without gap </w:t>
      </w:r>
      <w:r>
        <w:rPr>
          <w:rFonts w:eastAsiaTheme="minorEastAsia"/>
          <w:lang w:val="en-US" w:eastAsia="zh-CN"/>
        </w:rPr>
        <w:t>are define</w:t>
      </w:r>
      <w:r w:rsidR="007E0E3C">
        <w:rPr>
          <w:rFonts w:eastAsiaTheme="minorEastAsia"/>
          <w:lang w:val="en-US" w:eastAsia="zh-CN"/>
        </w:rPr>
        <w:t>d</w:t>
      </w:r>
      <w:r>
        <w:rPr>
          <w:rFonts w:eastAsiaTheme="minorEastAsia"/>
          <w:lang w:val="en-US" w:eastAsia="zh-CN"/>
        </w:rPr>
        <w:t xml:space="preserve"> only when the RSSI measurement BW is fully contained within the active BWP. UE will perform the RSSI measurement using the serving cell’s timing, then we do not see the need to include the scheduling restrictions on additional 1 data symbol before and after the RSSI measurement symbols.</w:t>
      </w:r>
    </w:p>
    <w:p w14:paraId="3BC6C651" w14:textId="67AF1215" w:rsidR="00AD133A" w:rsidRPr="00AD133A" w:rsidRDefault="00AD133A" w:rsidP="00D53A4A">
      <w:pPr>
        <w:rPr>
          <w:rFonts w:eastAsiaTheme="minorEastAsia"/>
          <w:b/>
          <w:lang w:val="en-US" w:eastAsia="zh-CN"/>
        </w:rPr>
      </w:pPr>
      <w:r w:rsidRPr="00AD133A">
        <w:rPr>
          <w:rFonts w:eastAsiaTheme="minorEastAsia"/>
          <w:b/>
          <w:lang w:val="en-US" w:eastAsia="zh-CN"/>
        </w:rPr>
        <w:t>Proposal 2: It is suggested not to include the scheduling restriction on 1 data symbol before the first RSSI measurement symbol configured by RMTC, and 1 data symbol after the last RSSI measurement symbol configured by RMTC</w:t>
      </w:r>
    </w:p>
    <w:p w14:paraId="6FE304D3" w14:textId="1D7585FB" w:rsidR="00DF0231" w:rsidRPr="002D2977" w:rsidRDefault="00520DD2" w:rsidP="00011988">
      <w:pPr>
        <w:pStyle w:val="1"/>
        <w:tabs>
          <w:tab w:val="clear" w:pos="432"/>
        </w:tabs>
        <w:ind w:left="0" w:firstLine="0"/>
        <w:rPr>
          <w:lang w:val="en-US"/>
        </w:rPr>
      </w:pPr>
      <w:r w:rsidRPr="00011988">
        <w:rPr>
          <w:lang w:val="en-US"/>
        </w:rPr>
        <w:t xml:space="preserve"> </w:t>
      </w:r>
      <w:r w:rsidR="00DF0231" w:rsidRPr="002D2977">
        <w:rPr>
          <w:lang w:val="en-US"/>
        </w:rPr>
        <w:t>Conclusions</w:t>
      </w:r>
    </w:p>
    <w:p w14:paraId="2403A2FD" w14:textId="77777777" w:rsidR="00AD133A" w:rsidRDefault="00AD133A" w:rsidP="00AD133A">
      <w:pPr>
        <w:rPr>
          <w:b/>
          <w:lang w:val="en-US"/>
        </w:rPr>
      </w:pPr>
      <w:r w:rsidRPr="002A6E27">
        <w:rPr>
          <w:b/>
          <w:lang w:val="en-US"/>
        </w:rPr>
        <w:t>Proposal 1: In FR1 inter-band CA, the scheduling restriction due to one CC shall not apply to other CCs on the other bands.</w:t>
      </w:r>
    </w:p>
    <w:p w14:paraId="6C95B8D1" w14:textId="7F1128BB" w:rsidR="00901436" w:rsidRPr="00AD133A" w:rsidRDefault="00AD133A" w:rsidP="00C0085C">
      <w:pPr>
        <w:rPr>
          <w:rFonts w:eastAsiaTheme="minorEastAsia"/>
          <w:b/>
          <w:lang w:val="en-US" w:eastAsia="zh-CN"/>
        </w:rPr>
      </w:pPr>
      <w:r w:rsidRPr="00AD133A">
        <w:rPr>
          <w:rFonts w:eastAsiaTheme="minorEastAsia"/>
          <w:b/>
          <w:lang w:val="en-US" w:eastAsia="zh-CN"/>
        </w:rPr>
        <w:t>Proposal 2: It is suggested not to include the scheduling restriction on 1 data symbol before the first RSSI measurement symbol configured by RMTC, and 1 data symbol after the last RSSI measurement symbol configured by RMTC</w:t>
      </w:r>
    </w:p>
    <w:p w14:paraId="075440F7" w14:textId="77777777" w:rsidR="00DF0231" w:rsidRPr="002D2977" w:rsidRDefault="00DF0231" w:rsidP="00DF0231">
      <w:pPr>
        <w:pStyle w:val="1"/>
        <w:tabs>
          <w:tab w:val="clear" w:pos="432"/>
        </w:tabs>
        <w:ind w:left="0" w:firstLine="0"/>
        <w:rPr>
          <w:lang w:val="en-US"/>
        </w:rPr>
      </w:pPr>
      <w:r w:rsidRPr="002D2977">
        <w:rPr>
          <w:lang w:val="en-US"/>
        </w:rPr>
        <w:t>References</w:t>
      </w:r>
    </w:p>
    <w:p w14:paraId="14945CD2" w14:textId="7DC7FEBD" w:rsidR="007D0DF7" w:rsidRDefault="00DF0231">
      <w:r w:rsidRPr="002D2977">
        <w:rPr>
          <w:lang w:val="en-US"/>
        </w:rPr>
        <w:t xml:space="preserve">[1] </w:t>
      </w:r>
      <w:r w:rsidR="00E97466" w:rsidRPr="00E97466">
        <w:t>R4-2012293</w:t>
      </w:r>
      <w:r w:rsidR="00E97466">
        <w:t xml:space="preserve"> </w:t>
      </w:r>
      <w:r w:rsidR="00E97466" w:rsidRPr="00E97466">
        <w:t>WF on NR-U RRM (Part 3)</w:t>
      </w:r>
      <w:r w:rsidR="00E97466">
        <w:t>,</w:t>
      </w:r>
      <w:r w:rsidR="00E97466" w:rsidRPr="00E97466">
        <w:t xml:space="preserve"> Nokia, Nokia Shanghai Bell</w:t>
      </w:r>
      <w:r w:rsidR="0087326D" w:rsidRPr="0087326D">
        <w:t>.</w:t>
      </w:r>
    </w:p>
    <w:p w14:paraId="59D748A3" w14:textId="6A4E84FF" w:rsidR="0059170C" w:rsidRDefault="0059170C"/>
    <w:sectPr w:rsidR="0059170C"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D715DB" w14:textId="77777777" w:rsidR="000D0DC6" w:rsidRDefault="000D0DC6">
      <w:pPr>
        <w:spacing w:after="0"/>
      </w:pPr>
      <w:r>
        <w:separator/>
      </w:r>
    </w:p>
  </w:endnote>
  <w:endnote w:type="continuationSeparator" w:id="0">
    <w:p w14:paraId="7988D0C2" w14:textId="77777777" w:rsidR="000D0DC6" w:rsidRDefault="000D0D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CF812" w14:textId="77777777" w:rsidR="002A6E27" w:rsidRDefault="002A6E27">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14:paraId="0785A97A" w14:textId="77777777" w:rsidR="002A6E27" w:rsidRDefault="002A6E2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15A9A" w14:textId="77777777" w:rsidR="002A6E27" w:rsidRDefault="002A6E27">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03462">
      <w:rPr>
        <w:rStyle w:val="a5"/>
      </w:rPr>
      <w:t>2</w:t>
    </w:r>
    <w:r>
      <w:rPr>
        <w:rStyle w:val="a5"/>
      </w:rPr>
      <w:fldChar w:fldCharType="end"/>
    </w:r>
  </w:p>
  <w:p w14:paraId="4C6D8748" w14:textId="77777777" w:rsidR="002A6E27" w:rsidRDefault="002A6E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F37AC9" w14:textId="77777777" w:rsidR="000D0DC6" w:rsidRDefault="000D0DC6">
      <w:pPr>
        <w:spacing w:after="0"/>
      </w:pPr>
      <w:r>
        <w:separator/>
      </w:r>
    </w:p>
  </w:footnote>
  <w:footnote w:type="continuationSeparator" w:id="0">
    <w:p w14:paraId="22A0BC18" w14:textId="77777777" w:rsidR="000D0DC6" w:rsidRDefault="000D0DC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5EA650A"/>
    <w:multiLevelType w:val="hybridMultilevel"/>
    <w:tmpl w:val="FAFAF696"/>
    <w:lvl w:ilvl="0" w:tplc="9CF26680">
      <w:start w:val="1"/>
      <w:numFmt w:val="bullet"/>
      <w:lvlText w:val="•"/>
      <w:lvlJc w:val="left"/>
      <w:pPr>
        <w:tabs>
          <w:tab w:val="num" w:pos="720"/>
        </w:tabs>
        <w:ind w:left="720" w:hanging="360"/>
      </w:pPr>
      <w:rPr>
        <w:rFonts w:ascii="Arial" w:hAnsi="Arial" w:hint="default"/>
      </w:rPr>
    </w:lvl>
    <w:lvl w:ilvl="1" w:tplc="B01CC0E4">
      <w:numFmt w:val="bullet"/>
      <w:lvlText w:val="•"/>
      <w:lvlJc w:val="left"/>
      <w:pPr>
        <w:tabs>
          <w:tab w:val="num" w:pos="1440"/>
        </w:tabs>
        <w:ind w:left="1440" w:hanging="360"/>
      </w:pPr>
      <w:rPr>
        <w:rFonts w:ascii="Arial" w:hAnsi="Arial" w:hint="default"/>
      </w:rPr>
    </w:lvl>
    <w:lvl w:ilvl="2" w:tplc="9D7401C6" w:tentative="1">
      <w:start w:val="1"/>
      <w:numFmt w:val="bullet"/>
      <w:lvlText w:val="•"/>
      <w:lvlJc w:val="left"/>
      <w:pPr>
        <w:tabs>
          <w:tab w:val="num" w:pos="2160"/>
        </w:tabs>
        <w:ind w:left="2160" w:hanging="360"/>
      </w:pPr>
      <w:rPr>
        <w:rFonts w:ascii="Arial" w:hAnsi="Arial" w:hint="default"/>
      </w:rPr>
    </w:lvl>
    <w:lvl w:ilvl="3" w:tplc="72F6CDBE" w:tentative="1">
      <w:start w:val="1"/>
      <w:numFmt w:val="bullet"/>
      <w:lvlText w:val="•"/>
      <w:lvlJc w:val="left"/>
      <w:pPr>
        <w:tabs>
          <w:tab w:val="num" w:pos="2880"/>
        </w:tabs>
        <w:ind w:left="2880" w:hanging="360"/>
      </w:pPr>
      <w:rPr>
        <w:rFonts w:ascii="Arial" w:hAnsi="Arial" w:hint="default"/>
      </w:rPr>
    </w:lvl>
    <w:lvl w:ilvl="4" w:tplc="ADB2F936" w:tentative="1">
      <w:start w:val="1"/>
      <w:numFmt w:val="bullet"/>
      <w:lvlText w:val="•"/>
      <w:lvlJc w:val="left"/>
      <w:pPr>
        <w:tabs>
          <w:tab w:val="num" w:pos="3600"/>
        </w:tabs>
        <w:ind w:left="3600" w:hanging="360"/>
      </w:pPr>
      <w:rPr>
        <w:rFonts w:ascii="Arial" w:hAnsi="Arial" w:hint="default"/>
      </w:rPr>
    </w:lvl>
    <w:lvl w:ilvl="5" w:tplc="1A128656" w:tentative="1">
      <w:start w:val="1"/>
      <w:numFmt w:val="bullet"/>
      <w:lvlText w:val="•"/>
      <w:lvlJc w:val="left"/>
      <w:pPr>
        <w:tabs>
          <w:tab w:val="num" w:pos="4320"/>
        </w:tabs>
        <w:ind w:left="4320" w:hanging="360"/>
      </w:pPr>
      <w:rPr>
        <w:rFonts w:ascii="Arial" w:hAnsi="Arial" w:hint="default"/>
      </w:rPr>
    </w:lvl>
    <w:lvl w:ilvl="6" w:tplc="2946B898" w:tentative="1">
      <w:start w:val="1"/>
      <w:numFmt w:val="bullet"/>
      <w:lvlText w:val="•"/>
      <w:lvlJc w:val="left"/>
      <w:pPr>
        <w:tabs>
          <w:tab w:val="num" w:pos="5040"/>
        </w:tabs>
        <w:ind w:left="5040" w:hanging="360"/>
      </w:pPr>
      <w:rPr>
        <w:rFonts w:ascii="Arial" w:hAnsi="Arial" w:hint="default"/>
      </w:rPr>
    </w:lvl>
    <w:lvl w:ilvl="7" w:tplc="5512F052" w:tentative="1">
      <w:start w:val="1"/>
      <w:numFmt w:val="bullet"/>
      <w:lvlText w:val="•"/>
      <w:lvlJc w:val="left"/>
      <w:pPr>
        <w:tabs>
          <w:tab w:val="num" w:pos="5760"/>
        </w:tabs>
        <w:ind w:left="5760" w:hanging="360"/>
      </w:pPr>
      <w:rPr>
        <w:rFonts w:ascii="Arial" w:hAnsi="Arial" w:hint="default"/>
      </w:rPr>
    </w:lvl>
    <w:lvl w:ilvl="8" w:tplc="0786E81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11"/>
  </w:num>
  <w:num w:numId="2">
    <w:abstractNumId w:val="0"/>
  </w:num>
  <w:num w:numId="3">
    <w:abstractNumId w:val="18"/>
  </w:num>
  <w:num w:numId="4">
    <w:abstractNumId w:val="21"/>
  </w:num>
  <w:num w:numId="5">
    <w:abstractNumId w:val="15"/>
  </w:num>
  <w:num w:numId="6">
    <w:abstractNumId w:val="4"/>
  </w:num>
  <w:num w:numId="7">
    <w:abstractNumId w:val="13"/>
  </w:num>
  <w:num w:numId="8">
    <w:abstractNumId w:val="1"/>
  </w:num>
  <w:num w:numId="9">
    <w:abstractNumId w:val="3"/>
  </w:num>
  <w:num w:numId="10">
    <w:abstractNumId w:val="2"/>
  </w:num>
  <w:num w:numId="11">
    <w:abstractNumId w:val="6"/>
  </w:num>
  <w:num w:numId="12">
    <w:abstractNumId w:val="8"/>
  </w:num>
  <w:num w:numId="13">
    <w:abstractNumId w:val="7"/>
  </w:num>
  <w:num w:numId="14">
    <w:abstractNumId w:val="5"/>
  </w:num>
  <w:num w:numId="15">
    <w:abstractNumId w:val="17"/>
  </w:num>
  <w:num w:numId="16">
    <w:abstractNumId w:val="10"/>
  </w:num>
  <w:num w:numId="17">
    <w:abstractNumId w:val="9"/>
  </w:num>
  <w:num w:numId="18">
    <w:abstractNumId w:val="14"/>
  </w:num>
  <w:num w:numId="19">
    <w:abstractNumId w:val="19"/>
  </w:num>
  <w:num w:numId="20">
    <w:abstractNumId w:val="16"/>
  </w:num>
  <w:num w:numId="21">
    <w:abstractNumId w:val="20"/>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3462"/>
    <w:rsid w:val="00011988"/>
    <w:rsid w:val="000131D4"/>
    <w:rsid w:val="0004558E"/>
    <w:rsid w:val="00063E08"/>
    <w:rsid w:val="00067B89"/>
    <w:rsid w:val="000A1878"/>
    <w:rsid w:val="000A2ED7"/>
    <w:rsid w:val="000A4BCB"/>
    <w:rsid w:val="000A7A19"/>
    <w:rsid w:val="000C154C"/>
    <w:rsid w:val="000D0DC6"/>
    <w:rsid w:val="000D2930"/>
    <w:rsid w:val="000E0A8A"/>
    <w:rsid w:val="000E2C03"/>
    <w:rsid w:val="000E730F"/>
    <w:rsid w:val="0010016B"/>
    <w:rsid w:val="00100360"/>
    <w:rsid w:val="001270A1"/>
    <w:rsid w:val="00145487"/>
    <w:rsid w:val="00164F56"/>
    <w:rsid w:val="00172199"/>
    <w:rsid w:val="0017747E"/>
    <w:rsid w:val="00185388"/>
    <w:rsid w:val="001E7174"/>
    <w:rsid w:val="001F437B"/>
    <w:rsid w:val="0020033A"/>
    <w:rsid w:val="002221AC"/>
    <w:rsid w:val="00222AF7"/>
    <w:rsid w:val="002328DD"/>
    <w:rsid w:val="002339ED"/>
    <w:rsid w:val="002428D6"/>
    <w:rsid w:val="00245810"/>
    <w:rsid w:val="00254006"/>
    <w:rsid w:val="00254F38"/>
    <w:rsid w:val="002736F0"/>
    <w:rsid w:val="00282D3C"/>
    <w:rsid w:val="00294B79"/>
    <w:rsid w:val="002A5E54"/>
    <w:rsid w:val="002A6E27"/>
    <w:rsid w:val="002B3EF2"/>
    <w:rsid w:val="002B45C3"/>
    <w:rsid w:val="002E668C"/>
    <w:rsid w:val="002F579F"/>
    <w:rsid w:val="0030638F"/>
    <w:rsid w:val="00311CF9"/>
    <w:rsid w:val="003139FE"/>
    <w:rsid w:val="00336712"/>
    <w:rsid w:val="00336939"/>
    <w:rsid w:val="0035460B"/>
    <w:rsid w:val="00356FB6"/>
    <w:rsid w:val="00362718"/>
    <w:rsid w:val="0036592F"/>
    <w:rsid w:val="003664ED"/>
    <w:rsid w:val="003814AB"/>
    <w:rsid w:val="00385395"/>
    <w:rsid w:val="003A5E2B"/>
    <w:rsid w:val="003B681E"/>
    <w:rsid w:val="003C61AB"/>
    <w:rsid w:val="003F0451"/>
    <w:rsid w:val="003F762D"/>
    <w:rsid w:val="00401C1C"/>
    <w:rsid w:val="00406366"/>
    <w:rsid w:val="00430F24"/>
    <w:rsid w:val="00432636"/>
    <w:rsid w:val="00435EBD"/>
    <w:rsid w:val="00451B80"/>
    <w:rsid w:val="00461C12"/>
    <w:rsid w:val="00466D02"/>
    <w:rsid w:val="00477263"/>
    <w:rsid w:val="0049501A"/>
    <w:rsid w:val="004A678E"/>
    <w:rsid w:val="004A7CF2"/>
    <w:rsid w:val="004C4868"/>
    <w:rsid w:val="004D644C"/>
    <w:rsid w:val="004F0167"/>
    <w:rsid w:val="00507437"/>
    <w:rsid w:val="0051050C"/>
    <w:rsid w:val="00520DD2"/>
    <w:rsid w:val="005235DB"/>
    <w:rsid w:val="0052623A"/>
    <w:rsid w:val="00530EB0"/>
    <w:rsid w:val="005375AA"/>
    <w:rsid w:val="00545EC2"/>
    <w:rsid w:val="0054734A"/>
    <w:rsid w:val="00551CD8"/>
    <w:rsid w:val="00575302"/>
    <w:rsid w:val="0059170C"/>
    <w:rsid w:val="005A456B"/>
    <w:rsid w:val="005B1B84"/>
    <w:rsid w:val="005C28A6"/>
    <w:rsid w:val="005E4CCD"/>
    <w:rsid w:val="005F5231"/>
    <w:rsid w:val="00663F0E"/>
    <w:rsid w:val="006A79AC"/>
    <w:rsid w:val="006D43CD"/>
    <w:rsid w:val="006F27CD"/>
    <w:rsid w:val="00700A0D"/>
    <w:rsid w:val="00701598"/>
    <w:rsid w:val="00702FA5"/>
    <w:rsid w:val="00712608"/>
    <w:rsid w:val="00714064"/>
    <w:rsid w:val="007200C7"/>
    <w:rsid w:val="00723883"/>
    <w:rsid w:val="00732D90"/>
    <w:rsid w:val="00736D84"/>
    <w:rsid w:val="00757DEF"/>
    <w:rsid w:val="0077159B"/>
    <w:rsid w:val="007902A8"/>
    <w:rsid w:val="0079721F"/>
    <w:rsid w:val="007A0C7C"/>
    <w:rsid w:val="007A37DA"/>
    <w:rsid w:val="007B7142"/>
    <w:rsid w:val="007C04D0"/>
    <w:rsid w:val="007D0DF7"/>
    <w:rsid w:val="007D3409"/>
    <w:rsid w:val="007E0E3C"/>
    <w:rsid w:val="007E5F97"/>
    <w:rsid w:val="007E67EC"/>
    <w:rsid w:val="007F2E6A"/>
    <w:rsid w:val="00804945"/>
    <w:rsid w:val="00806052"/>
    <w:rsid w:val="00824571"/>
    <w:rsid w:val="00837558"/>
    <w:rsid w:val="008446CE"/>
    <w:rsid w:val="008577CA"/>
    <w:rsid w:val="0087326D"/>
    <w:rsid w:val="00873C1C"/>
    <w:rsid w:val="008766C3"/>
    <w:rsid w:val="00884051"/>
    <w:rsid w:val="0088604D"/>
    <w:rsid w:val="0089002D"/>
    <w:rsid w:val="008921D4"/>
    <w:rsid w:val="00892EAE"/>
    <w:rsid w:val="008A1C4E"/>
    <w:rsid w:val="008B4F73"/>
    <w:rsid w:val="008D55C5"/>
    <w:rsid w:val="008E2591"/>
    <w:rsid w:val="00901436"/>
    <w:rsid w:val="00907365"/>
    <w:rsid w:val="00914A03"/>
    <w:rsid w:val="0091568D"/>
    <w:rsid w:val="00915DEA"/>
    <w:rsid w:val="00920F6A"/>
    <w:rsid w:val="009450D8"/>
    <w:rsid w:val="009708D0"/>
    <w:rsid w:val="0099102E"/>
    <w:rsid w:val="009968CF"/>
    <w:rsid w:val="009A5118"/>
    <w:rsid w:val="009B226D"/>
    <w:rsid w:val="009C4B04"/>
    <w:rsid w:val="009C4E39"/>
    <w:rsid w:val="009C7D5E"/>
    <w:rsid w:val="009D03C6"/>
    <w:rsid w:val="009D12F7"/>
    <w:rsid w:val="009D2942"/>
    <w:rsid w:val="009D4189"/>
    <w:rsid w:val="009E3626"/>
    <w:rsid w:val="009E3A88"/>
    <w:rsid w:val="009E6763"/>
    <w:rsid w:val="009E6DC8"/>
    <w:rsid w:val="00A1597D"/>
    <w:rsid w:val="00A22790"/>
    <w:rsid w:val="00A26AB0"/>
    <w:rsid w:val="00A33C20"/>
    <w:rsid w:val="00A3402C"/>
    <w:rsid w:val="00A34913"/>
    <w:rsid w:val="00A35F07"/>
    <w:rsid w:val="00A42E3A"/>
    <w:rsid w:val="00A43D41"/>
    <w:rsid w:val="00A82803"/>
    <w:rsid w:val="00A92B06"/>
    <w:rsid w:val="00AB04CE"/>
    <w:rsid w:val="00AC2C97"/>
    <w:rsid w:val="00AD133A"/>
    <w:rsid w:val="00AD65F4"/>
    <w:rsid w:val="00AD69AA"/>
    <w:rsid w:val="00AE165A"/>
    <w:rsid w:val="00AE6BE0"/>
    <w:rsid w:val="00AF5966"/>
    <w:rsid w:val="00B03811"/>
    <w:rsid w:val="00B10C6E"/>
    <w:rsid w:val="00B222CB"/>
    <w:rsid w:val="00B23292"/>
    <w:rsid w:val="00B2746E"/>
    <w:rsid w:val="00B343A3"/>
    <w:rsid w:val="00B41E6D"/>
    <w:rsid w:val="00B71C35"/>
    <w:rsid w:val="00B73A82"/>
    <w:rsid w:val="00B76F4D"/>
    <w:rsid w:val="00B911CA"/>
    <w:rsid w:val="00BB2A32"/>
    <w:rsid w:val="00BC449A"/>
    <w:rsid w:val="00BC47AB"/>
    <w:rsid w:val="00BD2AB1"/>
    <w:rsid w:val="00BE1FD4"/>
    <w:rsid w:val="00BE677A"/>
    <w:rsid w:val="00BE6A2E"/>
    <w:rsid w:val="00BF00A7"/>
    <w:rsid w:val="00BF33D9"/>
    <w:rsid w:val="00C0085C"/>
    <w:rsid w:val="00C11B10"/>
    <w:rsid w:val="00C1419F"/>
    <w:rsid w:val="00C166E3"/>
    <w:rsid w:val="00C338CA"/>
    <w:rsid w:val="00C42942"/>
    <w:rsid w:val="00C50A0A"/>
    <w:rsid w:val="00C50D3A"/>
    <w:rsid w:val="00C61374"/>
    <w:rsid w:val="00C638D8"/>
    <w:rsid w:val="00C83525"/>
    <w:rsid w:val="00CA1729"/>
    <w:rsid w:val="00CA1DAE"/>
    <w:rsid w:val="00CA764E"/>
    <w:rsid w:val="00CE0DA0"/>
    <w:rsid w:val="00D14FDC"/>
    <w:rsid w:val="00D24B94"/>
    <w:rsid w:val="00D3643B"/>
    <w:rsid w:val="00D41D2D"/>
    <w:rsid w:val="00D53A4A"/>
    <w:rsid w:val="00D65E2F"/>
    <w:rsid w:val="00D82643"/>
    <w:rsid w:val="00DB10D2"/>
    <w:rsid w:val="00DB1DD4"/>
    <w:rsid w:val="00DB61B3"/>
    <w:rsid w:val="00DD1DFF"/>
    <w:rsid w:val="00DF0231"/>
    <w:rsid w:val="00DF2994"/>
    <w:rsid w:val="00E04C43"/>
    <w:rsid w:val="00E06181"/>
    <w:rsid w:val="00E16D37"/>
    <w:rsid w:val="00E17F78"/>
    <w:rsid w:val="00E22D0F"/>
    <w:rsid w:val="00E5666B"/>
    <w:rsid w:val="00E577DD"/>
    <w:rsid w:val="00E72064"/>
    <w:rsid w:val="00E775B2"/>
    <w:rsid w:val="00E91110"/>
    <w:rsid w:val="00E9184C"/>
    <w:rsid w:val="00E97466"/>
    <w:rsid w:val="00EA4E79"/>
    <w:rsid w:val="00EA5149"/>
    <w:rsid w:val="00EB02DF"/>
    <w:rsid w:val="00EE4EEA"/>
    <w:rsid w:val="00EE6F45"/>
    <w:rsid w:val="00EF1F3E"/>
    <w:rsid w:val="00EF66B2"/>
    <w:rsid w:val="00F0497C"/>
    <w:rsid w:val="00F076D1"/>
    <w:rsid w:val="00F10653"/>
    <w:rsid w:val="00F22DF5"/>
    <w:rsid w:val="00F303F4"/>
    <w:rsid w:val="00F413E7"/>
    <w:rsid w:val="00F43475"/>
    <w:rsid w:val="00F559B5"/>
    <w:rsid w:val="00F714A7"/>
    <w:rsid w:val="00FA1D27"/>
    <w:rsid w:val="00FA25AA"/>
    <w:rsid w:val="00FA4943"/>
    <w:rsid w:val="00FC0387"/>
    <w:rsid w:val="00FC0F9D"/>
    <w:rsid w:val="00FC3492"/>
    <w:rsid w:val="00FD34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4A8722"/>
  <w15:chartTrackingRefBased/>
  <w15:docId w15:val="{40D95EB6-855F-47E1-97ED-A28E903F1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27CD"/>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unhideWhenUsed/>
    <w:qFormat/>
    <w:rsid w:val="00164F5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styleId="aa">
    <w:name w:val="annotation reference"/>
    <w:basedOn w:val="a0"/>
    <w:unhideWhenUsed/>
    <w:rsid w:val="0051050C"/>
    <w:rPr>
      <w:sz w:val="21"/>
      <w:szCs w:val="21"/>
    </w:rPr>
  </w:style>
  <w:style w:type="paragraph" w:styleId="ab">
    <w:name w:val="annotation text"/>
    <w:basedOn w:val="a"/>
    <w:link w:val="Char2"/>
    <w:unhideWhenUsed/>
    <w:rsid w:val="0051050C"/>
  </w:style>
  <w:style w:type="character" w:customStyle="1" w:styleId="Char2">
    <w:name w:val="批注文字 Char"/>
    <w:basedOn w:val="a0"/>
    <w:link w:val="ab"/>
    <w:uiPriority w:val="99"/>
    <w:rsid w:val="0051050C"/>
    <w:rPr>
      <w:rFonts w:ascii="Times New Roman" w:eastAsia="MS Mincho" w:hAnsi="Times New Roman" w:cs="Times New Roman"/>
      <w:kern w:val="0"/>
      <w:sz w:val="20"/>
      <w:szCs w:val="20"/>
      <w:lang w:val="en-GB" w:eastAsia="en-US"/>
    </w:rPr>
  </w:style>
  <w:style w:type="paragraph" w:styleId="ac">
    <w:name w:val="annotation subject"/>
    <w:basedOn w:val="ab"/>
    <w:next w:val="ab"/>
    <w:link w:val="Char3"/>
    <w:uiPriority w:val="99"/>
    <w:semiHidden/>
    <w:unhideWhenUsed/>
    <w:rsid w:val="0051050C"/>
    <w:rPr>
      <w:b/>
      <w:bCs/>
    </w:rPr>
  </w:style>
  <w:style w:type="character" w:customStyle="1" w:styleId="Char3">
    <w:name w:val="批注主题 Char"/>
    <w:basedOn w:val="Char2"/>
    <w:link w:val="ac"/>
    <w:uiPriority w:val="99"/>
    <w:semiHidden/>
    <w:rsid w:val="0051050C"/>
    <w:rPr>
      <w:rFonts w:ascii="Times New Roman" w:eastAsia="MS Mincho" w:hAnsi="Times New Roman" w:cs="Times New Roman"/>
      <w:b/>
      <w:bCs/>
      <w:kern w:val="0"/>
      <w:sz w:val="20"/>
      <w:szCs w:val="20"/>
      <w:lang w:val="en-GB" w:eastAsia="en-US"/>
    </w:rPr>
  </w:style>
  <w:style w:type="paragraph" w:styleId="ad">
    <w:name w:val="Balloon Text"/>
    <w:basedOn w:val="a"/>
    <w:link w:val="Char4"/>
    <w:uiPriority w:val="99"/>
    <w:semiHidden/>
    <w:unhideWhenUsed/>
    <w:rsid w:val="0051050C"/>
    <w:pPr>
      <w:spacing w:after="0"/>
    </w:pPr>
    <w:rPr>
      <w:sz w:val="18"/>
      <w:szCs w:val="18"/>
    </w:rPr>
  </w:style>
  <w:style w:type="character" w:customStyle="1" w:styleId="Char4">
    <w:name w:val="批注框文本 Char"/>
    <w:basedOn w:val="a0"/>
    <w:link w:val="ad"/>
    <w:uiPriority w:val="99"/>
    <w:semiHidden/>
    <w:rsid w:val="0051050C"/>
    <w:rPr>
      <w:rFonts w:ascii="Times New Roman" w:eastAsia="MS Mincho" w:hAnsi="Times New Roman" w:cs="Times New Roman"/>
      <w:kern w:val="0"/>
      <w:sz w:val="18"/>
      <w:szCs w:val="18"/>
      <w:lang w:val="en-GB" w:eastAsia="en-US"/>
    </w:rPr>
  </w:style>
  <w:style w:type="character" w:customStyle="1" w:styleId="B1Char1">
    <w:name w:val="B1 Char1"/>
    <w:qFormat/>
    <w:locked/>
    <w:rsid w:val="0052623A"/>
    <w:rPr>
      <w:rFonts w:ascii="Times New Roman" w:eastAsia="Times New Roman" w:hAnsi="Times New Roman" w:cs="Times New Roman"/>
      <w:lang w:val="en-GB" w:eastAsia="ja-JP"/>
    </w:rPr>
  </w:style>
  <w:style w:type="character" w:customStyle="1" w:styleId="4Char">
    <w:name w:val="标题 4 Char"/>
    <w:basedOn w:val="a0"/>
    <w:link w:val="4"/>
    <w:uiPriority w:val="9"/>
    <w:rsid w:val="00164F56"/>
    <w:rPr>
      <w:rFonts w:asciiTheme="majorHAnsi" w:eastAsiaTheme="majorEastAsia" w:hAnsiTheme="majorHAnsi" w:cstheme="majorBidi"/>
      <w:b/>
      <w:bCs/>
      <w:kern w:val="0"/>
      <w:sz w:val="28"/>
      <w:szCs w:val="28"/>
      <w:lang w:val="en-GB" w:eastAsia="en-US"/>
    </w:rPr>
  </w:style>
  <w:style w:type="character" w:customStyle="1" w:styleId="B1Char">
    <w:name w:val="B1 Char"/>
    <w:qFormat/>
    <w:locked/>
    <w:rsid w:val="00461C12"/>
    <w:rPr>
      <w:rFonts w:ascii="Times New Roman" w:eastAsia="Times New Roman" w:hAnsi="Times New Roman" w:cs="Times New Roman"/>
    </w:rPr>
  </w:style>
  <w:style w:type="character" w:customStyle="1" w:styleId="B2Char">
    <w:name w:val="B2 Char"/>
    <w:link w:val="B2"/>
    <w:qFormat/>
    <w:locked/>
    <w:rsid w:val="00461C12"/>
    <w:rPr>
      <w:rFonts w:ascii="Times New Roman" w:eastAsia="Times New Roman" w:hAnsi="Times New Roman" w:cs="Times New Roman"/>
    </w:rPr>
  </w:style>
  <w:style w:type="paragraph" w:customStyle="1" w:styleId="B2">
    <w:name w:val="B2"/>
    <w:basedOn w:val="20"/>
    <w:link w:val="B2Char"/>
    <w:rsid w:val="00461C12"/>
    <w:pPr>
      <w:overflowPunct w:val="0"/>
      <w:autoSpaceDE w:val="0"/>
      <w:autoSpaceDN w:val="0"/>
      <w:adjustRightInd w:val="0"/>
      <w:ind w:leftChars="0" w:left="851" w:firstLineChars="0" w:hanging="284"/>
      <w:contextualSpacing w:val="0"/>
    </w:pPr>
    <w:rPr>
      <w:rFonts w:eastAsia="Times New Roman"/>
      <w:kern w:val="2"/>
      <w:sz w:val="21"/>
      <w:szCs w:val="22"/>
      <w:lang w:val="en-US" w:eastAsia="zh-CN"/>
    </w:rPr>
  </w:style>
  <w:style w:type="paragraph" w:styleId="20">
    <w:name w:val="List 2"/>
    <w:basedOn w:val="a"/>
    <w:uiPriority w:val="99"/>
    <w:semiHidden/>
    <w:unhideWhenUsed/>
    <w:rsid w:val="00461C12"/>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799">
      <w:bodyDiv w:val="1"/>
      <w:marLeft w:val="0"/>
      <w:marRight w:val="0"/>
      <w:marTop w:val="0"/>
      <w:marBottom w:val="0"/>
      <w:divBdr>
        <w:top w:val="none" w:sz="0" w:space="0" w:color="auto"/>
        <w:left w:val="none" w:sz="0" w:space="0" w:color="auto"/>
        <w:bottom w:val="none" w:sz="0" w:space="0" w:color="auto"/>
        <w:right w:val="none" w:sz="0" w:space="0" w:color="auto"/>
      </w:divBdr>
    </w:div>
    <w:div w:id="30614000">
      <w:bodyDiv w:val="1"/>
      <w:marLeft w:val="0"/>
      <w:marRight w:val="0"/>
      <w:marTop w:val="0"/>
      <w:marBottom w:val="0"/>
      <w:divBdr>
        <w:top w:val="none" w:sz="0" w:space="0" w:color="auto"/>
        <w:left w:val="none" w:sz="0" w:space="0" w:color="auto"/>
        <w:bottom w:val="none" w:sz="0" w:space="0" w:color="auto"/>
        <w:right w:val="none" w:sz="0" w:space="0" w:color="auto"/>
      </w:divBdr>
    </w:div>
    <w:div w:id="4417935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9301051">
      <w:bodyDiv w:val="1"/>
      <w:marLeft w:val="0"/>
      <w:marRight w:val="0"/>
      <w:marTop w:val="0"/>
      <w:marBottom w:val="0"/>
      <w:divBdr>
        <w:top w:val="none" w:sz="0" w:space="0" w:color="auto"/>
        <w:left w:val="none" w:sz="0" w:space="0" w:color="auto"/>
        <w:bottom w:val="none" w:sz="0" w:space="0" w:color="auto"/>
        <w:right w:val="none" w:sz="0" w:space="0" w:color="auto"/>
      </w:divBdr>
    </w:div>
    <w:div w:id="112292330">
      <w:bodyDiv w:val="1"/>
      <w:marLeft w:val="0"/>
      <w:marRight w:val="0"/>
      <w:marTop w:val="0"/>
      <w:marBottom w:val="0"/>
      <w:divBdr>
        <w:top w:val="none" w:sz="0" w:space="0" w:color="auto"/>
        <w:left w:val="none" w:sz="0" w:space="0" w:color="auto"/>
        <w:bottom w:val="none" w:sz="0" w:space="0" w:color="auto"/>
        <w:right w:val="none" w:sz="0" w:space="0" w:color="auto"/>
      </w:divBdr>
      <w:divsChild>
        <w:div w:id="218244758">
          <w:marLeft w:val="360"/>
          <w:marRight w:val="0"/>
          <w:marTop w:val="200"/>
          <w:marBottom w:val="0"/>
          <w:divBdr>
            <w:top w:val="none" w:sz="0" w:space="0" w:color="auto"/>
            <w:left w:val="none" w:sz="0" w:space="0" w:color="auto"/>
            <w:bottom w:val="none" w:sz="0" w:space="0" w:color="auto"/>
            <w:right w:val="none" w:sz="0" w:space="0" w:color="auto"/>
          </w:divBdr>
        </w:div>
        <w:div w:id="323246215">
          <w:marLeft w:val="1080"/>
          <w:marRight w:val="0"/>
          <w:marTop w:val="100"/>
          <w:marBottom w:val="0"/>
          <w:divBdr>
            <w:top w:val="none" w:sz="0" w:space="0" w:color="auto"/>
            <w:left w:val="none" w:sz="0" w:space="0" w:color="auto"/>
            <w:bottom w:val="none" w:sz="0" w:space="0" w:color="auto"/>
            <w:right w:val="none" w:sz="0" w:space="0" w:color="auto"/>
          </w:divBdr>
        </w:div>
        <w:div w:id="1904638808">
          <w:marLeft w:val="360"/>
          <w:marRight w:val="0"/>
          <w:marTop w:val="200"/>
          <w:marBottom w:val="0"/>
          <w:divBdr>
            <w:top w:val="none" w:sz="0" w:space="0" w:color="auto"/>
            <w:left w:val="none" w:sz="0" w:space="0" w:color="auto"/>
            <w:bottom w:val="none" w:sz="0" w:space="0" w:color="auto"/>
            <w:right w:val="none" w:sz="0" w:space="0" w:color="auto"/>
          </w:divBdr>
        </w:div>
        <w:div w:id="402147647">
          <w:marLeft w:val="1080"/>
          <w:marRight w:val="0"/>
          <w:marTop w:val="100"/>
          <w:marBottom w:val="0"/>
          <w:divBdr>
            <w:top w:val="none" w:sz="0" w:space="0" w:color="auto"/>
            <w:left w:val="none" w:sz="0" w:space="0" w:color="auto"/>
            <w:bottom w:val="none" w:sz="0" w:space="0" w:color="auto"/>
            <w:right w:val="none" w:sz="0" w:space="0" w:color="auto"/>
          </w:divBdr>
        </w:div>
      </w:divsChild>
    </w:div>
    <w:div w:id="147093299">
      <w:bodyDiv w:val="1"/>
      <w:marLeft w:val="0"/>
      <w:marRight w:val="0"/>
      <w:marTop w:val="0"/>
      <w:marBottom w:val="0"/>
      <w:divBdr>
        <w:top w:val="none" w:sz="0" w:space="0" w:color="auto"/>
        <w:left w:val="none" w:sz="0" w:space="0" w:color="auto"/>
        <w:bottom w:val="none" w:sz="0" w:space="0" w:color="auto"/>
        <w:right w:val="none" w:sz="0" w:space="0" w:color="auto"/>
      </w:divBdr>
      <w:divsChild>
        <w:div w:id="321857829">
          <w:marLeft w:val="360"/>
          <w:marRight w:val="0"/>
          <w:marTop w:val="200"/>
          <w:marBottom w:val="240"/>
          <w:divBdr>
            <w:top w:val="none" w:sz="0" w:space="0" w:color="auto"/>
            <w:left w:val="none" w:sz="0" w:space="0" w:color="auto"/>
            <w:bottom w:val="none" w:sz="0" w:space="0" w:color="auto"/>
            <w:right w:val="none" w:sz="0" w:space="0" w:color="auto"/>
          </w:divBdr>
        </w:div>
        <w:div w:id="1977104568">
          <w:marLeft w:val="360"/>
          <w:marRight w:val="0"/>
          <w:marTop w:val="200"/>
          <w:marBottom w:val="240"/>
          <w:divBdr>
            <w:top w:val="none" w:sz="0" w:space="0" w:color="auto"/>
            <w:left w:val="none" w:sz="0" w:space="0" w:color="auto"/>
            <w:bottom w:val="none" w:sz="0" w:space="0" w:color="auto"/>
            <w:right w:val="none" w:sz="0" w:space="0" w:color="auto"/>
          </w:divBdr>
        </w:div>
      </w:divsChild>
    </w:div>
    <w:div w:id="169370478">
      <w:bodyDiv w:val="1"/>
      <w:marLeft w:val="0"/>
      <w:marRight w:val="0"/>
      <w:marTop w:val="0"/>
      <w:marBottom w:val="0"/>
      <w:divBdr>
        <w:top w:val="none" w:sz="0" w:space="0" w:color="auto"/>
        <w:left w:val="none" w:sz="0" w:space="0" w:color="auto"/>
        <w:bottom w:val="none" w:sz="0" w:space="0" w:color="auto"/>
        <w:right w:val="none" w:sz="0" w:space="0" w:color="auto"/>
      </w:divBdr>
    </w:div>
    <w:div w:id="195503486">
      <w:bodyDiv w:val="1"/>
      <w:marLeft w:val="0"/>
      <w:marRight w:val="0"/>
      <w:marTop w:val="0"/>
      <w:marBottom w:val="0"/>
      <w:divBdr>
        <w:top w:val="none" w:sz="0" w:space="0" w:color="auto"/>
        <w:left w:val="none" w:sz="0" w:space="0" w:color="auto"/>
        <w:bottom w:val="none" w:sz="0" w:space="0" w:color="auto"/>
        <w:right w:val="none" w:sz="0" w:space="0" w:color="auto"/>
      </w:divBdr>
    </w:div>
    <w:div w:id="217207057">
      <w:bodyDiv w:val="1"/>
      <w:marLeft w:val="0"/>
      <w:marRight w:val="0"/>
      <w:marTop w:val="0"/>
      <w:marBottom w:val="0"/>
      <w:divBdr>
        <w:top w:val="none" w:sz="0" w:space="0" w:color="auto"/>
        <w:left w:val="none" w:sz="0" w:space="0" w:color="auto"/>
        <w:bottom w:val="none" w:sz="0" w:space="0" w:color="auto"/>
        <w:right w:val="none" w:sz="0" w:space="0" w:color="auto"/>
      </w:divBdr>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9725001">
      <w:bodyDiv w:val="1"/>
      <w:marLeft w:val="0"/>
      <w:marRight w:val="0"/>
      <w:marTop w:val="0"/>
      <w:marBottom w:val="0"/>
      <w:divBdr>
        <w:top w:val="none" w:sz="0" w:space="0" w:color="auto"/>
        <w:left w:val="none" w:sz="0" w:space="0" w:color="auto"/>
        <w:bottom w:val="none" w:sz="0" w:space="0" w:color="auto"/>
        <w:right w:val="none" w:sz="0" w:space="0" w:color="auto"/>
      </w:divBdr>
    </w:div>
    <w:div w:id="278726955">
      <w:bodyDiv w:val="1"/>
      <w:marLeft w:val="0"/>
      <w:marRight w:val="0"/>
      <w:marTop w:val="0"/>
      <w:marBottom w:val="0"/>
      <w:divBdr>
        <w:top w:val="none" w:sz="0" w:space="0" w:color="auto"/>
        <w:left w:val="none" w:sz="0" w:space="0" w:color="auto"/>
        <w:bottom w:val="none" w:sz="0" w:space="0" w:color="auto"/>
        <w:right w:val="none" w:sz="0" w:space="0" w:color="auto"/>
      </w:divBdr>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12872807">
      <w:bodyDiv w:val="1"/>
      <w:marLeft w:val="0"/>
      <w:marRight w:val="0"/>
      <w:marTop w:val="0"/>
      <w:marBottom w:val="0"/>
      <w:divBdr>
        <w:top w:val="none" w:sz="0" w:space="0" w:color="auto"/>
        <w:left w:val="none" w:sz="0" w:space="0" w:color="auto"/>
        <w:bottom w:val="none" w:sz="0" w:space="0" w:color="auto"/>
        <w:right w:val="none" w:sz="0" w:space="0" w:color="auto"/>
      </w:divBdr>
      <w:divsChild>
        <w:div w:id="1217938670">
          <w:marLeft w:val="360"/>
          <w:marRight w:val="0"/>
          <w:marTop w:val="200"/>
          <w:marBottom w:val="0"/>
          <w:divBdr>
            <w:top w:val="none" w:sz="0" w:space="0" w:color="auto"/>
            <w:left w:val="none" w:sz="0" w:space="0" w:color="auto"/>
            <w:bottom w:val="none" w:sz="0" w:space="0" w:color="auto"/>
            <w:right w:val="none" w:sz="0" w:space="0" w:color="auto"/>
          </w:divBdr>
        </w:div>
        <w:div w:id="1301613279">
          <w:marLeft w:val="360"/>
          <w:marRight w:val="0"/>
          <w:marTop w:val="200"/>
          <w:marBottom w:val="0"/>
          <w:divBdr>
            <w:top w:val="none" w:sz="0" w:space="0" w:color="auto"/>
            <w:left w:val="none" w:sz="0" w:space="0" w:color="auto"/>
            <w:bottom w:val="none" w:sz="0" w:space="0" w:color="auto"/>
            <w:right w:val="none" w:sz="0" w:space="0" w:color="auto"/>
          </w:divBdr>
        </w:div>
      </w:divsChild>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81943979">
      <w:bodyDiv w:val="1"/>
      <w:marLeft w:val="0"/>
      <w:marRight w:val="0"/>
      <w:marTop w:val="0"/>
      <w:marBottom w:val="0"/>
      <w:divBdr>
        <w:top w:val="none" w:sz="0" w:space="0" w:color="auto"/>
        <w:left w:val="none" w:sz="0" w:space="0" w:color="auto"/>
        <w:bottom w:val="none" w:sz="0" w:space="0" w:color="auto"/>
        <w:right w:val="none" w:sz="0" w:space="0" w:color="auto"/>
      </w:divBdr>
    </w:div>
    <w:div w:id="406223289">
      <w:bodyDiv w:val="1"/>
      <w:marLeft w:val="0"/>
      <w:marRight w:val="0"/>
      <w:marTop w:val="0"/>
      <w:marBottom w:val="0"/>
      <w:divBdr>
        <w:top w:val="none" w:sz="0" w:space="0" w:color="auto"/>
        <w:left w:val="none" w:sz="0" w:space="0" w:color="auto"/>
        <w:bottom w:val="none" w:sz="0" w:space="0" w:color="auto"/>
        <w:right w:val="none" w:sz="0" w:space="0" w:color="auto"/>
      </w:divBdr>
      <w:divsChild>
        <w:div w:id="1475247787">
          <w:marLeft w:val="360"/>
          <w:marRight w:val="0"/>
          <w:marTop w:val="200"/>
          <w:marBottom w:val="0"/>
          <w:divBdr>
            <w:top w:val="none" w:sz="0" w:space="0" w:color="auto"/>
            <w:left w:val="none" w:sz="0" w:space="0" w:color="auto"/>
            <w:bottom w:val="none" w:sz="0" w:space="0" w:color="auto"/>
            <w:right w:val="none" w:sz="0" w:space="0" w:color="auto"/>
          </w:divBdr>
        </w:div>
      </w:divsChild>
    </w:div>
    <w:div w:id="448016879">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536089940">
      <w:bodyDiv w:val="1"/>
      <w:marLeft w:val="0"/>
      <w:marRight w:val="0"/>
      <w:marTop w:val="0"/>
      <w:marBottom w:val="0"/>
      <w:divBdr>
        <w:top w:val="none" w:sz="0" w:space="0" w:color="auto"/>
        <w:left w:val="none" w:sz="0" w:space="0" w:color="auto"/>
        <w:bottom w:val="none" w:sz="0" w:space="0" w:color="auto"/>
        <w:right w:val="none" w:sz="0" w:space="0" w:color="auto"/>
      </w:divBdr>
      <w:divsChild>
        <w:div w:id="106657237">
          <w:marLeft w:val="1080"/>
          <w:marRight w:val="0"/>
          <w:marTop w:val="100"/>
          <w:marBottom w:val="0"/>
          <w:divBdr>
            <w:top w:val="none" w:sz="0" w:space="0" w:color="auto"/>
            <w:left w:val="none" w:sz="0" w:space="0" w:color="auto"/>
            <w:bottom w:val="none" w:sz="0" w:space="0" w:color="auto"/>
            <w:right w:val="none" w:sz="0" w:space="0" w:color="auto"/>
          </w:divBdr>
        </w:div>
      </w:divsChild>
    </w:div>
    <w:div w:id="559709795">
      <w:bodyDiv w:val="1"/>
      <w:marLeft w:val="0"/>
      <w:marRight w:val="0"/>
      <w:marTop w:val="0"/>
      <w:marBottom w:val="0"/>
      <w:divBdr>
        <w:top w:val="none" w:sz="0" w:space="0" w:color="auto"/>
        <w:left w:val="none" w:sz="0" w:space="0" w:color="auto"/>
        <w:bottom w:val="none" w:sz="0" w:space="0" w:color="auto"/>
        <w:right w:val="none" w:sz="0" w:space="0" w:color="auto"/>
      </w:divBdr>
    </w:div>
    <w:div w:id="612788773">
      <w:bodyDiv w:val="1"/>
      <w:marLeft w:val="0"/>
      <w:marRight w:val="0"/>
      <w:marTop w:val="0"/>
      <w:marBottom w:val="0"/>
      <w:divBdr>
        <w:top w:val="none" w:sz="0" w:space="0" w:color="auto"/>
        <w:left w:val="none" w:sz="0" w:space="0" w:color="auto"/>
        <w:bottom w:val="none" w:sz="0" w:space="0" w:color="auto"/>
        <w:right w:val="none" w:sz="0" w:space="0" w:color="auto"/>
      </w:divBdr>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6587166">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0573099">
      <w:bodyDiv w:val="1"/>
      <w:marLeft w:val="0"/>
      <w:marRight w:val="0"/>
      <w:marTop w:val="0"/>
      <w:marBottom w:val="0"/>
      <w:divBdr>
        <w:top w:val="none" w:sz="0" w:space="0" w:color="auto"/>
        <w:left w:val="none" w:sz="0" w:space="0" w:color="auto"/>
        <w:bottom w:val="none" w:sz="0" w:space="0" w:color="auto"/>
        <w:right w:val="none" w:sz="0" w:space="0" w:color="auto"/>
      </w:divBdr>
    </w:div>
    <w:div w:id="807091213">
      <w:bodyDiv w:val="1"/>
      <w:marLeft w:val="0"/>
      <w:marRight w:val="0"/>
      <w:marTop w:val="0"/>
      <w:marBottom w:val="0"/>
      <w:divBdr>
        <w:top w:val="none" w:sz="0" w:space="0" w:color="auto"/>
        <w:left w:val="none" w:sz="0" w:space="0" w:color="auto"/>
        <w:bottom w:val="none" w:sz="0" w:space="0" w:color="auto"/>
        <w:right w:val="none" w:sz="0" w:space="0" w:color="auto"/>
      </w:divBdr>
    </w:div>
    <w:div w:id="821432648">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71724777">
      <w:bodyDiv w:val="1"/>
      <w:marLeft w:val="0"/>
      <w:marRight w:val="0"/>
      <w:marTop w:val="0"/>
      <w:marBottom w:val="0"/>
      <w:divBdr>
        <w:top w:val="none" w:sz="0" w:space="0" w:color="auto"/>
        <w:left w:val="none" w:sz="0" w:space="0" w:color="auto"/>
        <w:bottom w:val="none" w:sz="0" w:space="0" w:color="auto"/>
        <w:right w:val="none" w:sz="0" w:space="0" w:color="auto"/>
      </w:divBdr>
    </w:div>
    <w:div w:id="882980785">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0743563">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42225648">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55254604">
      <w:bodyDiv w:val="1"/>
      <w:marLeft w:val="0"/>
      <w:marRight w:val="0"/>
      <w:marTop w:val="0"/>
      <w:marBottom w:val="0"/>
      <w:divBdr>
        <w:top w:val="none" w:sz="0" w:space="0" w:color="auto"/>
        <w:left w:val="none" w:sz="0" w:space="0" w:color="auto"/>
        <w:bottom w:val="none" w:sz="0" w:space="0" w:color="auto"/>
        <w:right w:val="none" w:sz="0" w:space="0" w:color="auto"/>
      </w:divBdr>
    </w:div>
    <w:div w:id="997079873">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24133619">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90853575">
      <w:bodyDiv w:val="1"/>
      <w:marLeft w:val="0"/>
      <w:marRight w:val="0"/>
      <w:marTop w:val="0"/>
      <w:marBottom w:val="0"/>
      <w:divBdr>
        <w:top w:val="none" w:sz="0" w:space="0" w:color="auto"/>
        <w:left w:val="none" w:sz="0" w:space="0" w:color="auto"/>
        <w:bottom w:val="none" w:sz="0" w:space="0" w:color="auto"/>
        <w:right w:val="none" w:sz="0" w:space="0" w:color="auto"/>
      </w:divBdr>
      <w:divsChild>
        <w:div w:id="789670359">
          <w:marLeft w:val="360"/>
          <w:marRight w:val="0"/>
          <w:marTop w:val="200"/>
          <w:marBottom w:val="0"/>
          <w:divBdr>
            <w:top w:val="none" w:sz="0" w:space="0" w:color="auto"/>
            <w:left w:val="none" w:sz="0" w:space="0" w:color="auto"/>
            <w:bottom w:val="none" w:sz="0" w:space="0" w:color="auto"/>
            <w:right w:val="none" w:sz="0" w:space="0" w:color="auto"/>
          </w:divBdr>
        </w:div>
        <w:div w:id="404378865">
          <w:marLeft w:val="1080"/>
          <w:marRight w:val="0"/>
          <w:marTop w:val="100"/>
          <w:marBottom w:val="0"/>
          <w:divBdr>
            <w:top w:val="none" w:sz="0" w:space="0" w:color="auto"/>
            <w:left w:val="none" w:sz="0" w:space="0" w:color="auto"/>
            <w:bottom w:val="none" w:sz="0" w:space="0" w:color="auto"/>
            <w:right w:val="none" w:sz="0" w:space="0" w:color="auto"/>
          </w:divBdr>
        </w:div>
        <w:div w:id="2124886293">
          <w:marLeft w:val="360"/>
          <w:marRight w:val="0"/>
          <w:marTop w:val="200"/>
          <w:marBottom w:val="0"/>
          <w:divBdr>
            <w:top w:val="none" w:sz="0" w:space="0" w:color="auto"/>
            <w:left w:val="none" w:sz="0" w:space="0" w:color="auto"/>
            <w:bottom w:val="none" w:sz="0" w:space="0" w:color="auto"/>
            <w:right w:val="none" w:sz="0" w:space="0" w:color="auto"/>
          </w:divBdr>
        </w:div>
        <w:div w:id="1343243010">
          <w:marLeft w:val="1080"/>
          <w:marRight w:val="0"/>
          <w:marTop w:val="1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312059434">
      <w:bodyDiv w:val="1"/>
      <w:marLeft w:val="0"/>
      <w:marRight w:val="0"/>
      <w:marTop w:val="0"/>
      <w:marBottom w:val="0"/>
      <w:divBdr>
        <w:top w:val="none" w:sz="0" w:space="0" w:color="auto"/>
        <w:left w:val="none" w:sz="0" w:space="0" w:color="auto"/>
        <w:bottom w:val="none" w:sz="0" w:space="0" w:color="auto"/>
        <w:right w:val="none" w:sz="0" w:space="0" w:color="auto"/>
      </w:divBdr>
    </w:div>
    <w:div w:id="1371568238">
      <w:bodyDiv w:val="1"/>
      <w:marLeft w:val="0"/>
      <w:marRight w:val="0"/>
      <w:marTop w:val="0"/>
      <w:marBottom w:val="0"/>
      <w:divBdr>
        <w:top w:val="none" w:sz="0" w:space="0" w:color="auto"/>
        <w:left w:val="none" w:sz="0" w:space="0" w:color="auto"/>
        <w:bottom w:val="none" w:sz="0" w:space="0" w:color="auto"/>
        <w:right w:val="none" w:sz="0" w:space="0" w:color="auto"/>
      </w:divBdr>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52044868">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5365459">
      <w:bodyDiv w:val="1"/>
      <w:marLeft w:val="0"/>
      <w:marRight w:val="0"/>
      <w:marTop w:val="0"/>
      <w:marBottom w:val="0"/>
      <w:divBdr>
        <w:top w:val="none" w:sz="0" w:space="0" w:color="auto"/>
        <w:left w:val="none" w:sz="0" w:space="0" w:color="auto"/>
        <w:bottom w:val="none" w:sz="0" w:space="0" w:color="auto"/>
        <w:right w:val="none" w:sz="0" w:space="0" w:color="auto"/>
      </w:divBdr>
      <w:divsChild>
        <w:div w:id="304504191">
          <w:marLeft w:val="360"/>
          <w:marRight w:val="0"/>
          <w:marTop w:val="200"/>
          <w:marBottom w:val="0"/>
          <w:divBdr>
            <w:top w:val="none" w:sz="0" w:space="0" w:color="auto"/>
            <w:left w:val="none" w:sz="0" w:space="0" w:color="auto"/>
            <w:bottom w:val="none" w:sz="0" w:space="0" w:color="auto"/>
            <w:right w:val="none" w:sz="0" w:space="0" w:color="auto"/>
          </w:divBdr>
        </w:div>
        <w:div w:id="359815180">
          <w:marLeft w:val="360"/>
          <w:marRight w:val="0"/>
          <w:marTop w:val="200"/>
          <w:marBottom w:val="0"/>
          <w:divBdr>
            <w:top w:val="none" w:sz="0" w:space="0" w:color="auto"/>
            <w:left w:val="none" w:sz="0" w:space="0" w:color="auto"/>
            <w:bottom w:val="none" w:sz="0" w:space="0" w:color="auto"/>
            <w:right w:val="none" w:sz="0" w:space="0" w:color="auto"/>
          </w:divBdr>
        </w:div>
        <w:div w:id="405416585">
          <w:marLeft w:val="360"/>
          <w:marRight w:val="0"/>
          <w:marTop w:val="200"/>
          <w:marBottom w:val="0"/>
          <w:divBdr>
            <w:top w:val="none" w:sz="0" w:space="0" w:color="auto"/>
            <w:left w:val="none" w:sz="0" w:space="0" w:color="auto"/>
            <w:bottom w:val="none" w:sz="0" w:space="0" w:color="auto"/>
            <w:right w:val="none" w:sz="0" w:space="0" w:color="auto"/>
          </w:divBdr>
        </w:div>
        <w:div w:id="1399937642">
          <w:marLeft w:val="360"/>
          <w:marRight w:val="0"/>
          <w:marTop w:val="200"/>
          <w:marBottom w:val="0"/>
          <w:divBdr>
            <w:top w:val="none" w:sz="0" w:space="0" w:color="auto"/>
            <w:left w:val="none" w:sz="0" w:space="0" w:color="auto"/>
            <w:bottom w:val="none" w:sz="0" w:space="0" w:color="auto"/>
            <w:right w:val="none" w:sz="0" w:space="0" w:color="auto"/>
          </w:divBdr>
        </w:div>
        <w:div w:id="1891727369">
          <w:marLeft w:val="360"/>
          <w:marRight w:val="0"/>
          <w:marTop w:val="200"/>
          <w:marBottom w:val="0"/>
          <w:divBdr>
            <w:top w:val="none" w:sz="0" w:space="0" w:color="auto"/>
            <w:left w:val="none" w:sz="0" w:space="0" w:color="auto"/>
            <w:bottom w:val="none" w:sz="0" w:space="0" w:color="auto"/>
            <w:right w:val="none" w:sz="0" w:space="0" w:color="auto"/>
          </w:divBdr>
        </w:div>
      </w:divsChild>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10428233">
      <w:bodyDiv w:val="1"/>
      <w:marLeft w:val="0"/>
      <w:marRight w:val="0"/>
      <w:marTop w:val="0"/>
      <w:marBottom w:val="0"/>
      <w:divBdr>
        <w:top w:val="none" w:sz="0" w:space="0" w:color="auto"/>
        <w:left w:val="none" w:sz="0" w:space="0" w:color="auto"/>
        <w:bottom w:val="none" w:sz="0" w:space="0" w:color="auto"/>
        <w:right w:val="none" w:sz="0" w:space="0" w:color="auto"/>
      </w:divBdr>
    </w:div>
    <w:div w:id="1633752418">
      <w:bodyDiv w:val="1"/>
      <w:marLeft w:val="0"/>
      <w:marRight w:val="0"/>
      <w:marTop w:val="0"/>
      <w:marBottom w:val="0"/>
      <w:divBdr>
        <w:top w:val="none" w:sz="0" w:space="0" w:color="auto"/>
        <w:left w:val="none" w:sz="0" w:space="0" w:color="auto"/>
        <w:bottom w:val="none" w:sz="0" w:space="0" w:color="auto"/>
        <w:right w:val="none" w:sz="0" w:space="0" w:color="auto"/>
      </w:divBdr>
      <w:divsChild>
        <w:div w:id="2055277474">
          <w:marLeft w:val="360"/>
          <w:marRight w:val="0"/>
          <w:marTop w:val="200"/>
          <w:marBottom w:val="0"/>
          <w:divBdr>
            <w:top w:val="none" w:sz="0" w:space="0" w:color="auto"/>
            <w:left w:val="none" w:sz="0" w:space="0" w:color="auto"/>
            <w:bottom w:val="none" w:sz="0" w:space="0" w:color="auto"/>
            <w:right w:val="none" w:sz="0" w:space="0" w:color="auto"/>
          </w:divBdr>
        </w:div>
      </w:divsChild>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65417852">
      <w:bodyDiv w:val="1"/>
      <w:marLeft w:val="0"/>
      <w:marRight w:val="0"/>
      <w:marTop w:val="0"/>
      <w:marBottom w:val="0"/>
      <w:divBdr>
        <w:top w:val="none" w:sz="0" w:space="0" w:color="auto"/>
        <w:left w:val="none" w:sz="0" w:space="0" w:color="auto"/>
        <w:bottom w:val="none" w:sz="0" w:space="0" w:color="auto"/>
        <w:right w:val="none" w:sz="0" w:space="0" w:color="auto"/>
      </w:divBdr>
    </w:div>
    <w:div w:id="1770345449">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87912788">
      <w:bodyDiv w:val="1"/>
      <w:marLeft w:val="0"/>
      <w:marRight w:val="0"/>
      <w:marTop w:val="0"/>
      <w:marBottom w:val="0"/>
      <w:divBdr>
        <w:top w:val="none" w:sz="0" w:space="0" w:color="auto"/>
        <w:left w:val="none" w:sz="0" w:space="0" w:color="auto"/>
        <w:bottom w:val="none" w:sz="0" w:space="0" w:color="auto"/>
        <w:right w:val="none" w:sz="0" w:space="0" w:color="auto"/>
      </w:divBdr>
      <w:divsChild>
        <w:div w:id="1414283688">
          <w:marLeft w:val="360"/>
          <w:marRight w:val="0"/>
          <w:marTop w:val="200"/>
          <w:marBottom w:val="0"/>
          <w:divBdr>
            <w:top w:val="none" w:sz="0" w:space="0" w:color="auto"/>
            <w:left w:val="none" w:sz="0" w:space="0" w:color="auto"/>
            <w:bottom w:val="none" w:sz="0" w:space="0" w:color="auto"/>
            <w:right w:val="none" w:sz="0" w:space="0" w:color="auto"/>
          </w:divBdr>
        </w:div>
      </w:divsChild>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2364624">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62557038">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8284633">
      <w:bodyDiv w:val="1"/>
      <w:marLeft w:val="0"/>
      <w:marRight w:val="0"/>
      <w:marTop w:val="0"/>
      <w:marBottom w:val="0"/>
      <w:divBdr>
        <w:top w:val="none" w:sz="0" w:space="0" w:color="auto"/>
        <w:left w:val="none" w:sz="0" w:space="0" w:color="auto"/>
        <w:bottom w:val="none" w:sz="0" w:space="0" w:color="auto"/>
        <w:right w:val="none" w:sz="0" w:space="0" w:color="auto"/>
      </w:divBdr>
    </w:div>
    <w:div w:id="2120488477">
      <w:bodyDiv w:val="1"/>
      <w:marLeft w:val="0"/>
      <w:marRight w:val="0"/>
      <w:marTop w:val="0"/>
      <w:marBottom w:val="0"/>
      <w:divBdr>
        <w:top w:val="none" w:sz="0" w:space="0" w:color="auto"/>
        <w:left w:val="none" w:sz="0" w:space="0" w:color="auto"/>
        <w:bottom w:val="none" w:sz="0" w:space="0" w:color="auto"/>
        <w:right w:val="none" w:sz="0" w:space="0" w:color="auto"/>
      </w:divBdr>
    </w:div>
    <w:div w:id="2146072881">
      <w:bodyDiv w:val="1"/>
      <w:marLeft w:val="0"/>
      <w:marRight w:val="0"/>
      <w:marTop w:val="0"/>
      <w:marBottom w:val="0"/>
      <w:divBdr>
        <w:top w:val="none" w:sz="0" w:space="0" w:color="auto"/>
        <w:left w:val="none" w:sz="0" w:space="0" w:color="auto"/>
        <w:bottom w:val="none" w:sz="0" w:space="0" w:color="auto"/>
        <w:right w:val="none" w:sz="0" w:space="0" w:color="auto"/>
      </w:divBdr>
      <w:divsChild>
        <w:div w:id="10993763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4935</TotalTime>
  <Pages>1</Pages>
  <Words>718</Words>
  <Characters>4097</Characters>
  <Application>Microsoft Office Word</Application>
  <DocSecurity>0</DocSecurity>
  <Lines>34</Lines>
  <Paragraphs>9</Paragraphs>
  <ScaleCrop>false</ScaleCrop>
  <Company>HUAWEI</Company>
  <LinksUpToDate>false</LinksUpToDate>
  <CharactersWithSpaces>4806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34</cp:revision>
  <dcterms:created xsi:type="dcterms:W3CDTF">2020-06-28T04:14:00Z</dcterms:created>
  <dcterms:modified xsi:type="dcterms:W3CDTF">2020-10-23T11:55:00Z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(3)YZXo6qHUJpa5zryIzRxE5yMI+/2PkcwwNi31AX1YiFUDIu0dOtoD8dyCtb19WjmKIT2TdHdh
8KD+WJXivcpvXkpGgQHRbxWfspYwiQpbhHaSgfxSb9Sah6Tan54fhUiu2szR1AIcUOtxFqnB
dtVWjNubqMKuvVfhDps+QyIhNuap+CO+v2PAV9WpzJ3BS6lPhd8+GzAA3ndvLsMBK1NVbku3
TGNmod8kFJlujiQAHh</vt:lpwstr>
  </property>
  <property fmtid="{D5CDD505-2E9C-101B-9397-08002B2CF9AE}" pid="3" name="_2015_ms_pID_7253431">
    <vt:lpwstr>WXl9S23qF+QfhwCbDpxxLGG76EFlHrZLDBLJ5rFuMYn+9D4CB8wlnZ
oGdNRlrl8h6YTduapC8qQaLbauCArwOTAnFaJCaUF0MOeEsGBN9xwu2492P7OCSwwYtpGio/
TK1xTxAGfarapRyL7VrXy2emqxW4oazHwI9kZ1GRrKqqgdllRPsssME0U+WWx88Q49ACpXox
m8l49Vo6iKHicMq5iSQryqKRiL6oksEwyX6w</vt:lpwstr>
  </property>
  <property fmtid="{D5CDD505-2E9C-101B-9397-08002B2CF9AE}" pid="4" name="_2015_ms_pID_7253432">
    <vt:lpwstr>XzDjkOzeFK+XRgEoOaJ68/E=</vt:lpwstr>
  </property>
</Properties>
</file>