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11AE" w14:textId="33F62BBA"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3E27D1">
        <w:rPr>
          <w:rFonts w:ascii="Cambria" w:eastAsiaTheme="minorEastAsia" w:hAnsi="Cambria" w:cs="Arial"/>
          <w:bCs/>
          <w:sz w:val="24"/>
          <w:szCs w:val="24"/>
          <w:lang w:val="en-US" w:eastAsia="zh-CN"/>
        </w:rPr>
        <w:t>7</w:t>
      </w:r>
      <w:r w:rsidR="00281E77">
        <w:rPr>
          <w:rFonts w:ascii="Cambria" w:eastAsiaTheme="minorEastAsia" w:hAnsi="Cambria" w:cs="Arial"/>
          <w:bCs/>
          <w:sz w:val="24"/>
          <w:szCs w:val="24"/>
          <w:lang w:val="en-US" w:eastAsia="zh-CN"/>
        </w:rPr>
        <w:t>-e</w:t>
      </w:r>
      <w:r w:rsidR="005D186E">
        <w:rPr>
          <w:rFonts w:ascii="Cambria" w:eastAsiaTheme="minorEastAsia" w:hAnsi="Cambria" w:cs="Arial"/>
          <w:bCs/>
          <w:sz w:val="24"/>
          <w:szCs w:val="24"/>
          <w:lang w:val="en-US" w:eastAsia="zh-CN"/>
        </w:rPr>
        <w:t xml:space="preserve">    </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6302A2" w:rsidRPr="006302A2">
        <w:rPr>
          <w:rFonts w:ascii="Cambria" w:hAnsi="Cambria" w:cs="Arial"/>
          <w:bCs/>
          <w:sz w:val="24"/>
          <w:szCs w:val="24"/>
        </w:rPr>
        <w:t>R4-201</w:t>
      </w:r>
      <w:r w:rsidR="003E27D1">
        <w:rPr>
          <w:rFonts w:ascii="Cambria" w:hAnsi="Cambria" w:cs="Arial"/>
          <w:bCs/>
          <w:sz w:val="24"/>
          <w:szCs w:val="24"/>
        </w:rPr>
        <w:t>4849</w:t>
      </w:r>
    </w:p>
    <w:p w14:paraId="0A4BE980" w14:textId="085BB185" w:rsidR="00C00E74" w:rsidRDefault="00C00E74" w:rsidP="00C00E74">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sidR="003E27D1">
        <w:rPr>
          <w:rFonts w:ascii="Cambria" w:eastAsia="宋体" w:hAnsi="Cambria" w:cs="Arial"/>
          <w:bCs/>
          <w:i w:val="0"/>
          <w:sz w:val="24"/>
          <w:szCs w:val="24"/>
          <w:lang w:val="en-US" w:eastAsia="zh-CN"/>
        </w:rPr>
        <w:t>2</w:t>
      </w:r>
      <w:r w:rsidR="003E27D1" w:rsidRPr="003E27D1">
        <w:rPr>
          <w:rFonts w:ascii="Cambria" w:eastAsia="宋体" w:hAnsi="Cambria" w:cs="Arial"/>
          <w:bCs/>
          <w:i w:val="0"/>
          <w:sz w:val="24"/>
          <w:szCs w:val="24"/>
          <w:vertAlign w:val="superscript"/>
          <w:lang w:val="en-US" w:eastAsia="zh-CN"/>
        </w:rPr>
        <w:t>nd</w:t>
      </w:r>
      <w:r w:rsidR="003E27D1">
        <w:rPr>
          <w:rFonts w:ascii="Cambria" w:eastAsia="宋体" w:hAnsi="Cambria" w:cs="Arial"/>
          <w:bCs/>
          <w:i w:val="0"/>
          <w:sz w:val="24"/>
          <w:szCs w:val="24"/>
          <w:vertAlign w:val="superscript"/>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sidR="003E27D1">
        <w:rPr>
          <w:rFonts w:ascii="Cambria" w:eastAsia="宋体" w:hAnsi="Cambria" w:cs="Arial"/>
          <w:bCs/>
          <w:i w:val="0"/>
          <w:sz w:val="24"/>
          <w:szCs w:val="24"/>
          <w:lang w:val="en-US" w:eastAsia="zh-CN"/>
        </w:rPr>
        <w:t>13</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w:t>
      </w:r>
      <w:r w:rsidR="003E27D1">
        <w:rPr>
          <w:rFonts w:ascii="Cambria" w:eastAsia="宋体" w:hAnsi="Cambria" w:cs="Arial"/>
          <w:bCs/>
          <w:i w:val="0"/>
          <w:sz w:val="24"/>
          <w:szCs w:val="24"/>
          <w:lang w:val="en-US" w:eastAsia="zh-CN"/>
        </w:rPr>
        <w:t>Nov.</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14:paraId="1D498A33" w14:textId="77777777" w:rsidR="006C0704" w:rsidRPr="00C00E74" w:rsidRDefault="006C0704" w:rsidP="006C0704">
      <w:pPr>
        <w:pStyle w:val="Footer"/>
        <w:tabs>
          <w:tab w:val="left" w:pos="7938"/>
        </w:tabs>
        <w:jc w:val="left"/>
        <w:rPr>
          <w:rFonts w:ascii="Cambria" w:hAnsi="Cambria" w:cs="Arial"/>
          <w:b w:val="0"/>
          <w:i w:val="0"/>
          <w:noProof w:val="0"/>
          <w:lang w:val="en-US"/>
        </w:rPr>
      </w:pPr>
    </w:p>
    <w:p w14:paraId="294790EF" w14:textId="66729726"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A5FF2">
        <w:rPr>
          <w:rFonts w:ascii="Cambria" w:eastAsiaTheme="minorEastAsia" w:hAnsi="Cambria" w:cs="Arial"/>
          <w:b/>
          <w:sz w:val="24"/>
          <w:szCs w:val="24"/>
          <w:lang w:val="en-US" w:eastAsia="zh-CN"/>
        </w:rPr>
        <w:t>7.19.2.</w:t>
      </w:r>
      <w:r w:rsidR="003E27D1">
        <w:rPr>
          <w:rFonts w:ascii="Cambria" w:eastAsiaTheme="minorEastAsia" w:hAnsi="Cambria" w:cs="Arial"/>
          <w:b/>
          <w:sz w:val="24"/>
          <w:szCs w:val="24"/>
          <w:lang w:val="en-US" w:eastAsia="zh-CN"/>
        </w:rPr>
        <w:t>1</w:t>
      </w:r>
    </w:p>
    <w:p w14:paraId="398FE276"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5FEFA733" w14:textId="2601CCE7"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036D44">
        <w:rPr>
          <w:rFonts w:ascii="Cambria" w:hAnsi="Cambria" w:cs="Arial"/>
          <w:b/>
          <w:bCs/>
          <w:sz w:val="24"/>
          <w:szCs w:val="24"/>
          <w:lang w:val="en-US"/>
        </w:rPr>
        <w:tab/>
      </w:r>
      <w:r w:rsidR="003E27D1">
        <w:rPr>
          <w:rFonts w:ascii="Cambria" w:hAnsi="Cambria" w:cs="Arial"/>
          <w:b/>
          <w:bCs/>
          <w:sz w:val="24"/>
          <w:szCs w:val="24"/>
          <w:lang w:val="en-US"/>
        </w:rPr>
        <w:t xml:space="preserve">Further </w:t>
      </w:r>
      <w:r w:rsidR="00AA5FF2">
        <w:rPr>
          <w:rFonts w:ascii="Cambria" w:hAnsi="Cambria" w:cs="Arial"/>
          <w:b/>
          <w:bCs/>
          <w:sz w:val="24"/>
          <w:szCs w:val="24"/>
          <w:lang w:val="en-US"/>
        </w:rPr>
        <w:t xml:space="preserve">Discussion on the </w:t>
      </w:r>
      <w:r w:rsidR="009854C7">
        <w:rPr>
          <w:rFonts w:ascii="Cambria" w:hAnsi="Cambria" w:cs="Arial"/>
          <w:b/>
          <w:bCs/>
          <w:sz w:val="24"/>
          <w:szCs w:val="24"/>
          <w:lang w:val="en-US"/>
        </w:rPr>
        <w:t xml:space="preserve">Support of </w:t>
      </w:r>
      <w:r w:rsidR="00AA5FF2">
        <w:rPr>
          <w:rFonts w:ascii="Cambria" w:hAnsi="Cambria" w:cs="Arial"/>
          <w:b/>
          <w:bCs/>
          <w:sz w:val="24"/>
          <w:szCs w:val="24"/>
          <w:lang w:val="en-US"/>
        </w:rPr>
        <w:t xml:space="preserve">Transparent Tx Diversity in Rel-16 </w:t>
      </w:r>
    </w:p>
    <w:p w14:paraId="07EE43AC" w14:textId="7FCAAF27"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AA5FF2">
        <w:rPr>
          <w:rFonts w:ascii="Cambria" w:eastAsiaTheme="minorEastAsia" w:hAnsi="Cambria" w:cs="Arial"/>
          <w:b/>
          <w:sz w:val="24"/>
          <w:szCs w:val="24"/>
          <w:lang w:val="en-US" w:eastAsia="zh-CN"/>
        </w:rPr>
        <w:t>Discussion</w:t>
      </w:r>
    </w:p>
    <w:p w14:paraId="5AA6BF6D"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7285A355" w14:textId="2A8F9C73" w:rsidR="007F6F19" w:rsidRPr="003158C8" w:rsidRDefault="00EB3987" w:rsidP="006D37B2">
      <w:pPr>
        <w:spacing w:afterLines="50" w:after="120"/>
        <w:jc w:val="both"/>
        <w:rPr>
          <w:rFonts w:ascii="Calibri" w:eastAsia="宋体" w:hAnsi="Calibri" w:cs="Arial"/>
          <w:lang w:eastAsia="zh-CN"/>
        </w:rPr>
      </w:pPr>
      <w:r>
        <w:rPr>
          <w:rFonts w:ascii="Calibri" w:eastAsia="宋体" w:hAnsi="Calibri" w:cs="Arial"/>
          <w:lang w:eastAsia="zh-CN"/>
        </w:rPr>
        <w:t xml:space="preserve">In the past RAN4 meeting cycles, </w:t>
      </w:r>
      <w:r w:rsidR="0098156C">
        <w:rPr>
          <w:rFonts w:ascii="Calibri" w:eastAsia="宋体" w:hAnsi="Calibri" w:cs="Arial" w:hint="eastAsia"/>
          <w:lang w:eastAsia="zh-CN"/>
        </w:rPr>
        <w:t>R</w:t>
      </w:r>
      <w:r w:rsidR="0098156C">
        <w:rPr>
          <w:rFonts w:ascii="Calibri" w:eastAsia="宋体" w:hAnsi="Calibri" w:cs="Arial"/>
          <w:lang w:eastAsia="zh-CN"/>
        </w:rPr>
        <w:t>AN4 discussed how to support transparent Tx diversity in RAN4 requirement</w:t>
      </w:r>
      <w:r w:rsidR="00042012">
        <w:rPr>
          <w:rFonts w:ascii="Calibri" w:eastAsia="宋体" w:hAnsi="Calibri" w:cs="Arial"/>
          <w:lang w:eastAsia="zh-CN"/>
        </w:rPr>
        <w:t xml:space="preserve"> [1]</w:t>
      </w:r>
      <w:r w:rsidR="0098156C">
        <w:rPr>
          <w:rFonts w:ascii="Calibri" w:eastAsia="宋体" w:hAnsi="Calibri" w:cs="Arial"/>
          <w:lang w:eastAsia="zh-CN"/>
        </w:rPr>
        <w:t>, howev</w:t>
      </w:r>
      <w:r w:rsidR="003158C8">
        <w:rPr>
          <w:rFonts w:ascii="Calibri" w:eastAsia="宋体" w:hAnsi="Calibri" w:cs="Arial"/>
          <w:lang w:eastAsia="zh-CN"/>
        </w:rPr>
        <w:t>e</w:t>
      </w:r>
      <w:r w:rsidR="00042012">
        <w:rPr>
          <w:rFonts w:ascii="Calibri" w:eastAsia="宋体" w:hAnsi="Calibri" w:cs="Arial"/>
          <w:lang w:eastAsia="zh-CN"/>
        </w:rPr>
        <w:t>r, not yet concluded in RAN4#95e with many aspects of details to be specified or clarified [2]</w:t>
      </w:r>
      <w:r w:rsidR="0098156C">
        <w:rPr>
          <w:rFonts w:ascii="Calibri" w:eastAsia="宋体" w:hAnsi="Calibri" w:cs="Arial"/>
          <w:lang w:eastAsia="zh-CN"/>
        </w:rPr>
        <w:t>.</w:t>
      </w:r>
      <w:r w:rsidR="00042012">
        <w:rPr>
          <w:rFonts w:ascii="Calibri" w:eastAsia="宋体" w:hAnsi="Calibri" w:cs="Arial"/>
          <w:lang w:eastAsia="zh-CN"/>
        </w:rPr>
        <w:t xml:space="preserve"> </w:t>
      </w:r>
      <w:r w:rsidR="003E27D1">
        <w:rPr>
          <w:rFonts w:ascii="Calibri" w:eastAsia="宋体" w:hAnsi="Calibri" w:cs="Arial"/>
          <w:lang w:eastAsia="zh-CN"/>
        </w:rPr>
        <w:t xml:space="preserve">In last meeting (RAN4#96-e), companies further discussed the detailed requirement to support of transparent TxD, with the way forward approved as [7]. </w:t>
      </w:r>
      <w:r w:rsidR="00042012">
        <w:rPr>
          <w:rFonts w:ascii="Calibri" w:eastAsia="宋体" w:hAnsi="Calibri" w:cs="Arial"/>
          <w:lang w:eastAsia="zh-CN"/>
        </w:rPr>
        <w:t>To complete the work to support transparent Tx diversity in Rel-16</w:t>
      </w:r>
      <w:r w:rsidR="003741FF">
        <w:rPr>
          <w:rFonts w:ascii="Calibri" w:eastAsia="宋体" w:hAnsi="Calibri" w:cs="Arial"/>
          <w:lang w:val="en-US" w:eastAsia="zh-CN"/>
        </w:rPr>
        <w:t xml:space="preserve">, we </w:t>
      </w:r>
      <w:r>
        <w:rPr>
          <w:rFonts w:ascii="Calibri" w:eastAsia="宋体" w:hAnsi="Calibri" w:cs="Arial"/>
          <w:lang w:eastAsia="zh-CN"/>
        </w:rPr>
        <w:t xml:space="preserve">would </w:t>
      </w:r>
      <w:r w:rsidR="003741FF">
        <w:rPr>
          <w:rFonts w:ascii="Calibri" w:eastAsia="宋体" w:hAnsi="Calibri" w:cs="Arial"/>
          <w:lang w:eastAsia="zh-CN"/>
        </w:rPr>
        <w:t>like to provide our analysis and viewpoints in this contribution</w:t>
      </w:r>
      <w:r w:rsidR="000D7B66">
        <w:rPr>
          <w:rFonts w:ascii="Calibri" w:eastAsia="宋体" w:hAnsi="Calibri" w:cs="Arial"/>
          <w:lang w:eastAsia="zh-CN"/>
        </w:rPr>
        <w:t>.</w:t>
      </w:r>
      <w:r w:rsidR="00AA5FF2">
        <w:rPr>
          <w:rFonts w:ascii="Calibri" w:eastAsia="宋体" w:hAnsi="Calibri" w:cs="Arial"/>
          <w:lang w:eastAsia="zh-CN"/>
        </w:rPr>
        <w:t xml:space="preserve"> </w:t>
      </w:r>
      <w:bookmarkEnd w:id="0"/>
    </w:p>
    <w:p w14:paraId="665F2FDC" w14:textId="372E8BB2" w:rsidR="00E61B88" w:rsidRPr="00F422D1" w:rsidRDefault="00310E3F" w:rsidP="00E61B88">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2</w:t>
      </w:r>
      <w:r w:rsidR="00E61B88" w:rsidRPr="00F422D1">
        <w:rPr>
          <w:rFonts w:ascii="Cambria" w:eastAsia="宋体" w:hAnsi="Cambria" w:cs="Arial"/>
          <w:b/>
          <w:sz w:val="32"/>
          <w:lang w:val="en-US" w:eastAsia="zh-CN"/>
        </w:rPr>
        <w:tab/>
      </w:r>
      <w:r w:rsidR="0086736F">
        <w:rPr>
          <w:rFonts w:ascii="Cambria" w:eastAsia="宋体" w:hAnsi="Cambria" w:cs="Arial"/>
          <w:b/>
          <w:sz w:val="32"/>
          <w:lang w:val="en-US"/>
        </w:rPr>
        <w:t>Discussion</w:t>
      </w:r>
      <w:r>
        <w:rPr>
          <w:rFonts w:ascii="Cambria" w:eastAsia="宋体" w:hAnsi="Cambria" w:cs="Arial"/>
          <w:b/>
          <w:sz w:val="32"/>
          <w:lang w:val="en-US"/>
        </w:rPr>
        <w:t xml:space="preserve"> on Transparent Tx</w:t>
      </w:r>
      <w:r w:rsidR="00FC4E1B">
        <w:rPr>
          <w:rFonts w:ascii="Cambria" w:eastAsia="宋体" w:hAnsi="Cambria" w:cs="Arial"/>
          <w:b/>
          <w:sz w:val="32"/>
          <w:lang w:val="en-US"/>
        </w:rPr>
        <w:t xml:space="preserve"> </w:t>
      </w:r>
      <w:r>
        <w:rPr>
          <w:rFonts w:ascii="Cambria" w:eastAsia="宋体" w:hAnsi="Cambria" w:cs="Arial"/>
          <w:b/>
          <w:sz w:val="32"/>
          <w:lang w:val="en-US"/>
        </w:rPr>
        <w:t>D</w:t>
      </w:r>
      <w:r w:rsidR="00FC4E1B">
        <w:rPr>
          <w:rFonts w:ascii="Cambria" w:eastAsia="宋体" w:hAnsi="Cambria" w:cs="Arial"/>
          <w:b/>
          <w:sz w:val="32"/>
          <w:lang w:val="en-US"/>
        </w:rPr>
        <w:t>iversity</w:t>
      </w:r>
    </w:p>
    <w:p w14:paraId="70DA59C8" w14:textId="3966EC6B" w:rsidR="003158C8" w:rsidRDefault="003158C8" w:rsidP="009B5818">
      <w:pPr>
        <w:pStyle w:val="Heading4"/>
        <w:rPr>
          <w:lang w:eastAsia="zh-CN"/>
        </w:rPr>
      </w:pPr>
      <w:r>
        <w:rPr>
          <w:lang w:eastAsia="zh-CN"/>
        </w:rPr>
        <w:t>2.1 Background</w:t>
      </w:r>
    </w:p>
    <w:p w14:paraId="1431EF1A" w14:textId="30D3B9FF" w:rsidR="003158C8" w:rsidRPr="003158C8" w:rsidRDefault="003E27D1" w:rsidP="003158C8">
      <w:pPr>
        <w:spacing w:afterLines="50" w:after="120"/>
        <w:jc w:val="both"/>
        <w:rPr>
          <w:rFonts w:ascii="Calibri" w:eastAsia="宋体" w:hAnsi="Calibri" w:cs="Arial"/>
          <w:lang w:val="en-US" w:eastAsia="zh-CN"/>
        </w:rPr>
      </w:pPr>
      <w:r>
        <w:rPr>
          <w:rFonts w:ascii="Calibri" w:eastAsia="宋体" w:hAnsi="Calibri" w:cs="Arial"/>
          <w:lang w:eastAsia="zh-CN"/>
        </w:rPr>
        <w:t>In last RAN4 meeting, t</w:t>
      </w:r>
      <w:r w:rsidR="003158C8">
        <w:rPr>
          <w:rFonts w:ascii="Calibri" w:eastAsia="宋体" w:hAnsi="Calibri" w:cs="Arial"/>
          <w:lang w:eastAsia="zh-CN"/>
        </w:rPr>
        <w:t>he approved way forward [</w:t>
      </w:r>
      <w:r>
        <w:rPr>
          <w:rFonts w:ascii="Calibri" w:eastAsia="宋体" w:hAnsi="Calibri" w:cs="Arial"/>
          <w:lang w:eastAsia="zh-CN"/>
        </w:rPr>
        <w:t>7</w:t>
      </w:r>
      <w:r w:rsidR="003158C8">
        <w:rPr>
          <w:rFonts w:ascii="Calibri" w:eastAsia="宋体" w:hAnsi="Calibri" w:cs="Arial"/>
          <w:lang w:eastAsia="zh-CN"/>
        </w:rPr>
        <w:t>] listed the outstanding aspects which should be considered in the work to enable transparent TxD in Rel-16 requirement and corresponding t</w:t>
      </w:r>
      <w:r w:rsidR="00FC4E1B">
        <w:rPr>
          <w:rFonts w:ascii="Calibri" w:eastAsia="宋体" w:hAnsi="Calibri" w:cs="Arial"/>
          <w:lang w:eastAsia="zh-CN"/>
        </w:rPr>
        <w:t>est methods, as below.</w:t>
      </w:r>
    </w:p>
    <w:tbl>
      <w:tblPr>
        <w:tblStyle w:val="TableGrid"/>
        <w:tblW w:w="0" w:type="auto"/>
        <w:jc w:val="center"/>
        <w:tblLook w:val="04A0" w:firstRow="1" w:lastRow="0" w:firstColumn="1" w:lastColumn="0" w:noHBand="0" w:noVBand="1"/>
      </w:tblPr>
      <w:tblGrid>
        <w:gridCol w:w="8500"/>
      </w:tblGrid>
      <w:tr w:rsidR="003158C8" w:rsidRPr="00EE1D93" w14:paraId="2BA18C30" w14:textId="77777777" w:rsidTr="00547EDA">
        <w:trPr>
          <w:jc w:val="center"/>
        </w:trPr>
        <w:tc>
          <w:tcPr>
            <w:tcW w:w="8500" w:type="dxa"/>
          </w:tcPr>
          <w:p w14:paraId="5AAE7D9A" w14:textId="2F713401" w:rsidR="003158C8" w:rsidRPr="00EE1D93" w:rsidRDefault="003158C8" w:rsidP="00547EDA">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&lt;From R4-20</w:t>
            </w:r>
            <w:r w:rsidR="00EE1D93" w:rsidRPr="00EE1D93">
              <w:rPr>
                <w:rFonts w:ascii="Calibri" w:eastAsia="宋体" w:hAnsi="Calibri" w:cs="Arial"/>
                <w:b/>
                <w:sz w:val="16"/>
                <w:lang w:val="en-US" w:eastAsia="zh-CN"/>
              </w:rPr>
              <w:t>11768</w:t>
            </w:r>
            <w:r w:rsidRPr="00EE1D93">
              <w:rPr>
                <w:rFonts w:ascii="Calibri" w:eastAsia="宋体" w:hAnsi="Calibri" w:cs="Arial"/>
                <w:b/>
                <w:sz w:val="16"/>
                <w:lang w:val="en-US" w:eastAsia="zh-CN"/>
              </w:rPr>
              <w:t>, WF on Rel-16</w:t>
            </w:r>
            <w:r w:rsidR="00EE1D93" w:rsidRPr="00EE1D93">
              <w:rPr>
                <w:rFonts w:ascii="Calibri" w:eastAsia="宋体" w:hAnsi="Calibri" w:cs="Arial"/>
                <w:b/>
                <w:sz w:val="16"/>
                <w:lang w:val="en-US" w:eastAsia="zh-CN"/>
              </w:rPr>
              <w:t xml:space="preserve"> TxD</w:t>
            </w:r>
            <w:r w:rsidRPr="00EE1D93">
              <w:rPr>
                <w:rFonts w:ascii="Calibri" w:eastAsia="宋体" w:hAnsi="Calibri" w:cs="Arial"/>
                <w:b/>
                <w:sz w:val="16"/>
                <w:lang w:val="en-US" w:eastAsia="zh-CN"/>
              </w:rPr>
              <w:t>&gt;</w:t>
            </w:r>
          </w:p>
          <w:p w14:paraId="1872235F" w14:textId="4DD2E1B6" w:rsidR="003158C8" w:rsidRPr="00EE1D93" w:rsidRDefault="003158C8" w:rsidP="00547EDA">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 xml:space="preserve">Summing the </w:t>
            </w:r>
            <w:r w:rsidR="00EE1D93" w:rsidRPr="00EE1D93">
              <w:rPr>
                <w:rFonts w:ascii="Calibri" w:eastAsia="宋体" w:hAnsi="Calibri" w:cs="Arial"/>
                <w:b/>
                <w:sz w:val="16"/>
                <w:lang w:val="en-US" w:eastAsia="zh-CN"/>
              </w:rPr>
              <w:t>P</w:t>
            </w:r>
            <w:r w:rsidRPr="00EE1D93">
              <w:rPr>
                <w:rFonts w:ascii="Calibri" w:eastAsia="宋体" w:hAnsi="Calibri" w:cs="Arial"/>
                <w:b/>
                <w:sz w:val="16"/>
                <w:lang w:val="en-US" w:eastAsia="zh-CN"/>
              </w:rPr>
              <w:t>ower</w:t>
            </w:r>
            <w:r w:rsidR="00EE1D93" w:rsidRPr="00EE1D93">
              <w:rPr>
                <w:rFonts w:ascii="Calibri" w:eastAsia="宋体" w:hAnsi="Calibri" w:cs="Arial"/>
                <w:b/>
                <w:sz w:val="16"/>
                <w:lang w:val="en-US" w:eastAsia="zh-CN"/>
              </w:rPr>
              <w:t>s</w:t>
            </w:r>
            <w:r w:rsidRPr="00EE1D93">
              <w:rPr>
                <w:rFonts w:ascii="Calibri" w:eastAsia="宋体" w:hAnsi="Calibri" w:cs="Arial"/>
                <w:b/>
                <w:sz w:val="16"/>
                <w:lang w:val="en-US" w:eastAsia="zh-CN"/>
              </w:rPr>
              <w:t xml:space="preserve"> and </w:t>
            </w:r>
            <w:r w:rsidR="00EE1D93" w:rsidRPr="00EE1D93">
              <w:rPr>
                <w:rFonts w:ascii="Calibri" w:eastAsia="宋体" w:hAnsi="Calibri" w:cs="Arial"/>
                <w:b/>
                <w:sz w:val="16"/>
                <w:lang w:val="en-US" w:eastAsia="zh-CN"/>
              </w:rPr>
              <w:t>E</w:t>
            </w:r>
            <w:r w:rsidRPr="00EE1D93">
              <w:rPr>
                <w:rFonts w:ascii="Calibri" w:eastAsia="宋体" w:hAnsi="Calibri" w:cs="Arial"/>
                <w:b/>
                <w:sz w:val="16"/>
                <w:lang w:val="en-US" w:eastAsia="zh-CN"/>
              </w:rPr>
              <w:t xml:space="preserve">missions: </w:t>
            </w:r>
          </w:p>
          <w:p w14:paraId="2202123A" w14:textId="77777777" w:rsidR="00EE1D93" w:rsidRPr="00EE1D93" w:rsidRDefault="00EE1D93" w:rsidP="00EE1D93">
            <w:pPr>
              <w:numPr>
                <w:ilvl w:val="0"/>
                <w:numId w:val="5"/>
              </w:numPr>
              <w:spacing w:after="60"/>
              <w:jc w:val="both"/>
              <w:rPr>
                <w:rFonts w:ascii="Calibri" w:eastAsia="宋体" w:hAnsi="Calibri" w:cs="Arial"/>
                <w:sz w:val="16"/>
                <w:lang w:val="fi-FI" w:eastAsia="zh-CN"/>
              </w:rPr>
            </w:pPr>
            <w:r w:rsidRPr="00EE1D93">
              <w:rPr>
                <w:rFonts w:ascii="Calibri" w:eastAsia="宋体" w:hAnsi="Calibri" w:cs="Arial"/>
                <w:sz w:val="16"/>
                <w:lang w:val="fi-FI" w:eastAsia="zh-CN"/>
              </w:rPr>
              <w:t>RAN4 agree to define requirements for MOP and emission so that power is measured correctly for all implementations, including UE with transparent TxD:</w:t>
            </w:r>
          </w:p>
          <w:p w14:paraId="4481EE79" w14:textId="77777777" w:rsidR="00EE1D93" w:rsidRPr="00EE1D93" w:rsidRDefault="00EE1D93" w:rsidP="00EE1D93">
            <w:pPr>
              <w:numPr>
                <w:ilvl w:val="1"/>
                <w:numId w:val="5"/>
              </w:numPr>
              <w:spacing w:after="60"/>
              <w:jc w:val="both"/>
              <w:rPr>
                <w:rFonts w:ascii="Calibri" w:eastAsia="宋体" w:hAnsi="Calibri" w:cs="Arial"/>
                <w:sz w:val="16"/>
                <w:lang w:val="fi-FI" w:eastAsia="zh-CN"/>
              </w:rPr>
            </w:pPr>
            <w:r w:rsidRPr="00EE1D93">
              <w:rPr>
                <w:rFonts w:ascii="Calibri" w:eastAsia="宋体" w:hAnsi="Calibri" w:cs="Arial"/>
                <w:sz w:val="16"/>
                <w:lang w:val="fi-FI" w:eastAsia="zh-CN"/>
              </w:rPr>
              <w:t xml:space="preserve">Use “requirements are defined as the sum of powers from both connectors”. </w:t>
            </w:r>
          </w:p>
          <w:p w14:paraId="47A662A9" w14:textId="77777777" w:rsidR="00EE1D93" w:rsidRPr="00EE1D93" w:rsidRDefault="00EE1D93" w:rsidP="00EE1D93">
            <w:pPr>
              <w:numPr>
                <w:ilvl w:val="2"/>
                <w:numId w:val="5"/>
              </w:numPr>
              <w:spacing w:after="60"/>
              <w:jc w:val="both"/>
              <w:rPr>
                <w:rFonts w:ascii="Calibri" w:eastAsia="宋体" w:hAnsi="Calibri" w:cs="Arial"/>
                <w:sz w:val="16"/>
                <w:lang w:val="fi-FI" w:eastAsia="zh-CN"/>
              </w:rPr>
            </w:pPr>
            <w:r w:rsidRPr="00EE1D93">
              <w:rPr>
                <w:rFonts w:ascii="Calibri" w:eastAsia="宋体" w:hAnsi="Calibri" w:cs="Arial"/>
                <w:sz w:val="16"/>
                <w:lang w:val="fi-FI" w:eastAsia="zh-CN"/>
              </w:rPr>
              <w:t>This shall be interpreted as: Measure the power and emissions per connector and then sum them up afterwards.</w:t>
            </w:r>
          </w:p>
          <w:p w14:paraId="782645F7" w14:textId="2FB6F7F0" w:rsidR="00EE1D93" w:rsidRPr="00EE1D93" w:rsidRDefault="00EE1D93" w:rsidP="00EE1D93">
            <w:pPr>
              <w:numPr>
                <w:ilvl w:val="2"/>
                <w:numId w:val="5"/>
              </w:numPr>
              <w:spacing w:after="60"/>
              <w:jc w:val="both"/>
              <w:rPr>
                <w:rFonts w:ascii="Calibri" w:eastAsia="宋体" w:hAnsi="Calibri" w:cs="Arial"/>
                <w:b/>
                <w:bCs/>
                <w:sz w:val="16"/>
                <w:lang w:val="en-US" w:eastAsia="zh-CN"/>
              </w:rPr>
            </w:pPr>
            <w:r w:rsidRPr="00EE1D93">
              <w:rPr>
                <w:rFonts w:ascii="Calibri" w:eastAsia="宋体" w:hAnsi="Calibri" w:cs="Arial"/>
                <w:sz w:val="16"/>
                <w:lang w:val="fi-FI" w:eastAsia="zh-CN"/>
              </w:rPr>
              <w:t xml:space="preserve">RAN4 will clean-up all requirements related to summing the powers and emissions, including UL MIMO, UL full power transmission requirement. </w:t>
            </w:r>
          </w:p>
          <w:p w14:paraId="5A94C6F2" w14:textId="52171AC5" w:rsidR="003158C8" w:rsidRPr="00EE1D93" w:rsidRDefault="00EE1D93" w:rsidP="00EE1D93">
            <w:pPr>
              <w:spacing w:after="60"/>
              <w:jc w:val="both"/>
              <w:rPr>
                <w:rFonts w:ascii="Calibri" w:eastAsia="宋体" w:hAnsi="Calibri" w:cs="Arial"/>
                <w:b/>
                <w:bCs/>
                <w:sz w:val="16"/>
                <w:lang w:val="en-US" w:eastAsia="zh-CN"/>
              </w:rPr>
            </w:pPr>
            <w:r w:rsidRPr="00EE1D93">
              <w:rPr>
                <w:rFonts w:ascii="Calibri" w:eastAsia="宋体" w:hAnsi="Calibri" w:cs="Arial"/>
                <w:b/>
                <w:bCs/>
                <w:sz w:val="16"/>
                <w:lang w:val="en-US" w:eastAsia="zh-CN"/>
              </w:rPr>
              <w:t>EVM Requirement for Transparent TxD</w:t>
            </w:r>
            <w:r w:rsidR="003158C8" w:rsidRPr="00EE1D93">
              <w:rPr>
                <w:rFonts w:ascii="Calibri" w:eastAsia="宋体" w:hAnsi="Calibri" w:cs="Arial"/>
                <w:b/>
                <w:bCs/>
                <w:sz w:val="16"/>
                <w:lang w:val="en-US" w:eastAsia="zh-CN"/>
              </w:rPr>
              <w:t>:</w:t>
            </w:r>
          </w:p>
          <w:p w14:paraId="53D36DE7" w14:textId="77777777" w:rsidR="00B815B2" w:rsidRPr="00EE1D93" w:rsidRDefault="00B815B2" w:rsidP="00EE1D93">
            <w:pPr>
              <w:numPr>
                <w:ilvl w:val="0"/>
                <w:numId w:val="10"/>
              </w:numPr>
              <w:spacing w:after="60"/>
              <w:jc w:val="both"/>
              <w:rPr>
                <w:rFonts w:ascii="Calibri" w:eastAsia="宋体" w:hAnsi="Calibri" w:cs="Arial"/>
                <w:bCs/>
                <w:sz w:val="16"/>
                <w:lang w:val="en-US" w:eastAsia="zh-CN"/>
              </w:rPr>
            </w:pPr>
            <w:r w:rsidRPr="00EE1D93">
              <w:rPr>
                <w:rFonts w:ascii="Calibri" w:eastAsia="宋体" w:hAnsi="Calibri" w:cs="Arial"/>
                <w:bCs/>
                <w:sz w:val="16"/>
                <w:lang w:val="en-US" w:eastAsia="zh-CN"/>
              </w:rPr>
              <w:t xml:space="preserve">Background: </w:t>
            </w:r>
          </w:p>
          <w:p w14:paraId="712C152D" w14:textId="77777777" w:rsidR="00B815B2" w:rsidRPr="00EE1D93" w:rsidRDefault="00B815B2" w:rsidP="00EE1D93">
            <w:pPr>
              <w:numPr>
                <w:ilvl w:val="1"/>
                <w:numId w:val="10"/>
              </w:numPr>
              <w:spacing w:after="60"/>
              <w:jc w:val="both"/>
              <w:rPr>
                <w:rFonts w:ascii="Calibri" w:eastAsia="宋体" w:hAnsi="Calibri" w:cs="Arial"/>
                <w:bCs/>
                <w:sz w:val="16"/>
                <w:lang w:val="en-US" w:eastAsia="zh-CN"/>
              </w:rPr>
            </w:pPr>
            <w:r w:rsidRPr="00EE1D93">
              <w:rPr>
                <w:rFonts w:ascii="Calibri" w:eastAsia="宋体" w:hAnsi="Calibri" w:cs="Arial"/>
                <w:bCs/>
                <w:sz w:val="16"/>
                <w:lang w:val="en-US" w:eastAsia="zh-CN"/>
              </w:rPr>
              <w:t xml:space="preserve">In RAN4#95e, RAN4 agree to define EVM for transparent TxD as: </w:t>
            </w:r>
          </w:p>
          <w:p w14:paraId="43354C85" w14:textId="71959B73" w:rsidR="00B815B2" w:rsidRPr="00EE1D93" w:rsidRDefault="00EE1D93" w:rsidP="00EE1D93">
            <w:pPr>
              <w:numPr>
                <w:ilvl w:val="2"/>
                <w:numId w:val="10"/>
              </w:numPr>
              <w:spacing w:after="60"/>
              <w:jc w:val="both"/>
              <w:rPr>
                <w:rFonts w:ascii="Calibri" w:eastAsia="宋体" w:hAnsi="Calibri" w:cs="Arial"/>
                <w:bCs/>
                <w:sz w:val="16"/>
                <w:lang w:val="en-US" w:eastAsia="zh-CN"/>
              </w:rPr>
            </w:pPr>
            <m:oMath>
              <m:r>
                <w:rPr>
                  <w:rFonts w:ascii="Cambria Math" w:eastAsia="宋体" w:hAnsi="Cambria Math" w:cs="Arial"/>
                  <w:sz w:val="16"/>
                  <w:lang w:eastAsia="zh-CN"/>
                </w:rPr>
                <m:t>EVM</m:t>
              </m:r>
              <m:r>
                <m:rPr>
                  <m:sty m:val="p"/>
                </m:rPr>
                <w:rPr>
                  <w:rFonts w:ascii="Cambria Math" w:eastAsia="宋体" w:hAnsi="Cambria Math" w:cs="Arial"/>
                  <w:sz w:val="16"/>
                  <w:lang w:eastAsia="zh-CN"/>
                </w:rPr>
                <m:t>=</m:t>
              </m:r>
              <m:rad>
                <m:radPr>
                  <m:degHide m:val="1"/>
                  <m:ctrlPr>
                    <w:rPr>
                      <w:rFonts w:ascii="Cambria Math" w:eastAsia="宋体" w:hAnsi="Cambria Math" w:cs="Arial"/>
                      <w:bCs/>
                      <w:i/>
                      <w:iCs/>
                      <w:sz w:val="16"/>
                      <w:lang w:val="en-US" w:eastAsia="zh-CN"/>
                    </w:rPr>
                  </m:ctrlPr>
                </m:radPr>
                <m:deg/>
                <m:e>
                  <m:r>
                    <m:rPr>
                      <m:sty m:val="p"/>
                    </m:rPr>
                    <w:rPr>
                      <w:rFonts w:ascii="Cambria Math" w:eastAsia="宋体" w:hAnsi="Cambria Math" w:cs="Arial"/>
                      <w:sz w:val="16"/>
                      <w:lang w:eastAsia="zh-CN"/>
                    </w:rPr>
                    <m:t>(</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1</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1</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 </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2</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2</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m:t>
                  </m:r>
                  <m:r>
                    <w:rPr>
                      <w:rFonts w:ascii="Cambria Math" w:eastAsia="宋体" w:hAnsi="Cambria Math" w:cs="Arial"/>
                      <w:sz w:val="16"/>
                      <w:lang w:eastAsia="zh-CN"/>
                    </w:rPr>
                    <m:t>P</m:t>
                  </m:r>
                  <m:r>
                    <m:rPr>
                      <m:sty m:val="p"/>
                    </m:rPr>
                    <w:rPr>
                      <w:rFonts w:ascii="Cambria Math" w:eastAsia="宋体" w:hAnsi="Cambria Math" w:cs="Arial"/>
                      <w:sz w:val="16"/>
                      <w:lang w:eastAsia="zh-CN"/>
                    </w:rPr>
                    <m:t>1 + </m:t>
                  </m:r>
                  <m:r>
                    <w:rPr>
                      <w:rFonts w:ascii="Cambria Math" w:eastAsia="宋体" w:hAnsi="Cambria Math" w:cs="Arial"/>
                      <w:sz w:val="16"/>
                      <w:lang w:eastAsia="zh-CN"/>
                    </w:rPr>
                    <m:t>P</m:t>
                  </m:r>
                  <m:r>
                    <m:rPr>
                      <m:sty m:val="p"/>
                    </m:rPr>
                    <w:rPr>
                      <w:rFonts w:ascii="Cambria Math" w:eastAsia="宋体" w:hAnsi="Cambria Math" w:cs="Arial"/>
                      <w:sz w:val="16"/>
                      <w:lang w:eastAsia="zh-CN"/>
                    </w:rPr>
                    <m:t>2)</m:t>
                  </m:r>
                </m:e>
              </m:rad>
            </m:oMath>
          </w:p>
          <w:p w14:paraId="6EC556D1" w14:textId="77777777" w:rsidR="00B815B2" w:rsidRPr="00EE1D93" w:rsidRDefault="00B815B2" w:rsidP="00EE1D93">
            <w:pPr>
              <w:numPr>
                <w:ilvl w:val="0"/>
                <w:numId w:val="10"/>
              </w:numPr>
              <w:spacing w:after="60"/>
              <w:jc w:val="both"/>
              <w:rPr>
                <w:rFonts w:ascii="Calibri" w:eastAsia="宋体" w:hAnsi="Calibri" w:cs="Arial"/>
                <w:bCs/>
                <w:sz w:val="16"/>
                <w:lang w:val="en-US" w:eastAsia="zh-CN"/>
              </w:rPr>
            </w:pPr>
            <w:r w:rsidRPr="00EE1D93">
              <w:rPr>
                <w:rFonts w:ascii="Calibri" w:eastAsia="宋体" w:hAnsi="Calibri" w:cs="Arial"/>
                <w:bCs/>
                <w:sz w:val="16"/>
                <w:lang w:val="en-US" w:eastAsia="zh-CN"/>
              </w:rPr>
              <w:t xml:space="preserve">RAN4 further study new test method and EVM definition proposed in R4-2011519: </w:t>
            </w:r>
          </w:p>
          <w:p w14:paraId="23A07B3A" w14:textId="77777777" w:rsidR="00B815B2" w:rsidRPr="00EE1D93" w:rsidRDefault="00B815B2" w:rsidP="00EE1D93">
            <w:pPr>
              <w:numPr>
                <w:ilvl w:val="1"/>
                <w:numId w:val="10"/>
              </w:numPr>
              <w:spacing w:after="60"/>
              <w:jc w:val="both"/>
              <w:rPr>
                <w:rFonts w:ascii="Calibri" w:eastAsia="宋体" w:hAnsi="Calibri" w:cs="Arial"/>
                <w:bCs/>
                <w:sz w:val="16"/>
                <w:lang w:val="en-US" w:eastAsia="zh-CN"/>
              </w:rPr>
            </w:pPr>
            <w:r w:rsidRPr="00EE1D93">
              <w:rPr>
                <w:rFonts w:ascii="Calibri" w:eastAsia="宋体" w:hAnsi="Calibri" w:cs="Arial"/>
                <w:bCs/>
                <w:sz w:val="16"/>
                <w:lang w:val="en-US" w:eastAsia="zh-CN"/>
              </w:rPr>
              <w:t>FFS whether or not to use new EVM definition to replace above definition.</w:t>
            </w:r>
          </w:p>
          <w:p w14:paraId="5EA417BE" w14:textId="77777777" w:rsidR="00B815B2" w:rsidRPr="00EE1D93" w:rsidRDefault="00B815B2" w:rsidP="00EE1D93">
            <w:pPr>
              <w:numPr>
                <w:ilvl w:val="0"/>
                <w:numId w:val="10"/>
              </w:numPr>
              <w:spacing w:after="60"/>
              <w:jc w:val="both"/>
              <w:rPr>
                <w:rFonts w:ascii="Calibri" w:eastAsia="宋体" w:hAnsi="Calibri" w:cs="Arial"/>
                <w:bCs/>
                <w:sz w:val="16"/>
                <w:lang w:val="en-US" w:eastAsia="zh-CN"/>
              </w:rPr>
            </w:pPr>
            <w:r w:rsidRPr="00EE1D93">
              <w:rPr>
                <w:rFonts w:ascii="Calibri" w:eastAsia="宋体" w:hAnsi="Calibri" w:cs="Arial"/>
                <w:bCs/>
                <w:sz w:val="16"/>
                <w:lang w:val="en-US" w:eastAsia="zh-CN"/>
              </w:rPr>
              <w:t>RAN4 agree the location in Specification to capture EVM definition for transparent TxD, as</w:t>
            </w:r>
          </w:p>
          <w:p w14:paraId="582FAC4A" w14:textId="77777777" w:rsidR="00B815B2" w:rsidRPr="00EE1D93" w:rsidRDefault="00B815B2" w:rsidP="00EE1D93">
            <w:pPr>
              <w:numPr>
                <w:ilvl w:val="1"/>
                <w:numId w:val="10"/>
              </w:numPr>
              <w:spacing w:after="60"/>
              <w:jc w:val="both"/>
              <w:rPr>
                <w:rFonts w:ascii="Calibri" w:eastAsia="宋体" w:hAnsi="Calibri" w:cs="Arial"/>
                <w:bCs/>
                <w:sz w:val="16"/>
                <w:lang w:val="en-US" w:eastAsia="zh-CN"/>
              </w:rPr>
            </w:pPr>
            <w:r w:rsidRPr="00EE1D93">
              <w:rPr>
                <w:rFonts w:ascii="Calibri" w:eastAsia="宋体" w:hAnsi="Calibri" w:cs="Arial"/>
                <w:bCs/>
                <w:sz w:val="16"/>
                <w:lang w:val="en-US" w:eastAsia="zh-CN"/>
              </w:rPr>
              <w:t>Annex F</w:t>
            </w:r>
          </w:p>
          <w:p w14:paraId="647A72E0" w14:textId="77777777" w:rsidR="00EE1D93" w:rsidRPr="00EE1D93" w:rsidRDefault="00EE1D93" w:rsidP="00EE1D93">
            <w:pPr>
              <w:spacing w:after="60"/>
              <w:jc w:val="both"/>
              <w:rPr>
                <w:rFonts w:ascii="Calibri" w:eastAsia="宋体" w:hAnsi="Calibri" w:cs="Arial"/>
                <w:b/>
                <w:bCs/>
                <w:sz w:val="16"/>
                <w:lang w:val="en-US" w:eastAsia="zh-CN"/>
              </w:rPr>
            </w:pPr>
            <w:r w:rsidRPr="00EE1D93">
              <w:rPr>
                <w:rFonts w:ascii="Calibri" w:eastAsia="宋体" w:hAnsi="Calibri" w:cs="Arial"/>
                <w:b/>
                <w:bCs/>
                <w:sz w:val="16"/>
                <w:lang w:val="en-US" w:eastAsia="zh-CN"/>
              </w:rPr>
              <w:t xml:space="preserve">Declaration for Default TX Connector </w:t>
            </w:r>
          </w:p>
          <w:p w14:paraId="61D06590" w14:textId="77777777" w:rsidR="00EE1D93" w:rsidRPr="00EE1D93" w:rsidRDefault="00EE1D93" w:rsidP="00EE1D93">
            <w:pPr>
              <w:numPr>
                <w:ilvl w:val="0"/>
                <w:numId w:val="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 xml:space="preserve">RAN4 further study the following options for declaration of default Tx </w:t>
            </w:r>
            <w:r w:rsidRPr="00EE1D93">
              <w:rPr>
                <w:rFonts w:ascii="Calibri" w:eastAsia="宋体" w:hAnsi="Calibri" w:cs="Arial"/>
                <w:sz w:val="16"/>
                <w:lang w:val="en-US" w:eastAsia="zh-CN"/>
              </w:rPr>
              <w:t>connector:</w:t>
            </w:r>
          </w:p>
          <w:p w14:paraId="12D52E37" w14:textId="77777777" w:rsidR="00B815B2" w:rsidRPr="00EE1D93" w:rsidRDefault="00B815B2" w:rsidP="00EE1D93">
            <w:pPr>
              <w:numPr>
                <w:ilvl w:val="1"/>
                <w:numId w:val="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1a: TE needs to detect all antenna connectors for ACK and NACK and any other expected response from UE</w:t>
            </w:r>
          </w:p>
          <w:p w14:paraId="175AB2D9" w14:textId="77777777" w:rsidR="00B815B2" w:rsidRPr="00EE1D93" w:rsidRDefault="00B815B2" w:rsidP="00EE1D93">
            <w:pPr>
              <w:numPr>
                <w:ilvl w:val="1"/>
                <w:numId w:val="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1b: TE needs to detect all declared TX antenna connectors for ACK and NACK and any other expected response from UE</w:t>
            </w:r>
          </w:p>
          <w:p w14:paraId="0D8BF186" w14:textId="77777777" w:rsidR="00B815B2" w:rsidRPr="00EE1D93" w:rsidRDefault="00B815B2" w:rsidP="00EE1D93">
            <w:pPr>
              <w:numPr>
                <w:ilvl w:val="1"/>
                <w:numId w:val="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2: UE declares which connector is primary TX connector from which ACK and NACK and any other expected response from UE is transmitted in all cases</w:t>
            </w:r>
          </w:p>
          <w:p w14:paraId="4CBD481E" w14:textId="77777777" w:rsidR="00B815B2" w:rsidRPr="00EE1D93" w:rsidRDefault="00B815B2" w:rsidP="00EE1D93">
            <w:pPr>
              <w:numPr>
                <w:ilvl w:val="1"/>
                <w:numId w:val="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2a: Per instructed as test mode, UE should keep its default connector (based on UE declaration) unchanged from which ACK and NACK and any other expected response from UE is transmitted in all test cases</w:t>
            </w:r>
          </w:p>
          <w:p w14:paraId="148487B5" w14:textId="77777777" w:rsidR="00B815B2" w:rsidRPr="00EE1D93" w:rsidRDefault="00B815B2" w:rsidP="00EE1D93">
            <w:pPr>
              <w:numPr>
                <w:ilvl w:val="1"/>
                <w:numId w:val="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3: Regardless of the above options, it should be clarified only tested Tx connector is used as 1Tx transmission.</w:t>
            </w:r>
          </w:p>
          <w:p w14:paraId="225F3603" w14:textId="77777777" w:rsidR="00EE1D93" w:rsidRPr="00EE1D93" w:rsidRDefault="00EE1D93" w:rsidP="00EE1D93">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lastRenderedPageBreak/>
              <w:t xml:space="preserve">UE Behavior under Conformance Testing </w:t>
            </w:r>
          </w:p>
          <w:p w14:paraId="56E435C4" w14:textId="77777777" w:rsidR="00EE1D93" w:rsidRPr="00EE1D93" w:rsidRDefault="00EE1D93" w:rsidP="00EE1D93">
            <w:pPr>
              <w:numPr>
                <w:ilvl w:val="0"/>
                <w:numId w:val="7"/>
              </w:numPr>
              <w:spacing w:after="60"/>
              <w:jc w:val="both"/>
              <w:rPr>
                <w:rFonts w:ascii="Calibri" w:eastAsia="宋体" w:hAnsi="Calibri" w:cs="Arial"/>
                <w:sz w:val="16"/>
                <w:lang w:val="en-US" w:eastAsia="zh-CN"/>
              </w:rPr>
            </w:pPr>
            <w:r w:rsidRPr="00EE1D93">
              <w:rPr>
                <w:rFonts w:ascii="Calibri" w:eastAsia="宋体" w:hAnsi="Calibri" w:cs="Arial"/>
                <w:sz w:val="16"/>
                <w:lang w:eastAsia="zh-CN"/>
              </w:rPr>
              <w:t xml:space="preserve">RAN4 further study the following options for </w:t>
            </w:r>
            <w:r w:rsidRPr="00EE1D93">
              <w:rPr>
                <w:rFonts w:ascii="Calibri" w:eastAsia="宋体" w:hAnsi="Calibri" w:cs="Arial"/>
                <w:sz w:val="16"/>
                <w:lang w:val="en-US" w:eastAsia="zh-CN"/>
              </w:rPr>
              <w:t>UE behavior under conformance testing:</w:t>
            </w:r>
          </w:p>
          <w:p w14:paraId="0BEF7F37" w14:textId="77777777" w:rsidR="00B815B2" w:rsidRPr="00EE1D93" w:rsidRDefault="00B815B2" w:rsidP="00EE1D93">
            <w:pPr>
              <w:numPr>
                <w:ilvl w:val="1"/>
                <w:numId w:val="7"/>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1a: UE will keep the tx diversity status unchanged in conformance testing.</w:t>
            </w:r>
          </w:p>
          <w:p w14:paraId="7DF020BE" w14:textId="77777777" w:rsidR="00B815B2" w:rsidRPr="00EE1D93" w:rsidRDefault="00B815B2" w:rsidP="00EE1D93">
            <w:pPr>
              <w:numPr>
                <w:ilvl w:val="1"/>
                <w:numId w:val="7"/>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1b: Test mode signalling is implemented to instruct UE to keep TX div status unchanged</w:t>
            </w:r>
          </w:p>
          <w:p w14:paraId="002508F8" w14:textId="77777777" w:rsidR="00B815B2" w:rsidRPr="00EE1D93" w:rsidRDefault="00B815B2" w:rsidP="00EE1D93">
            <w:pPr>
              <w:numPr>
                <w:ilvl w:val="1"/>
                <w:numId w:val="7"/>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2: TE will detect and sum for every power step and change in condition from all connector</w:t>
            </w:r>
          </w:p>
          <w:p w14:paraId="48870681" w14:textId="6D540286" w:rsidR="003158C8" w:rsidRPr="00EE1D93" w:rsidRDefault="003158C8" w:rsidP="00547EDA">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Power splitting behavior</w:t>
            </w:r>
          </w:p>
          <w:p w14:paraId="24F14FFD" w14:textId="77777777" w:rsidR="00EE1D93" w:rsidRPr="00EE1D93" w:rsidRDefault="00EE1D93" w:rsidP="00EE1D93">
            <w:pPr>
              <w:numPr>
                <w:ilvl w:val="0"/>
                <w:numId w:val="9"/>
              </w:numPr>
              <w:spacing w:after="60"/>
              <w:jc w:val="both"/>
              <w:rPr>
                <w:rFonts w:ascii="Calibri" w:eastAsia="宋体" w:hAnsi="Calibri" w:cs="Arial"/>
                <w:sz w:val="16"/>
                <w:lang w:val="en-US" w:eastAsia="zh-CN"/>
              </w:rPr>
            </w:pPr>
            <w:r w:rsidRPr="00EE1D93">
              <w:rPr>
                <w:rFonts w:ascii="Calibri" w:eastAsia="宋体" w:hAnsi="Calibri" w:cs="Arial"/>
                <w:sz w:val="16"/>
                <w:lang w:eastAsia="zh-CN"/>
              </w:rPr>
              <w:t xml:space="preserve">RAN4 agree UE behaviour for power splitting as: </w:t>
            </w:r>
          </w:p>
          <w:p w14:paraId="589661FE" w14:textId="77777777" w:rsidR="00B815B2" w:rsidRPr="00EE1D93" w:rsidRDefault="00B815B2" w:rsidP="00EE1D93">
            <w:pPr>
              <w:numPr>
                <w:ilvl w:val="1"/>
                <w:numId w:val="9"/>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1: Only allow equal power split between connectors</w:t>
            </w:r>
          </w:p>
          <w:p w14:paraId="1C3A393F" w14:textId="77777777" w:rsidR="00B815B2" w:rsidRPr="00EE1D93" w:rsidRDefault="00B815B2" w:rsidP="00EE1D93">
            <w:pPr>
              <w:numPr>
                <w:ilvl w:val="2"/>
                <w:numId w:val="9"/>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Excludes 17+17+20 dBm implementations</w:t>
            </w:r>
          </w:p>
          <w:p w14:paraId="00B2F5EA" w14:textId="77777777" w:rsidR="00B815B2" w:rsidRPr="00EE1D93" w:rsidRDefault="00B815B2" w:rsidP="00EE1D93">
            <w:pPr>
              <w:numPr>
                <w:ilvl w:val="2"/>
                <w:numId w:val="9"/>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Excludes power control optimizations</w:t>
            </w:r>
          </w:p>
          <w:p w14:paraId="6C90C52E" w14:textId="77777777" w:rsidR="00B815B2" w:rsidRPr="00EE1D93" w:rsidRDefault="00B815B2" w:rsidP="00EE1D93">
            <w:pPr>
              <w:numPr>
                <w:ilvl w:val="1"/>
                <w:numId w:val="9"/>
              </w:numPr>
              <w:spacing w:after="60"/>
              <w:jc w:val="both"/>
              <w:rPr>
                <w:rFonts w:ascii="Calibri" w:eastAsia="宋体" w:hAnsi="Calibri" w:cs="Arial"/>
                <w:sz w:val="16"/>
                <w:lang w:val="en-US" w:eastAsia="zh-CN"/>
              </w:rPr>
            </w:pPr>
            <w:r w:rsidRPr="00EE1D93">
              <w:rPr>
                <w:rFonts w:ascii="Calibri" w:eastAsia="宋体" w:hAnsi="Calibri" w:cs="Arial"/>
                <w:sz w:val="16"/>
                <w:lang w:eastAsia="zh-CN"/>
              </w:rPr>
              <w:t xml:space="preserve">Option 1a: Per instructed as test mode, UE should keep equal power split between connectors in all cases. </w:t>
            </w:r>
          </w:p>
          <w:p w14:paraId="0A721F38" w14:textId="77777777" w:rsidR="003158C8" w:rsidRDefault="00B815B2" w:rsidP="00EE1D93">
            <w:pPr>
              <w:numPr>
                <w:ilvl w:val="1"/>
                <w:numId w:val="9"/>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2: Allow any power split between connectors</w:t>
            </w:r>
          </w:p>
          <w:p w14:paraId="79718FCE" w14:textId="77777777" w:rsidR="00EE1D93" w:rsidRPr="00EE1D93" w:rsidRDefault="00EE1D93" w:rsidP="00EE1D93">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MPR Requirement for Transparent TxD</w:t>
            </w:r>
          </w:p>
          <w:p w14:paraId="7BE3D352" w14:textId="77777777" w:rsidR="00EE1D93" w:rsidRDefault="00EE1D93" w:rsidP="00EE1D93">
            <w:pPr>
              <w:numPr>
                <w:ilvl w:val="0"/>
                <w:numId w:val="9"/>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RAN4 agree MPR defined for TxD is applied to the total output power rather than at each antenna connector</w:t>
            </w:r>
          </w:p>
          <w:p w14:paraId="3B04088B" w14:textId="77777777" w:rsidR="00EE1D93" w:rsidRPr="00EE1D93" w:rsidRDefault="00EE1D93" w:rsidP="00EE1D93">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Signaling for Transparent TxD</w:t>
            </w:r>
          </w:p>
          <w:p w14:paraId="55ECE8D2" w14:textId="77777777" w:rsidR="00EE1D93" w:rsidRPr="00EE1D93" w:rsidRDefault="00EE1D93" w:rsidP="00EE1D93">
            <w:pPr>
              <w:numPr>
                <w:ilvl w:val="0"/>
                <w:numId w:val="9"/>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Whether and how RAN4 introduce signalling for transparent TxD: </w:t>
            </w:r>
          </w:p>
          <w:p w14:paraId="7CAC9EEC" w14:textId="77777777" w:rsidR="00B815B2" w:rsidRPr="00EE1D93" w:rsidRDefault="00B815B2" w:rsidP="00EE1D93">
            <w:pPr>
              <w:numPr>
                <w:ilvl w:val="1"/>
                <w:numId w:val="14"/>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1: Use ModifiedMPRbehavior bits to signal additional relaxations.</w:t>
            </w:r>
          </w:p>
          <w:p w14:paraId="0559AD63" w14:textId="77777777" w:rsidR="00B815B2" w:rsidRPr="00EE1D93" w:rsidRDefault="00B815B2" w:rsidP="00EE1D93">
            <w:pPr>
              <w:numPr>
                <w:ilvl w:val="1"/>
                <w:numId w:val="14"/>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2: Introducing a new (capability) signalling for TxD</w:t>
            </w:r>
          </w:p>
          <w:p w14:paraId="5C5D66EF" w14:textId="77777777" w:rsidR="00B815B2" w:rsidRPr="00EE1D93" w:rsidRDefault="00B815B2" w:rsidP="00EE1D93">
            <w:pPr>
              <w:numPr>
                <w:ilvl w:val="1"/>
                <w:numId w:val="14"/>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3: Introducing a new power class (e.g. PC2.5) for TxD</w:t>
            </w:r>
          </w:p>
          <w:p w14:paraId="0642D2F8" w14:textId="77777777" w:rsidR="00B815B2" w:rsidRPr="00EE1D93" w:rsidRDefault="00B815B2" w:rsidP="00EE1D93">
            <w:pPr>
              <w:numPr>
                <w:ilvl w:val="1"/>
                <w:numId w:val="14"/>
              </w:numPr>
              <w:spacing w:after="60"/>
              <w:jc w:val="both"/>
              <w:rPr>
                <w:rFonts w:ascii="Calibri" w:eastAsia="宋体" w:hAnsi="Calibri" w:cs="Arial"/>
                <w:sz w:val="16"/>
                <w:lang w:val="en-US" w:eastAsia="zh-CN"/>
              </w:rPr>
            </w:pPr>
            <w:r w:rsidRPr="00EE1D93">
              <w:rPr>
                <w:rFonts w:ascii="Calibri" w:eastAsia="宋体" w:hAnsi="Calibri" w:cs="Arial"/>
                <w:sz w:val="16"/>
                <w:lang w:eastAsia="zh-CN"/>
              </w:rPr>
              <w:t>Option 4: No need for TxD signalling</w:t>
            </w:r>
          </w:p>
          <w:p w14:paraId="01B43E25" w14:textId="77777777" w:rsidR="00EE1D93" w:rsidRPr="00EE1D93" w:rsidRDefault="00EE1D93" w:rsidP="00EE1D93">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Applicability of Transparent TxD Requirement</w:t>
            </w:r>
          </w:p>
          <w:p w14:paraId="2BACA0B3" w14:textId="10323E8B" w:rsidR="00EE1D93" w:rsidRPr="00EE1D93" w:rsidRDefault="00EE1D93" w:rsidP="00EE1D93">
            <w:pPr>
              <w:numPr>
                <w:ilvl w:val="0"/>
                <w:numId w:val="9"/>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The applicability of the newly introduced test procedure (if any) and specific requirement </w:t>
            </w:r>
            <w:r>
              <w:rPr>
                <w:rFonts w:ascii="Calibri" w:eastAsia="宋体" w:hAnsi="Calibri" w:cs="Arial"/>
                <w:sz w:val="16"/>
                <w:lang w:val="en-US" w:eastAsia="zh-CN"/>
              </w:rPr>
              <w:t>(if any) for transparent TxD UE</w:t>
            </w:r>
            <w:r w:rsidRPr="00EE1D93">
              <w:rPr>
                <w:rFonts w:ascii="Calibri" w:eastAsia="宋体" w:hAnsi="Calibri" w:cs="Arial"/>
                <w:sz w:val="16"/>
                <w:lang w:val="en-US" w:eastAsia="zh-CN"/>
              </w:rPr>
              <w:t xml:space="preserve">: </w:t>
            </w:r>
          </w:p>
          <w:p w14:paraId="189DAAB4" w14:textId="77777777" w:rsidR="00B815B2" w:rsidRPr="00EE1D93" w:rsidRDefault="00B815B2" w:rsidP="00EE1D93">
            <w:pPr>
              <w:numPr>
                <w:ilvl w:val="1"/>
                <w:numId w:val="1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FFS whether or not applicable to UE implementation without transparent TxD</w:t>
            </w:r>
          </w:p>
          <w:p w14:paraId="73AA6D4A" w14:textId="77777777" w:rsidR="00B815B2" w:rsidRPr="00EE1D93" w:rsidRDefault="00B815B2" w:rsidP="00EE1D93">
            <w:pPr>
              <w:numPr>
                <w:ilvl w:val="1"/>
                <w:numId w:val="15"/>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Whether or not a UE implementation use transparent TxD </w:t>
            </w:r>
          </w:p>
          <w:p w14:paraId="6C2FAF09" w14:textId="77777777" w:rsidR="00B815B2" w:rsidRPr="00EE1D93" w:rsidRDefault="00B815B2" w:rsidP="00EE1D93">
            <w:pPr>
              <w:numPr>
                <w:ilvl w:val="2"/>
                <w:numId w:val="15"/>
              </w:numPr>
              <w:spacing w:after="60"/>
              <w:jc w:val="both"/>
              <w:rPr>
                <w:rFonts w:ascii="Calibri" w:eastAsia="宋体" w:hAnsi="Calibri" w:cs="Arial"/>
                <w:sz w:val="16"/>
                <w:lang w:val="en-US" w:eastAsia="zh-CN"/>
              </w:rPr>
            </w:pPr>
            <w:r w:rsidRPr="00EE1D93">
              <w:rPr>
                <w:rFonts w:ascii="Calibri" w:eastAsia="宋体" w:hAnsi="Calibri" w:cs="Arial"/>
                <w:sz w:val="16"/>
                <w:lang w:eastAsia="zh-CN"/>
              </w:rPr>
              <w:t>Follow capability signalled by UE if UE capability is introduced.</w:t>
            </w:r>
          </w:p>
          <w:p w14:paraId="7C5ACF8C" w14:textId="77777777" w:rsidR="00B815B2" w:rsidRPr="00EE1D93" w:rsidRDefault="00B815B2" w:rsidP="00EE1D93">
            <w:pPr>
              <w:numPr>
                <w:ilvl w:val="2"/>
                <w:numId w:val="15"/>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Based on UE vendor declaration if UE capability is not introduced. </w:t>
            </w:r>
          </w:p>
          <w:p w14:paraId="42D921A0" w14:textId="77777777" w:rsidR="00B815B2" w:rsidRPr="00EE1D93" w:rsidRDefault="00B815B2" w:rsidP="00EE1D93">
            <w:pPr>
              <w:numPr>
                <w:ilvl w:val="1"/>
                <w:numId w:val="15"/>
              </w:numPr>
              <w:spacing w:after="60"/>
              <w:jc w:val="both"/>
              <w:rPr>
                <w:rFonts w:ascii="Calibri" w:eastAsia="宋体" w:hAnsi="Calibri" w:cs="Arial"/>
                <w:sz w:val="16"/>
                <w:lang w:val="en-US" w:eastAsia="zh-CN"/>
              </w:rPr>
            </w:pPr>
            <w:r w:rsidRPr="00EE1D93">
              <w:rPr>
                <w:rFonts w:ascii="Calibri" w:eastAsia="宋体" w:hAnsi="Calibri" w:cs="Arial"/>
                <w:i/>
                <w:iCs/>
                <w:sz w:val="16"/>
                <w:lang w:val="en-US" w:eastAsia="zh-CN"/>
              </w:rPr>
              <w:t>If requirements are embedded in to general requirements or distinguished in to TxD dedicated requirements is FFS</w:t>
            </w:r>
          </w:p>
          <w:p w14:paraId="2165D409" w14:textId="77777777" w:rsidR="00EE1D93" w:rsidRPr="00EE1D93" w:rsidRDefault="00EE1D93" w:rsidP="00EE1D93">
            <w:pPr>
              <w:spacing w:after="60"/>
              <w:jc w:val="both"/>
              <w:rPr>
                <w:rFonts w:ascii="Calibri" w:eastAsia="宋体" w:hAnsi="Calibri" w:cs="Arial"/>
                <w:b/>
                <w:sz w:val="16"/>
                <w:lang w:val="en-US" w:eastAsia="zh-CN"/>
              </w:rPr>
            </w:pPr>
            <w:r w:rsidRPr="00EE1D93">
              <w:rPr>
                <w:rFonts w:ascii="Calibri" w:eastAsia="宋体" w:hAnsi="Calibri" w:cs="Arial"/>
                <w:b/>
                <w:sz w:val="16"/>
                <w:lang w:val="en-US" w:eastAsia="zh-CN"/>
              </w:rPr>
              <w:t>CDD-related Requirement</w:t>
            </w:r>
          </w:p>
          <w:p w14:paraId="132C199F" w14:textId="77777777" w:rsidR="00EE1D93" w:rsidRPr="00EE1D93" w:rsidRDefault="00EE1D93" w:rsidP="00EE1D93">
            <w:pPr>
              <w:numPr>
                <w:ilvl w:val="0"/>
                <w:numId w:val="9"/>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For transparent TxD UE, necessity of CDD related requirements, e.g. requirement on TAE+CDD, is need to be further studied: </w:t>
            </w:r>
          </w:p>
          <w:p w14:paraId="1DDF95DA" w14:textId="77777777" w:rsidR="00B815B2" w:rsidRPr="00EE1D93" w:rsidRDefault="00B815B2" w:rsidP="00EE1D93">
            <w:pPr>
              <w:numPr>
                <w:ilvl w:val="1"/>
                <w:numId w:val="16"/>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FFS the necessity of CDD related requirement, by considering: </w:t>
            </w:r>
          </w:p>
          <w:p w14:paraId="258494DC" w14:textId="77777777" w:rsidR="00B815B2" w:rsidRPr="00EE1D93" w:rsidRDefault="00B815B2" w:rsidP="00EE1D93">
            <w:pPr>
              <w:numPr>
                <w:ilvl w:val="2"/>
                <w:numId w:val="16"/>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Factors to determine the value of CDD in UE implementation</w:t>
            </w:r>
          </w:p>
          <w:p w14:paraId="6A4F7E9B" w14:textId="77777777" w:rsidR="00B815B2" w:rsidRPr="00EE1D93" w:rsidRDefault="00B815B2" w:rsidP="00EE1D93">
            <w:pPr>
              <w:numPr>
                <w:ilvl w:val="2"/>
                <w:numId w:val="16"/>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Testability</w:t>
            </w:r>
          </w:p>
          <w:p w14:paraId="3A3558EF" w14:textId="5D785B50" w:rsidR="00EE1D93" w:rsidRPr="00EE1D93" w:rsidRDefault="00B815B2" w:rsidP="00EE1D93">
            <w:pPr>
              <w:numPr>
                <w:ilvl w:val="2"/>
                <w:numId w:val="16"/>
              </w:numPr>
              <w:spacing w:after="60"/>
              <w:jc w:val="both"/>
              <w:rPr>
                <w:rFonts w:ascii="Calibri" w:eastAsia="宋体" w:hAnsi="Calibri" w:cs="Arial"/>
                <w:sz w:val="16"/>
                <w:lang w:val="en-US" w:eastAsia="zh-CN"/>
              </w:rPr>
            </w:pPr>
            <w:r w:rsidRPr="00EE1D93">
              <w:rPr>
                <w:rFonts w:ascii="Calibri" w:eastAsia="宋体" w:hAnsi="Calibri" w:cs="Arial"/>
                <w:sz w:val="16"/>
                <w:lang w:val="en-US" w:eastAsia="zh-CN"/>
              </w:rPr>
              <w:t xml:space="preserve">Other factors are not excluded. </w:t>
            </w:r>
          </w:p>
        </w:tc>
      </w:tr>
    </w:tbl>
    <w:p w14:paraId="6F8BCC3A" w14:textId="77777777" w:rsidR="003158C8" w:rsidRDefault="003158C8" w:rsidP="003158C8">
      <w:pPr>
        <w:spacing w:afterLines="50" w:after="120"/>
        <w:jc w:val="both"/>
        <w:rPr>
          <w:rFonts w:ascii="Calibri" w:eastAsia="宋体" w:hAnsi="Calibri" w:cs="Arial"/>
          <w:lang w:val="en-US" w:eastAsia="zh-CN"/>
        </w:rPr>
      </w:pPr>
    </w:p>
    <w:p w14:paraId="4432F1B4" w14:textId="14DA6D49" w:rsidR="003158C8" w:rsidRDefault="003158C8" w:rsidP="003158C8">
      <w:pPr>
        <w:pStyle w:val="Heading4"/>
        <w:rPr>
          <w:lang w:eastAsia="zh-CN"/>
        </w:rPr>
      </w:pPr>
      <w:r>
        <w:rPr>
          <w:lang w:eastAsia="zh-CN"/>
        </w:rPr>
        <w:t>2.</w:t>
      </w:r>
      <w:r w:rsidR="00074949">
        <w:rPr>
          <w:lang w:eastAsia="zh-CN"/>
        </w:rPr>
        <w:t>2</w:t>
      </w:r>
      <w:r>
        <w:rPr>
          <w:lang w:eastAsia="zh-CN"/>
        </w:rPr>
        <w:t xml:space="preserve"> Cyclic Delay Diversity (CDD)</w:t>
      </w:r>
      <w:r w:rsidR="00EE1D93">
        <w:rPr>
          <w:lang w:eastAsia="zh-CN"/>
        </w:rPr>
        <w:t xml:space="preserve"> related Requirement</w:t>
      </w:r>
    </w:p>
    <w:p w14:paraId="3943B2E7" w14:textId="16EAB630" w:rsidR="003158C8" w:rsidRDefault="001F2B8B"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Cyclic delay-</w:t>
      </w:r>
      <w:r>
        <w:rPr>
          <w:rFonts w:ascii="Calibri" w:eastAsia="宋体" w:hAnsi="Calibri" w:cs="Arial" w:hint="eastAsia"/>
          <w:lang w:eastAsia="zh-CN"/>
        </w:rPr>
        <w:t>di</w:t>
      </w:r>
      <w:r>
        <w:rPr>
          <w:rFonts w:ascii="Calibri" w:eastAsia="宋体" w:hAnsi="Calibri" w:cs="Arial"/>
          <w:lang w:eastAsia="zh-CN"/>
        </w:rPr>
        <w:t xml:space="preserve">versity (CDD) is well recognized as an adaptation of the generalized delay diversity scheme to OFDM systems, which is an implementation scheme for transparent Tx diversity. With sending on each antenna a circularly shifted version of the same OFDM symbol in time domain, </w:t>
      </w:r>
      <w:r w:rsidR="00327CF2">
        <w:rPr>
          <w:rFonts w:ascii="Calibri" w:eastAsia="宋体" w:hAnsi="Calibri" w:cs="Arial"/>
          <w:lang w:eastAsia="zh-CN"/>
        </w:rPr>
        <w:t xml:space="preserve">CDD turns the MIMO channel into a SIMO channel with </w:t>
      </w:r>
      <w:r>
        <w:rPr>
          <w:rFonts w:ascii="Calibri" w:eastAsia="宋体" w:hAnsi="Calibri" w:cs="Arial"/>
          <w:lang w:eastAsia="zh-CN"/>
        </w:rPr>
        <w:t>enhanced frequency selectivity</w:t>
      </w:r>
      <w:r w:rsidR="00327CF2">
        <w:rPr>
          <w:rFonts w:ascii="Calibri" w:eastAsia="宋体" w:hAnsi="Calibri" w:cs="Arial"/>
          <w:lang w:eastAsia="zh-CN"/>
        </w:rPr>
        <w:t>, and the subsequent frequency diversity may then be extracted by</w:t>
      </w:r>
      <w:r w:rsidR="00B815B2">
        <w:rPr>
          <w:rFonts w:ascii="Calibri" w:eastAsia="宋体" w:hAnsi="Calibri" w:cs="Arial"/>
          <w:lang w:eastAsia="zh-CN"/>
        </w:rPr>
        <w:t xml:space="preserve"> appropriate outer channel coding</w:t>
      </w:r>
      <w:r w:rsidR="00327CF2">
        <w:rPr>
          <w:rFonts w:ascii="Calibri" w:eastAsia="宋体" w:hAnsi="Calibri" w:cs="Arial"/>
          <w:lang w:eastAsia="zh-CN"/>
        </w:rPr>
        <w:t>.</w:t>
      </w:r>
    </w:p>
    <w:p w14:paraId="0F2D9C69" w14:textId="23FF0640" w:rsidR="00327CF2" w:rsidRDefault="00327CF2"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academic papers, the relationship between the cyclic shift in time domain and the multiplication by a phase shift in frequency domain </w:t>
      </w:r>
      <w:r w:rsidR="00B815B2">
        <w:rPr>
          <w:rFonts w:ascii="Calibri" w:eastAsia="宋体" w:hAnsi="Calibri" w:cs="Arial"/>
          <w:lang w:eastAsia="zh-CN"/>
        </w:rPr>
        <w:t>has been</w:t>
      </w:r>
      <w:r>
        <w:rPr>
          <w:rFonts w:ascii="Calibri" w:eastAsia="宋体" w:hAnsi="Calibri" w:cs="Arial"/>
          <w:lang w:eastAsia="zh-CN"/>
        </w:rPr>
        <w:t xml:space="preserve"> demonstrated, i.e., the received signal </w:t>
      </w:r>
      <w:r w:rsidR="00195236">
        <w:rPr>
          <w:rFonts w:ascii="Calibri" w:eastAsia="宋体" w:hAnsi="Calibri" w:cs="Arial"/>
          <w:lang w:eastAsia="zh-CN"/>
        </w:rPr>
        <w:t xml:space="preserve">at k-th subcarrier </w:t>
      </w:r>
      <w:r>
        <w:rPr>
          <w:rFonts w:ascii="Calibri" w:eastAsia="宋体" w:hAnsi="Calibri" w:cs="Arial"/>
          <w:lang w:eastAsia="zh-CN"/>
        </w:rPr>
        <w:t>in frequency domain can be written as:</w:t>
      </w:r>
    </w:p>
    <w:p w14:paraId="2B836B2E" w14:textId="4F80A807" w:rsidR="00327CF2" w:rsidRDefault="0042778F" w:rsidP="00BB5A8F">
      <w:pPr>
        <w:spacing w:beforeLines="50" w:before="120" w:afterLines="50" w:after="120"/>
        <w:jc w:val="both"/>
        <w:rPr>
          <w:rFonts w:ascii="Calibri" w:eastAsia="宋体" w:hAnsi="Calibri" w:cs="Arial"/>
          <w:lang w:eastAsia="zh-CN"/>
        </w:rPr>
      </w:pPr>
      <m:oMathPara>
        <m:oMath>
          <m:sSub>
            <m:sSubPr>
              <m:ctrlPr>
                <w:rPr>
                  <w:rFonts w:ascii="Cambria Math" w:eastAsia="宋体" w:hAnsi="Cambria Math" w:cs="Arial"/>
                  <w:i/>
                  <w:lang w:eastAsia="zh-CN"/>
                </w:rPr>
              </m:ctrlPr>
            </m:sSubPr>
            <m:e>
              <m:r>
                <w:rPr>
                  <w:rFonts w:ascii="Cambria Math" w:eastAsia="宋体" w:hAnsi="Cambria Math" w:cs="Arial"/>
                  <w:lang w:eastAsia="zh-CN"/>
                </w:rPr>
                <m:t>y</m:t>
              </m:r>
            </m:e>
            <m:sub>
              <m:r>
                <w:rPr>
                  <w:rFonts w:ascii="Cambria Math" w:eastAsia="宋体" w:hAnsi="Cambria Math" w:cs="Arial"/>
                  <w:lang w:eastAsia="zh-CN"/>
                </w:rPr>
                <m:t xml:space="preserve">k  </m:t>
              </m:r>
            </m:sub>
          </m:sSub>
          <m:r>
            <w:rPr>
              <w:rFonts w:ascii="Cambria Math" w:eastAsia="宋体" w:hAnsi="Cambria Math" w:cs="Arial"/>
              <w:lang w:eastAsia="zh-CN"/>
            </w:rPr>
            <m:t>=</m:t>
          </m:r>
          <m:rad>
            <m:radPr>
              <m:degHide m:val="1"/>
              <m:ctrlPr>
                <w:rPr>
                  <w:rFonts w:ascii="Cambria Math" w:eastAsia="宋体" w:hAnsi="Cambria Math" w:cs="Arial"/>
                  <w:i/>
                  <w:lang w:eastAsia="zh-CN"/>
                </w:rPr>
              </m:ctrlPr>
            </m:radPr>
            <m:deg/>
            <m:e>
              <m:f>
                <m:fPr>
                  <m:ctrlPr>
                    <w:rPr>
                      <w:rFonts w:ascii="Cambria Math" w:eastAsia="宋体" w:hAnsi="Cambria Math" w:cs="Arial"/>
                      <w:i/>
                      <w:lang w:eastAsia="zh-CN"/>
                    </w:rPr>
                  </m:ctrlPr>
                </m:fPr>
                <m:num>
                  <m:sSub>
                    <m:sSubPr>
                      <m:ctrlPr>
                        <w:rPr>
                          <w:rFonts w:ascii="Cambria Math" w:eastAsia="宋体" w:hAnsi="Cambria Math" w:cs="Arial"/>
                          <w:i/>
                          <w:lang w:eastAsia="zh-CN"/>
                        </w:rPr>
                      </m:ctrlPr>
                    </m:sSubPr>
                    <m:e>
                      <m:r>
                        <w:rPr>
                          <w:rFonts w:ascii="Cambria Math" w:eastAsia="宋体" w:hAnsi="Cambria Math" w:cs="Arial"/>
                          <w:lang w:eastAsia="zh-CN"/>
                        </w:rPr>
                        <m:t>E</m:t>
                      </m:r>
                    </m:e>
                    <m:sub>
                      <m:r>
                        <w:rPr>
                          <w:rFonts w:ascii="Cambria Math" w:eastAsia="宋体" w:hAnsi="Cambria Math" w:cs="Arial"/>
                          <w:lang w:eastAsia="zh-CN"/>
                        </w:rPr>
                        <m:t>s</m:t>
                      </m:r>
                    </m:sub>
                  </m:sSub>
                </m:num>
                <m:den>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den>
              </m:f>
            </m:e>
          </m:rad>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eq,k</m:t>
              </m:r>
            </m:sub>
          </m:sSub>
          <m:sSub>
            <m:sSubPr>
              <m:ctrlPr>
                <w:rPr>
                  <w:rFonts w:ascii="Cambria Math" w:eastAsia="宋体" w:hAnsi="Cambria Math" w:cs="Arial"/>
                  <w:i/>
                  <w:lang w:eastAsia="zh-CN"/>
                </w:rPr>
              </m:ctrlPr>
            </m:sSubPr>
            <m:e>
              <m:r>
                <w:rPr>
                  <w:rFonts w:ascii="Cambria Math" w:eastAsia="宋体" w:hAnsi="Cambria Math" w:cs="Arial"/>
                  <w:lang w:eastAsia="zh-CN"/>
                </w:rPr>
                <m:t>c</m:t>
              </m:r>
            </m:e>
            <m:sub>
              <m:r>
                <w:rPr>
                  <w:rFonts w:ascii="Cambria Math" w:eastAsia="宋体" w:hAnsi="Cambria Math" w:cs="Arial"/>
                  <w:lang w:eastAsia="zh-CN"/>
                </w:rPr>
                <m:t>k</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k</m:t>
              </m:r>
            </m:sub>
          </m:sSub>
        </m:oMath>
      </m:oMathPara>
    </w:p>
    <w:p w14:paraId="6BB392D5" w14:textId="53429F1F" w:rsidR="00327CF2" w:rsidRDefault="00195236"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where the equivalent SIMO channel matrix on the k-th tone, denoted as </w:t>
      </w:r>
      <m:oMath>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eq,k</m:t>
            </m:r>
          </m:sub>
        </m:sSub>
      </m:oMath>
      <w:r>
        <w:rPr>
          <w:rFonts w:ascii="Calibri" w:eastAsia="宋体" w:hAnsi="Calibri" w:cs="Arial"/>
          <w:lang w:eastAsia="zh-CN"/>
        </w:rPr>
        <w:t>, is given by</w:t>
      </w:r>
    </w:p>
    <w:p w14:paraId="00B71348" w14:textId="3E71F83A" w:rsidR="00195236" w:rsidRDefault="0042778F" w:rsidP="00195236">
      <w:pPr>
        <w:spacing w:beforeLines="50" w:before="120" w:afterLines="50" w:after="120"/>
        <w:jc w:val="both"/>
        <w:rPr>
          <w:rFonts w:ascii="Calibri" w:eastAsia="宋体" w:hAnsi="Calibri" w:cs="Arial"/>
          <w:lang w:eastAsia="zh-CN"/>
        </w:rPr>
      </w:pPr>
      <m:oMathPara>
        <m:oMath>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eq,k</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k</m:t>
              </m:r>
            </m:sub>
          </m:sSub>
          <m:d>
            <m:dPr>
              <m:ctrlPr>
                <w:rPr>
                  <w:rFonts w:ascii="Cambria Math" w:eastAsia="宋体" w:hAnsi="Cambria Math" w:cs="Arial"/>
                  <w:i/>
                  <w:lang w:eastAsia="zh-CN"/>
                </w:rPr>
              </m:ctrlPr>
            </m:dPr>
            <m:e>
              <m:r>
                <w:rPr>
                  <w:rFonts w:ascii="Cambria Math" w:eastAsia="宋体" w:hAnsi="Cambria Math" w:cs="Arial"/>
                  <w:lang w:eastAsia="zh-CN"/>
                </w:rPr>
                <m:t>:,:</m:t>
              </m:r>
            </m:e>
          </m:d>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sup>
                  </m:sSup>
                  <m:r>
                    <w:rPr>
                      <w:rFonts w:ascii="Cambria Math" w:eastAsia="宋体" w:hAnsi="Cambria Math" w:cs="Arial"/>
                      <w:lang w:eastAsia="zh-CN"/>
                    </w:rPr>
                    <m:t xml:space="preserve">, …,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sub>
                      </m:sSub>
                    </m:sup>
                  </m:sSup>
                </m:e>
              </m:d>
            </m:e>
            <m:sup>
              <m:r>
                <w:rPr>
                  <w:rFonts w:ascii="Cambria Math" w:eastAsia="宋体" w:hAnsi="Cambria Math" w:cs="Arial"/>
                  <w:lang w:eastAsia="zh-CN"/>
                </w:rPr>
                <m:t>T</m:t>
              </m:r>
            </m:sup>
          </m:sSup>
          <m:r>
            <w:rPr>
              <w:rFonts w:ascii="Cambria Math" w:eastAsia="宋体" w:hAnsi="Cambria Math" w:cs="Arial"/>
              <w:lang w:eastAsia="zh-CN"/>
            </w:rPr>
            <m:t>=</m:t>
          </m:r>
          <m:nary>
            <m:naryPr>
              <m:chr m:val="∑"/>
              <m:limLoc m:val="undOvr"/>
              <m:ctrlPr>
                <w:rPr>
                  <w:rFonts w:ascii="Cambria Math" w:eastAsia="宋体" w:hAnsi="Cambria Math" w:cs="Arial"/>
                  <w:i/>
                  <w:lang w:eastAsia="zh-CN"/>
                </w:rPr>
              </m:ctrlPr>
            </m:naryPr>
            <m:sub>
              <m:r>
                <w:rPr>
                  <w:rFonts w:ascii="Cambria Math" w:eastAsia="宋体" w:hAnsi="Cambria Math" w:cs="Arial"/>
                  <w:lang w:eastAsia="zh-CN"/>
                </w:rPr>
                <m:t>m=1</m:t>
              </m:r>
            </m:sub>
            <m:sup>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sup>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k</m:t>
                  </m:r>
                </m:sub>
              </m:sSub>
              <m:r>
                <w:rPr>
                  <w:rFonts w:ascii="Cambria Math" w:eastAsia="宋体" w:hAnsi="Cambria Math" w:cs="Arial"/>
                  <w:lang w:eastAsia="zh-CN"/>
                </w:rPr>
                <m:t>(:,m)</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e>
          </m:nary>
        </m:oMath>
      </m:oMathPara>
    </w:p>
    <w:p w14:paraId="2BBE0A9D" w14:textId="718187C7" w:rsidR="00B25A92" w:rsidRDefault="00FE3E6A" w:rsidP="00BB5A8F">
      <w:pPr>
        <w:spacing w:beforeLines="50" w:before="120" w:afterLines="50" w:after="120"/>
        <w:jc w:val="both"/>
        <w:rPr>
          <w:rFonts w:ascii="Calibri" w:eastAsia="宋体" w:hAnsi="Calibri" w:cs="Arial"/>
          <w:lang w:eastAsia="zh-CN"/>
        </w:rPr>
      </w:pPr>
      <w:r>
        <w:rPr>
          <w:rFonts w:ascii="Calibri" w:eastAsia="宋体" w:hAnsi="Calibri" w:cs="Arial"/>
          <w:lang w:val="en-US" w:eastAsia="zh-CN"/>
        </w:rPr>
        <w:lastRenderedPageBreak/>
        <w:t xml:space="preserve">where </w:t>
      </w:r>
      <m:oMath>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k</m:t>
            </m:r>
          </m:sub>
        </m:sSub>
        <m:d>
          <m:dPr>
            <m:ctrlPr>
              <w:rPr>
                <w:rFonts w:ascii="Cambria Math" w:eastAsia="宋体" w:hAnsi="Cambria Math" w:cs="Arial"/>
                <w:i/>
                <w:lang w:eastAsia="zh-CN"/>
              </w:rPr>
            </m:ctrlPr>
          </m:dPr>
          <m:e>
            <m:r>
              <w:rPr>
                <w:rFonts w:ascii="Cambria Math" w:eastAsia="宋体" w:hAnsi="Cambria Math" w:cs="Arial"/>
                <w:lang w:eastAsia="zh-CN"/>
              </w:rPr>
              <m:t>:,:</m:t>
            </m:r>
          </m:e>
        </m:d>
      </m:oMath>
      <w:r>
        <w:rPr>
          <w:rFonts w:ascii="Calibri" w:eastAsia="宋体" w:hAnsi="Calibri" w:cs="Arial"/>
          <w:lang w:eastAsia="zh-CN"/>
        </w:rPr>
        <w:t xml:space="preserve"> with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r</m:t>
            </m:r>
          </m:sub>
        </m:sSub>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oMath>
      <w:r>
        <w:rPr>
          <w:rFonts w:ascii="Calibri" w:eastAsia="宋体" w:hAnsi="Calibri" w:cs="Arial"/>
          <w:lang w:eastAsia="zh-CN"/>
        </w:rPr>
        <w:t xml:space="preserve"> dimension </w:t>
      </w:r>
      <w:r>
        <w:rPr>
          <w:rFonts w:ascii="Calibri" w:eastAsia="宋体" w:hAnsi="Calibri" w:cs="Arial"/>
          <w:lang w:val="en-US" w:eastAsia="zh-CN"/>
        </w:rPr>
        <w:t xml:space="preserve">is the DFT of the impulse response evaluated on the k-th subcarrier for N-tone OFDM modulation, 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w:rPr>
            <w:rFonts w:ascii="Cambria Math" w:eastAsia="宋体" w:hAnsi="Cambria Math" w:cs="Arial"/>
            <w:lang w:eastAsia="zh-CN"/>
          </w:rPr>
          <m:t xml:space="preserve"> </m:t>
        </m:r>
      </m:oMath>
      <w:r>
        <w:rPr>
          <w:rFonts w:ascii="Calibri" w:eastAsia="宋体" w:hAnsi="Calibri" w:cs="Arial"/>
          <w:lang w:val="en-US" w:eastAsia="zh-CN"/>
        </w:rPr>
        <w:t>is cyclic delay over m-th Tx antenna</w:t>
      </w:r>
      <w:r w:rsidR="00474E0B">
        <w:rPr>
          <w:rFonts w:ascii="Calibri" w:eastAsia="宋体" w:hAnsi="Calibri" w:cs="Arial"/>
          <w:lang w:val="en-US" w:eastAsia="zh-CN"/>
        </w:rPr>
        <w:t xml:space="preserve"> (</w:t>
      </w:r>
      <m:oMath>
        <m:sSub>
          <m:sSubPr>
            <m:ctrlPr>
              <w:rPr>
                <w:rFonts w:ascii="Cambria Math" w:eastAsia="宋体" w:hAnsi="Cambria Math" w:cs="Arial"/>
                <w:i/>
                <w:lang w:eastAsia="zh-CN"/>
              </w:rPr>
            </m:ctrlPr>
          </m:sSubPr>
          <m:e>
            <m:r>
              <w:rPr>
                <w:rFonts w:ascii="Cambria Math" w:eastAsia="宋体" w:hAnsi="Cambria Math" w:cs="Arial"/>
                <w:lang w:eastAsia="zh-CN"/>
              </w:rPr>
              <m:t>m=1,</m:t>
            </m:r>
            <m:r>
              <w:rPr>
                <w:rFonts w:ascii="Cambria Math" w:eastAsia="宋体" w:hAnsi="Cambria Math" w:cs="Arial"/>
              </w:rPr>
              <m:t>…</m:t>
            </m:r>
            <m:r>
              <w:rPr>
                <w:rFonts w:ascii="Cambria Math" w:eastAsia="宋体" w:hAnsi="Cambria Math" w:cs="Arial"/>
                <w:lang w:eastAsia="zh-CN"/>
              </w:rPr>
              <m:t>,N</m:t>
            </m:r>
          </m:e>
          <m:sub>
            <m:r>
              <w:rPr>
                <w:rFonts w:ascii="Cambria Math" w:eastAsia="宋体" w:hAnsi="Cambria Math" w:cs="Arial"/>
                <w:lang w:eastAsia="zh-CN"/>
              </w:rPr>
              <m:t>t</m:t>
            </m:r>
          </m:sub>
        </m:sSub>
      </m:oMath>
      <w:r w:rsidR="00474E0B">
        <w:rPr>
          <w:rFonts w:ascii="Calibri" w:eastAsia="宋体" w:hAnsi="Calibri" w:cs="Arial"/>
          <w:lang w:val="en-US" w:eastAsia="zh-CN"/>
        </w:rPr>
        <w:t>)</w:t>
      </w:r>
      <w:r>
        <w:rPr>
          <w:rFonts w:ascii="Calibri" w:eastAsia="宋体" w:hAnsi="Calibri" w:cs="Arial"/>
          <w:lang w:val="en-US" w:eastAsia="zh-CN"/>
        </w:rPr>
        <w:t xml:space="preserve">. </w:t>
      </w:r>
      <w:r w:rsidR="00474E0B">
        <w:rPr>
          <w:rFonts w:ascii="Calibri" w:eastAsia="宋体" w:hAnsi="Calibri" w:cs="Arial"/>
          <w:lang w:val="en-US" w:eastAsia="zh-CN"/>
        </w:rPr>
        <w:t>It can be observed that the equivalent channel’s frequency selectivity is much increased due to the phase-shifted version of channel fadings adding together. Theoretically,</w:t>
      </w:r>
      <w:r w:rsidR="0043585C">
        <w:rPr>
          <w:rFonts w:ascii="Calibri" w:eastAsia="宋体" w:hAnsi="Calibri" w:cs="Arial"/>
          <w:lang w:val="en-US" w:eastAsia="zh-CN"/>
        </w:rPr>
        <w:t xml:space="preserve"> the cyclic shifting with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m:rPr>
            <m:sty m:val="p"/>
          </m:rPr>
          <w:rPr>
            <w:rFonts w:ascii="Cambria Math" w:eastAsia="宋体" w:hAnsi="Cambria Math" w:cs="Arial" w:hint="eastAsia"/>
            <w:lang w:eastAsia="zh-CN"/>
          </w:rPr>
          <m:t>=</m:t>
        </m:r>
        <m:d>
          <m:dPr>
            <m:ctrlPr>
              <w:rPr>
                <w:rFonts w:ascii="Cambria Math" w:eastAsia="宋体" w:hAnsi="Cambria Math" w:cs="Arial"/>
                <w:lang w:eastAsia="zh-CN"/>
              </w:rPr>
            </m:ctrlPr>
          </m:dPr>
          <m:e>
            <m:r>
              <w:rPr>
                <w:rFonts w:ascii="Cambria Math" w:eastAsia="宋体" w:hAnsi="Cambria Math" w:cs="Arial"/>
                <w:lang w:eastAsia="zh-CN"/>
              </w:rPr>
              <m:t>m-1</m:t>
            </m:r>
          </m:e>
        </m:d>
        <m:f>
          <m:fPr>
            <m:ctrlPr>
              <w:rPr>
                <w:rFonts w:ascii="Cambria Math" w:eastAsia="宋体" w:hAnsi="Cambria Math" w:cs="Arial"/>
                <w:i/>
                <w:lang w:eastAsia="zh-CN"/>
              </w:rPr>
            </m:ctrlPr>
          </m:fPr>
          <m:num>
            <m:r>
              <w:rPr>
                <w:rFonts w:ascii="Cambria Math" w:eastAsia="宋体" w:hAnsi="Cambria Math" w:cs="Arial"/>
                <w:lang w:eastAsia="zh-CN"/>
              </w:rPr>
              <m:t>N</m:t>
            </m:r>
          </m:num>
          <m:den>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den>
        </m:f>
      </m:oMath>
      <w:r w:rsidR="0043585C">
        <w:rPr>
          <w:rFonts w:ascii="Calibri" w:eastAsia="宋体" w:hAnsi="Calibri" w:cs="Arial"/>
          <w:lang w:eastAsia="zh-CN"/>
        </w:rPr>
        <w:t xml:space="preserve"> can provide the maximum Tx diversity</w:t>
      </w:r>
      <w:r w:rsidR="0043585C">
        <w:rPr>
          <w:rFonts w:ascii="Calibri" w:eastAsia="宋体" w:hAnsi="Calibri" w:cs="Arial"/>
          <w:lang w:val="en-US" w:eastAsia="zh-CN"/>
        </w:rPr>
        <w:t>, i.e.,</w:t>
      </w:r>
      <w:r w:rsidR="0043585C" w:rsidRPr="0043585C">
        <w:rPr>
          <w:rFonts w:ascii="Calibri" w:eastAsia="宋体" w:hAnsi="Calibri" w:cs="Arial"/>
          <w:lang w:val="en-US" w:eastAsia="zh-CN"/>
        </w:rPr>
        <w:t xml:space="preserve"> </w:t>
      </w:r>
      <w:r w:rsidR="0043585C">
        <w:rPr>
          <w:rFonts w:ascii="Calibri" w:eastAsia="宋体" w:hAnsi="Calibri" w:cs="Arial"/>
          <w:lang w:val="en-US" w:eastAsia="zh-CN"/>
        </w:rPr>
        <w:t xml:space="preserve">by assuming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t</m:t>
            </m:r>
          </m:sub>
        </m:sSub>
        <m:r>
          <w:rPr>
            <w:rFonts w:ascii="Cambria Math" w:eastAsia="宋体" w:hAnsi="Cambria Math" w:cs="Arial"/>
            <w:lang w:eastAsia="zh-CN"/>
          </w:rPr>
          <m:t>=2</m:t>
        </m:r>
      </m:oMath>
      <w:r w:rsidR="0043585C">
        <w:rPr>
          <w:rFonts w:ascii="Calibri" w:eastAsia="宋体" w:hAnsi="Calibri" w:cs="Arial"/>
          <w:lang w:val="en-US" w:eastAsia="zh-CN"/>
        </w:rPr>
        <w:t xml:space="preserve"> for practical UE implementation, we have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sidR="00474E0B">
        <w:rPr>
          <w:rFonts w:ascii="Calibri" w:eastAsia="宋体" w:hAnsi="Calibri" w:cs="Arial"/>
          <w:lang w:val="en-US" w:eastAsia="zh-CN"/>
        </w:rPr>
        <w:t xml:space="preserve"> </w:t>
      </w:r>
      <w:r w:rsidR="0043585C">
        <w:rPr>
          <w:rFonts w:ascii="Calibri" w:eastAsia="宋体" w:hAnsi="Calibri" w:cs="Arial"/>
          <w:lang w:val="en-US" w:eastAsia="zh-CN"/>
        </w:rPr>
        <w:t xml:space="preserve">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r>
          <w:rPr>
            <w:rFonts w:ascii="Cambria Math" w:eastAsia="宋体" w:hAnsi="Cambria Math" w:cs="Arial"/>
            <w:lang w:eastAsia="zh-CN"/>
          </w:rPr>
          <m:t>=N/2</m:t>
        </m:r>
      </m:oMath>
      <w:r w:rsidR="0043585C">
        <w:rPr>
          <w:rFonts w:ascii="Calibri" w:eastAsia="宋体" w:hAnsi="Calibri" w:cs="Arial"/>
          <w:lang w:eastAsia="zh-CN"/>
        </w:rPr>
        <w:t>. However, it should be noted that the maximum diversity is achieved by minimizing the frequency correlation between adjacent tones, with the assistance of interleaver over tones and outer channel code to ex</w:t>
      </w:r>
      <w:r w:rsidR="00B25A92">
        <w:rPr>
          <w:rFonts w:ascii="Calibri" w:eastAsia="宋体" w:hAnsi="Calibri" w:cs="Arial"/>
          <w:lang w:eastAsia="zh-CN"/>
        </w:rPr>
        <w:t xml:space="preserve">tract this frequency diversity. </w:t>
      </w:r>
      <w:r w:rsidR="00B815B2">
        <w:rPr>
          <w:rFonts w:ascii="Calibri" w:eastAsia="宋体" w:hAnsi="Calibri" w:cs="Arial"/>
          <w:lang w:eastAsia="zh-CN"/>
        </w:rPr>
        <w:t>For</w:t>
      </w:r>
      <w:r w:rsidR="00B25A92">
        <w:rPr>
          <w:rFonts w:ascii="Calibri" w:eastAsia="宋体" w:hAnsi="Calibri" w:cs="Arial"/>
          <w:lang w:eastAsia="zh-CN"/>
        </w:rPr>
        <w:t xml:space="preserve"> the other </w:t>
      </w:r>
      <w:r w:rsidR="00B815B2">
        <w:rPr>
          <w:rFonts w:ascii="Calibri" w:eastAsia="宋体" w:hAnsi="Calibri" w:cs="Arial"/>
          <w:lang w:eastAsia="zh-CN"/>
        </w:rPr>
        <w:t>extreme case</w:t>
      </w:r>
      <w:r w:rsidR="00B25A92">
        <w:rPr>
          <w:rFonts w:ascii="Calibri" w:eastAsia="宋体" w:hAnsi="Calibri" w:cs="Arial"/>
          <w:lang w:eastAsia="zh-CN"/>
        </w:rPr>
        <w:t xml:space="preserve">, if the difference between cyclic shifting values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w:rPr>
            <w:rFonts w:ascii="Cambria Math" w:eastAsia="宋体" w:hAnsi="Cambria Math" w:cs="Arial"/>
            <w:lang w:eastAsia="zh-CN"/>
          </w:rPr>
          <m:t xml:space="preserve"> </m:t>
        </m:r>
      </m:oMath>
      <w:r w:rsidR="00B25A92">
        <w:rPr>
          <w:rFonts w:ascii="Calibri" w:eastAsia="宋体" w:hAnsi="Calibri" w:cs="Arial"/>
          <w:lang w:eastAsia="zh-CN"/>
        </w:rPr>
        <w:t xml:space="preserve">is chosen to be small enough, the increased time-spread delay is not enough to provide extra frequency-selectivity compared with 1TX scheme, which will also result in limited performance improvement. </w:t>
      </w:r>
    </w:p>
    <w:p w14:paraId="75252DBF" w14:textId="74B3181E" w:rsidR="00E710EE" w:rsidRDefault="00E710EE" w:rsidP="00E710EE">
      <w:pPr>
        <w:spacing w:beforeLines="50" w:before="120" w:afterLines="50" w:after="120"/>
        <w:jc w:val="both"/>
        <w:rPr>
          <w:rFonts w:ascii="Calibri" w:eastAsia="宋体" w:hAnsi="Calibri" w:cs="Arial"/>
          <w:lang w:val="en-US" w:eastAsia="zh-CN"/>
        </w:rPr>
      </w:pPr>
      <w:r>
        <w:rPr>
          <w:rFonts w:ascii="Calibri" w:eastAsia="宋体" w:hAnsi="Calibri" w:cs="Arial"/>
          <w:lang w:eastAsia="zh-CN"/>
        </w:rPr>
        <w:t xml:space="preserve">Hence, by considering practical UE implementation, the performance of CDD scheme at least depends on factors including: the choice of delay difference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oMath>
      <w:r>
        <w:rPr>
          <w:rFonts w:ascii="Calibri" w:eastAsia="宋体" w:hAnsi="Calibri" w:cs="Arial"/>
          <w:lang w:eastAsia="zh-CN"/>
        </w:rPr>
        <w:t xml:space="preserve"> (correspondingly obtainable TX diversity), the impact of practical channel estimation at gNB, the channel correlation and the delay profile over two TX antennas. As one of the most important factor, the performance impact from the choice of cyclic shifting delay difference (by assuming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Pr>
          <w:rFonts w:ascii="Calibri" w:eastAsia="宋体" w:hAnsi="Calibri" w:cs="Arial"/>
          <w:lang w:eastAsia="zh-CN"/>
        </w:rPr>
        <w:t xml:space="preserve"> in simulation) can be demonstrated as below baseband performance figures in terms of throughput and BLER.</w:t>
      </w:r>
    </w:p>
    <w:p w14:paraId="0A33060A" w14:textId="77777777" w:rsidR="00E710EE" w:rsidRDefault="00E710EE" w:rsidP="00E710EE">
      <w:pPr>
        <w:spacing w:beforeLines="50" w:before="120" w:afterLines="50" w:after="120"/>
        <w:jc w:val="both"/>
        <w:rPr>
          <w:rFonts w:ascii="Calibri" w:eastAsia="宋体" w:hAnsi="Calibri" w:cs="Arial"/>
          <w:lang w:val="en-US" w:eastAsia="zh-CN"/>
        </w:rPr>
      </w:pPr>
      <w:r w:rsidRPr="00E710EE">
        <w:rPr>
          <w:rFonts w:ascii="Calibri" w:eastAsia="宋体" w:hAnsi="Calibri" w:cs="Arial"/>
          <w:noProof/>
          <w:lang w:val="en-US" w:eastAsia="zh-CN"/>
        </w:rPr>
        <w:drawing>
          <wp:inline distT="0" distB="0" distL="0" distR="0" wp14:anchorId="627B6B99" wp14:editId="33DBAEBD">
            <wp:extent cx="2993572" cy="245343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325" r="5195"/>
                    <a:stretch/>
                  </pic:blipFill>
                  <pic:spPr bwMode="auto">
                    <a:xfrm>
                      <a:off x="0" y="0"/>
                      <a:ext cx="3000105" cy="2458790"/>
                    </a:xfrm>
                    <a:prstGeom prst="rect">
                      <a:avLst/>
                    </a:prstGeom>
                    <a:noFill/>
                    <a:ln>
                      <a:noFill/>
                    </a:ln>
                    <a:extLst>
                      <a:ext uri="{53640926-AAD7-44D8-BBD7-CCE9431645EC}">
                        <a14:shadowObscured xmlns:a14="http://schemas.microsoft.com/office/drawing/2010/main"/>
                      </a:ext>
                    </a:extLst>
                  </pic:spPr>
                </pic:pic>
              </a:graphicData>
            </a:graphic>
          </wp:inline>
        </w:drawing>
      </w:r>
      <w:r w:rsidRPr="00E710EE">
        <w:rPr>
          <w:rFonts w:ascii="Calibri" w:eastAsia="宋体" w:hAnsi="Calibri" w:cs="Arial"/>
          <w:lang w:val="en-US" w:eastAsia="zh-CN"/>
        </w:rPr>
        <w:t xml:space="preserve"> </w:t>
      </w:r>
      <w:r w:rsidRPr="00E710EE">
        <w:rPr>
          <w:rFonts w:ascii="Calibri" w:eastAsia="宋体" w:hAnsi="Calibri" w:cs="Arial"/>
          <w:noProof/>
          <w:lang w:val="en-US" w:eastAsia="zh-CN"/>
        </w:rPr>
        <w:drawing>
          <wp:inline distT="0" distB="0" distL="0" distR="0" wp14:anchorId="0DCB608E" wp14:editId="4E43DD89">
            <wp:extent cx="2955472" cy="245315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160" r="6515"/>
                    <a:stretch/>
                  </pic:blipFill>
                  <pic:spPr bwMode="auto">
                    <a:xfrm>
                      <a:off x="0" y="0"/>
                      <a:ext cx="2970782" cy="2465862"/>
                    </a:xfrm>
                    <a:prstGeom prst="rect">
                      <a:avLst/>
                    </a:prstGeom>
                    <a:noFill/>
                    <a:ln>
                      <a:noFill/>
                    </a:ln>
                    <a:extLst>
                      <a:ext uri="{53640926-AAD7-44D8-BBD7-CCE9431645EC}">
                        <a14:shadowObscured xmlns:a14="http://schemas.microsoft.com/office/drawing/2010/main"/>
                      </a:ext>
                    </a:extLst>
                  </pic:spPr>
                </pic:pic>
              </a:graphicData>
            </a:graphic>
          </wp:inline>
        </w:drawing>
      </w:r>
    </w:p>
    <w:p w14:paraId="07D7862B" w14:textId="71587697" w:rsidR="00E710EE" w:rsidRDefault="00E710EE" w:rsidP="00BB5A8F">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With the above analysis into account, the following observation can be reached: </w:t>
      </w:r>
    </w:p>
    <w:p w14:paraId="0A85A687" w14:textId="56D49F37" w:rsidR="00DE7BA0" w:rsidRDefault="00DE7BA0" w:rsidP="00DE7BA0">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sidR="00074949" w:rsidRPr="00074949">
        <w:rPr>
          <w:rFonts w:ascii="Calibri" w:eastAsia="宋体" w:hAnsi="Calibri" w:cs="Arial"/>
          <w:b/>
          <w:i/>
          <w:lang w:val="en-US" w:eastAsia="zh-CN"/>
        </w:rPr>
        <w:t>1</w:t>
      </w:r>
      <w:r w:rsidRPr="00074949">
        <w:rPr>
          <w:rFonts w:ascii="Calibri" w:eastAsia="宋体" w:hAnsi="Calibri" w:cs="Arial"/>
          <w:b/>
          <w:i/>
          <w:lang w:val="en-US" w:eastAsia="zh-CN"/>
        </w:rPr>
        <w:t xml:space="preserve">: The performance of CDD scheme at least depends on factors including: the choice of </w:t>
      </w:r>
      <w:r w:rsidR="000426D7">
        <w:rPr>
          <w:rFonts w:ascii="Calibri" w:eastAsia="宋体" w:hAnsi="Calibri" w:cs="Arial"/>
          <w:b/>
          <w:i/>
          <w:lang w:val="en-US" w:eastAsia="zh-CN"/>
        </w:rPr>
        <w:t xml:space="preserve">cyclic </w:t>
      </w:r>
      <w:r w:rsidRPr="00074949">
        <w:rPr>
          <w:rFonts w:ascii="Calibri" w:eastAsia="宋体" w:hAnsi="Calibri" w:cs="Arial"/>
          <w:b/>
          <w:i/>
          <w:lang w:val="en-US" w:eastAsia="zh-CN"/>
        </w:rPr>
        <w:t>delay difference</w:t>
      </w:r>
      <w:r w:rsidRPr="00DE7BA0">
        <w:rPr>
          <w:rFonts w:ascii="Calibri" w:eastAsia="宋体" w:hAnsi="Calibri" w:cs="Arial"/>
          <w:b/>
          <w:i/>
          <w:lang w:val="en-US" w:eastAsia="zh-CN"/>
        </w:rPr>
        <w:t xml:space="preserve"> ∆</w:t>
      </w:r>
      <w:r w:rsidRPr="00DE7BA0">
        <w:rPr>
          <w:rFonts w:ascii="Calibri" w:eastAsia="宋体" w:hAnsi="Calibri" w:cs="Arial"/>
          <w:b/>
          <w:i/>
          <w:vertAlign w:val="subscript"/>
          <w:lang w:val="en-US" w:eastAsia="zh-CN"/>
        </w:rPr>
        <w:t>m</w:t>
      </w:r>
      <w:r w:rsidRPr="00DE7BA0">
        <w:rPr>
          <w:rFonts w:ascii="Calibri" w:eastAsia="宋体" w:hAnsi="Calibri" w:cs="Arial"/>
          <w:b/>
          <w:i/>
          <w:lang w:val="en-US" w:eastAsia="zh-CN"/>
        </w:rPr>
        <w:t xml:space="preserve"> (correspondingly obtainable TX diversity), the impact of practical channel estimation</w:t>
      </w:r>
      <w:r>
        <w:rPr>
          <w:rFonts w:ascii="Calibri" w:eastAsia="宋体" w:hAnsi="Calibri" w:cs="Arial"/>
          <w:b/>
          <w:i/>
          <w:lang w:val="en-US" w:eastAsia="zh-CN"/>
        </w:rPr>
        <w:t xml:space="preserve"> at gNB</w:t>
      </w:r>
      <w:r w:rsidRPr="00DE7BA0">
        <w:rPr>
          <w:rFonts w:ascii="Calibri" w:eastAsia="宋体" w:hAnsi="Calibri" w:cs="Arial"/>
          <w:b/>
          <w:i/>
          <w:lang w:val="en-US" w:eastAsia="zh-CN"/>
        </w:rPr>
        <w:t>, the channel correlation and the delay profile over two TX antennas.</w:t>
      </w:r>
      <w:r>
        <w:rPr>
          <w:rFonts w:ascii="Calibri" w:eastAsia="宋体" w:hAnsi="Calibri" w:cs="Arial"/>
          <w:b/>
          <w:i/>
          <w:lang w:val="en-US" w:eastAsia="zh-CN"/>
        </w:rPr>
        <w:t xml:space="preserve"> </w:t>
      </w:r>
    </w:p>
    <w:p w14:paraId="6B18FEDE" w14:textId="56409DC4" w:rsidR="00C167E5" w:rsidRDefault="00C167E5" w:rsidP="00DE7BA0">
      <w:pPr>
        <w:spacing w:before="120" w:after="0"/>
        <w:jc w:val="both"/>
        <w:rPr>
          <w:rFonts w:ascii="Calibri" w:eastAsia="宋体" w:hAnsi="Calibri" w:cs="Arial"/>
          <w:lang w:val="en-US" w:eastAsia="zh-CN"/>
        </w:rPr>
      </w:pPr>
      <w:r>
        <w:rPr>
          <w:rFonts w:ascii="Calibri" w:eastAsia="宋体" w:hAnsi="Calibri" w:cs="Arial"/>
          <w:lang w:val="en-US" w:eastAsia="zh-CN"/>
        </w:rPr>
        <w:t>In previous meetings, some companies</w:t>
      </w:r>
      <w:r w:rsidR="00074949">
        <w:rPr>
          <w:rFonts w:ascii="Calibri" w:eastAsia="宋体" w:hAnsi="Calibri" w:cs="Arial"/>
          <w:lang w:val="en-US" w:eastAsia="zh-CN"/>
        </w:rPr>
        <w:t xml:space="preserve"> propose that RAN4 should specify the upper and lower bounds of transparent TxD, because the</w:t>
      </w:r>
      <w:r w:rsidR="00007242">
        <w:rPr>
          <w:rFonts w:ascii="Calibri" w:eastAsia="宋体" w:hAnsi="Calibri" w:cs="Arial"/>
          <w:lang w:val="en-US" w:eastAsia="zh-CN"/>
        </w:rPr>
        <w:t xml:space="preserve"> transparent TxD does not always play positive contribution by giving diversity, </w:t>
      </w:r>
      <w:r w:rsidR="000426D7">
        <w:rPr>
          <w:rFonts w:ascii="Calibri" w:eastAsia="宋体" w:hAnsi="Calibri" w:cs="Arial"/>
          <w:lang w:val="en-US" w:eastAsia="zh-CN"/>
        </w:rPr>
        <w:t xml:space="preserve">by with wrongly configured cyclic delay difference, the transparent TxD may not outperform the single Tx antenna transmission. </w:t>
      </w:r>
      <w:r w:rsidR="002537DE">
        <w:rPr>
          <w:rFonts w:ascii="Calibri" w:eastAsia="宋体" w:hAnsi="Calibri" w:cs="Arial"/>
          <w:lang w:val="en-US" w:eastAsia="zh-CN"/>
        </w:rPr>
        <w:t xml:space="preserve">With this into account, companies proposed the following CDD-related requirements: </w:t>
      </w:r>
    </w:p>
    <w:p w14:paraId="07F15321" w14:textId="0B6331CA" w:rsidR="002537DE" w:rsidRDefault="002537DE" w:rsidP="002537DE">
      <w:pPr>
        <w:spacing w:before="120" w:after="0"/>
        <w:ind w:left="420"/>
        <w:jc w:val="both"/>
        <w:rPr>
          <w:rFonts w:ascii="Calibri" w:eastAsia="宋体" w:hAnsi="Calibri" w:cs="Arial"/>
          <w:lang w:val="en-US" w:eastAsia="zh-CN"/>
        </w:rPr>
      </w:pPr>
      <w:r>
        <w:rPr>
          <w:rFonts w:ascii="Calibri" w:eastAsia="宋体" w:hAnsi="Calibri" w:cs="Arial"/>
          <w:lang w:val="en-US" w:eastAsia="zh-CN"/>
        </w:rPr>
        <w:t>- Minimum allocation bandwidth of contiguous PRB for transparent TxD;</w:t>
      </w:r>
    </w:p>
    <w:p w14:paraId="15FD0304" w14:textId="7779C0D6" w:rsidR="002537DE" w:rsidRDefault="002537DE" w:rsidP="002537DE">
      <w:pPr>
        <w:spacing w:before="120" w:after="0"/>
        <w:ind w:left="420"/>
        <w:jc w:val="both"/>
        <w:rPr>
          <w:rFonts w:ascii="Calibri" w:eastAsia="宋体" w:hAnsi="Calibri" w:cs="Arial"/>
          <w:lang w:val="en-US" w:eastAsia="zh-CN"/>
        </w:rPr>
      </w:pPr>
      <w:r>
        <w:rPr>
          <w:rFonts w:ascii="Calibri" w:eastAsia="宋体" w:hAnsi="Calibri" w:cs="Arial"/>
          <w:lang w:val="en-US" w:eastAsia="zh-CN"/>
        </w:rPr>
        <w:t>- Upper and lower bound of the sum of TAE+CDD for transparent TxD;</w:t>
      </w:r>
    </w:p>
    <w:p w14:paraId="326CB416" w14:textId="557FDB2E" w:rsidR="002537DE" w:rsidRDefault="002537DE" w:rsidP="002537DE">
      <w:pPr>
        <w:spacing w:before="120" w:after="0"/>
        <w:ind w:left="420"/>
        <w:jc w:val="both"/>
        <w:rPr>
          <w:rFonts w:ascii="Calibri" w:eastAsia="宋体" w:hAnsi="Calibri" w:cs="Arial"/>
          <w:lang w:val="en-US" w:eastAsia="zh-CN"/>
        </w:rPr>
      </w:pPr>
      <w:r>
        <w:rPr>
          <w:rFonts w:ascii="Calibri" w:eastAsia="宋体" w:hAnsi="Calibri" w:cs="Arial"/>
          <w:lang w:val="en-US" w:eastAsia="zh-CN"/>
        </w:rPr>
        <w:t xml:space="preserve">- Minimum number of Rx antenna. </w:t>
      </w:r>
    </w:p>
    <w:p w14:paraId="2508677A" w14:textId="2BE9B1E8" w:rsidR="002537DE" w:rsidRPr="00B815B2" w:rsidRDefault="002537DE" w:rsidP="00DE7BA0">
      <w:pPr>
        <w:spacing w:before="120" w:after="0"/>
        <w:jc w:val="both"/>
        <w:rPr>
          <w:rFonts w:ascii="Calibri" w:eastAsia="宋体" w:hAnsi="Calibri" w:cs="Arial"/>
          <w:lang w:val="en-US" w:eastAsia="zh-CN"/>
        </w:rPr>
      </w:pPr>
      <w:r>
        <w:rPr>
          <w:rFonts w:ascii="Calibri" w:eastAsia="宋体" w:hAnsi="Calibri" w:cs="Arial"/>
          <w:lang w:val="en-US" w:eastAsia="zh-CN"/>
        </w:rPr>
        <w:t>However, w</w:t>
      </w:r>
      <w:r w:rsidR="00B815B2" w:rsidRPr="00B815B2">
        <w:rPr>
          <w:rFonts w:ascii="Calibri" w:eastAsia="宋体" w:hAnsi="Calibri" w:cs="Arial"/>
          <w:lang w:val="en-US" w:eastAsia="zh-CN"/>
        </w:rPr>
        <w:t xml:space="preserve">ith the above analysis taken into account, </w:t>
      </w:r>
      <w:r>
        <w:rPr>
          <w:rFonts w:ascii="Calibri" w:eastAsia="宋体" w:hAnsi="Calibri" w:cs="Arial"/>
          <w:lang w:val="en-US" w:eastAsia="zh-CN"/>
        </w:rPr>
        <w:t>the performance gain (or loss) by CDD-based scheme over single TX</w:t>
      </w:r>
      <w:r w:rsidR="0042778F">
        <w:rPr>
          <w:rFonts w:ascii="Calibri" w:eastAsia="宋体" w:hAnsi="Calibri" w:cs="Arial"/>
          <w:lang w:val="en-US" w:eastAsia="zh-CN"/>
        </w:rPr>
        <w:t xml:space="preserve"> cannot be guaranteed by just specifying the above factors, but </w:t>
      </w:r>
      <w:r w:rsidR="0042778F" w:rsidRPr="0042778F">
        <w:rPr>
          <w:rFonts w:ascii="Calibri" w:eastAsia="宋体" w:hAnsi="Calibri" w:cs="Arial"/>
          <w:lang w:val="en-US" w:eastAsia="zh-CN"/>
        </w:rPr>
        <w:t>the impact of practical channel estimation at gNB, the channel correlation and the delay profile over two TX antennas</w:t>
      </w:r>
      <w:r w:rsidR="0042778F">
        <w:rPr>
          <w:rFonts w:ascii="Calibri" w:eastAsia="宋体" w:hAnsi="Calibri" w:cs="Arial"/>
          <w:lang w:val="en-US" w:eastAsia="zh-CN"/>
        </w:rPr>
        <w:t xml:space="preserve"> also account. </w:t>
      </w:r>
    </w:p>
    <w:p w14:paraId="4F493407" w14:textId="11064734" w:rsidR="0042778F" w:rsidRDefault="0042778F" w:rsidP="0042778F">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2</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Even the following requirements are specified, CDD-based scheme can still not guarantee better performance than 1TX scheme baseline:  </w:t>
      </w:r>
    </w:p>
    <w:p w14:paraId="1FDE7FC4" w14:textId="77777777" w:rsidR="0042778F" w:rsidRPr="0042778F" w:rsidRDefault="0042778F" w:rsidP="0042778F">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Minimum allocation bandwidth of contiguous PRB for transparent TxD;</w:t>
      </w:r>
    </w:p>
    <w:p w14:paraId="35D8487D" w14:textId="77777777" w:rsidR="0042778F" w:rsidRPr="0042778F" w:rsidRDefault="0042778F" w:rsidP="0042778F">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Upper and lower bound of the sum of TAE+CDD for transparent TxD;</w:t>
      </w:r>
    </w:p>
    <w:p w14:paraId="4561A56C" w14:textId="77777777" w:rsidR="0042778F" w:rsidRPr="0042778F" w:rsidRDefault="0042778F" w:rsidP="0042778F">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Minimum number of Rx antenna. </w:t>
      </w:r>
    </w:p>
    <w:p w14:paraId="63FC1562" w14:textId="79CB8932" w:rsidR="003C629D" w:rsidRDefault="0042778F" w:rsidP="00B25A92">
      <w:pPr>
        <w:spacing w:beforeLines="50" w:before="120" w:afterLines="50" w:after="120"/>
        <w:jc w:val="both"/>
        <w:rPr>
          <w:rFonts w:ascii="Calibri" w:eastAsia="宋体" w:hAnsi="Calibri" w:cs="Arial"/>
          <w:b/>
          <w:i/>
          <w:lang w:val="en-US" w:eastAsia="zh-CN"/>
        </w:rPr>
      </w:pPr>
      <w:r w:rsidRPr="0053159F">
        <w:rPr>
          <w:rFonts w:ascii="Calibri" w:eastAsia="宋体" w:hAnsi="Calibri" w:cs="Arial"/>
          <w:b/>
          <w:i/>
          <w:lang w:val="en-US" w:eastAsia="zh-CN"/>
        </w:rPr>
        <w:t xml:space="preserve">Proposal 1: </w:t>
      </w:r>
      <w:r w:rsidR="0053159F" w:rsidRPr="0053159F">
        <w:rPr>
          <w:rFonts w:ascii="Calibri" w:eastAsia="宋体" w:hAnsi="Calibri" w:cs="Arial"/>
          <w:b/>
          <w:i/>
          <w:lang w:val="en-US" w:eastAsia="zh-CN"/>
        </w:rPr>
        <w:t xml:space="preserve">CDD-related requirement shall not be introduced. </w:t>
      </w:r>
    </w:p>
    <w:p w14:paraId="7EBB5456" w14:textId="56A93EE5" w:rsidR="0053159F" w:rsidRPr="0053159F" w:rsidRDefault="0053159F" w:rsidP="0053159F">
      <w:pPr>
        <w:pStyle w:val="Heading4"/>
        <w:rPr>
          <w:lang w:eastAsia="zh-CN"/>
        </w:rPr>
      </w:pPr>
      <w:r>
        <w:rPr>
          <w:lang w:eastAsia="zh-CN"/>
        </w:rPr>
        <w:lastRenderedPageBreak/>
        <w:t xml:space="preserve">2.3 </w:t>
      </w:r>
      <w:r w:rsidRPr="0053159F">
        <w:rPr>
          <w:lang w:eastAsia="zh-CN"/>
        </w:rPr>
        <w:t>EVM Requirement for Transparent TxD</w:t>
      </w:r>
    </w:p>
    <w:p w14:paraId="1F946922" w14:textId="545780F8" w:rsidR="0053159F" w:rsidRDefault="00756D09" w:rsidP="00756D09">
      <w:pPr>
        <w:spacing w:afterLines="50" w:after="120"/>
        <w:jc w:val="both"/>
        <w:rPr>
          <w:rFonts w:ascii="Calibri" w:eastAsia="宋体" w:hAnsi="Calibri" w:cs="Arial"/>
          <w:lang w:eastAsia="zh-CN"/>
        </w:rPr>
      </w:pPr>
      <w:r w:rsidRPr="00756D09">
        <w:rPr>
          <w:rFonts w:ascii="Calibri" w:eastAsia="宋体" w:hAnsi="Calibri" w:cs="Arial"/>
          <w:lang w:eastAsia="zh-CN"/>
        </w:rPr>
        <w:t xml:space="preserve">In last meeting, company propose that </w:t>
      </w:r>
      <w:r>
        <w:rPr>
          <w:rFonts w:ascii="Calibri" w:eastAsia="宋体" w:hAnsi="Calibri" w:cs="Arial"/>
          <w:lang w:eastAsia="zh-CN"/>
        </w:rPr>
        <w:t>the previously agreed EVM definition (</w:t>
      </w:r>
      <m:oMath>
        <m:r>
          <w:rPr>
            <w:rFonts w:ascii="Cambria Math" w:eastAsia="宋体" w:hAnsi="Cambria Math" w:cs="Arial"/>
            <w:sz w:val="16"/>
            <w:lang w:eastAsia="zh-CN"/>
          </w:rPr>
          <m:t>EVM</m:t>
        </m:r>
        <m:r>
          <m:rPr>
            <m:sty m:val="p"/>
          </m:rPr>
          <w:rPr>
            <w:rFonts w:ascii="Cambria Math" w:eastAsia="宋体" w:hAnsi="Cambria Math" w:cs="Arial"/>
            <w:sz w:val="16"/>
            <w:lang w:eastAsia="zh-CN"/>
          </w:rPr>
          <m:t>=</m:t>
        </m:r>
        <m:rad>
          <m:radPr>
            <m:degHide m:val="1"/>
            <m:ctrlPr>
              <w:rPr>
                <w:rFonts w:ascii="Cambria Math" w:eastAsia="宋体" w:hAnsi="Cambria Math" w:cs="Arial"/>
                <w:bCs/>
                <w:i/>
                <w:iCs/>
                <w:sz w:val="16"/>
                <w:lang w:val="en-US" w:eastAsia="zh-CN"/>
              </w:rPr>
            </m:ctrlPr>
          </m:radPr>
          <m:deg/>
          <m:e>
            <m:r>
              <m:rPr>
                <m:sty m:val="p"/>
              </m:rPr>
              <w:rPr>
                <w:rFonts w:ascii="Cambria Math" w:eastAsia="宋体" w:hAnsi="Cambria Math" w:cs="Arial"/>
                <w:sz w:val="16"/>
                <w:lang w:eastAsia="zh-CN"/>
              </w:rPr>
              <m:t>(</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1</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1</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 </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2</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2</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m:t>
            </m:r>
            <m:r>
              <w:rPr>
                <w:rFonts w:ascii="Cambria Math" w:eastAsia="宋体" w:hAnsi="Cambria Math" w:cs="Arial"/>
                <w:sz w:val="16"/>
                <w:lang w:eastAsia="zh-CN"/>
              </w:rPr>
              <m:t>P</m:t>
            </m:r>
            <m:r>
              <m:rPr>
                <m:sty m:val="p"/>
              </m:rPr>
              <w:rPr>
                <w:rFonts w:ascii="Cambria Math" w:eastAsia="宋体" w:hAnsi="Cambria Math" w:cs="Arial"/>
                <w:sz w:val="16"/>
                <w:lang w:eastAsia="zh-CN"/>
              </w:rPr>
              <m:t>1 + </m:t>
            </m:r>
            <m:r>
              <w:rPr>
                <w:rFonts w:ascii="Cambria Math" w:eastAsia="宋体" w:hAnsi="Cambria Math" w:cs="Arial"/>
                <w:sz w:val="16"/>
                <w:lang w:eastAsia="zh-CN"/>
              </w:rPr>
              <m:t>P</m:t>
            </m:r>
            <m:r>
              <m:rPr>
                <m:sty m:val="p"/>
              </m:rPr>
              <w:rPr>
                <w:rFonts w:ascii="Cambria Math" w:eastAsia="宋体" w:hAnsi="Cambria Math" w:cs="Arial"/>
                <w:sz w:val="16"/>
                <w:lang w:eastAsia="zh-CN"/>
              </w:rPr>
              <m:t>2)</m:t>
            </m:r>
          </m:e>
        </m:rad>
      </m:oMath>
      <w:r>
        <w:rPr>
          <w:rFonts w:ascii="Calibri" w:eastAsia="宋体" w:hAnsi="Calibri" w:cs="Arial"/>
          <w:lang w:eastAsia="zh-CN"/>
        </w:rPr>
        <w:t xml:space="preserve">) should be revisited [8, R4-2011519], because for transparent TxD scheme, the per-antenna TX noise values are added in power while the signals are added in phase. </w:t>
      </w:r>
    </w:p>
    <w:p w14:paraId="649CE331" w14:textId="716A2320" w:rsidR="00756D09" w:rsidRDefault="00756D09" w:rsidP="00756D09">
      <w:pPr>
        <w:spacing w:afterLines="50" w:after="120"/>
        <w:jc w:val="both"/>
        <w:rPr>
          <w:rFonts w:ascii="Calibri" w:eastAsia="宋体" w:hAnsi="Calibri" w:cs="Arial"/>
          <w:lang w:eastAsia="zh-CN"/>
        </w:rPr>
      </w:pPr>
      <w:r>
        <w:rPr>
          <w:rFonts w:ascii="Calibri" w:eastAsia="宋体" w:hAnsi="Calibri" w:cs="Arial"/>
          <w:lang w:eastAsia="zh-CN"/>
        </w:rPr>
        <w:t>Particularly, as stated in [8],</w:t>
      </w:r>
      <w:r w:rsidR="00FA1DD5">
        <w:rPr>
          <w:rFonts w:ascii="Calibri" w:eastAsia="宋体" w:hAnsi="Calibri" w:cs="Arial"/>
          <w:lang w:eastAsia="zh-CN"/>
        </w:rPr>
        <w:t xml:space="preserve"> by assume gNB (or TE) being with unbiased linear MMSE receiver, and the equivalent channel H is invertible (which is achievable by the controllable gain from DUT to TE in the testing), the variance of the noise at the output of the receiver can be expressed as </w:t>
      </w:r>
    </w:p>
    <w:p w14:paraId="2688D94D" w14:textId="4D98D2AC" w:rsidR="00FA1DD5" w:rsidRPr="00FA1DD5" w:rsidRDefault="00FA1DD5" w:rsidP="00756D09">
      <w:pPr>
        <w:spacing w:afterLines="50" w:after="120"/>
        <w:jc w:val="both"/>
        <w:rPr>
          <w:rFonts w:ascii="Calibri" w:eastAsia="宋体" w:hAnsi="Calibri" w:cs="Arial"/>
          <w:sz w:val="22"/>
          <w:szCs w:val="22"/>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r>
            <w:rPr>
              <w:rFonts w:ascii="Cambria Math" w:eastAsia="MS Gothic" w:hAnsi="Cambria Math"/>
              <w:sz w:val="22"/>
              <w:szCs w:val="22"/>
            </w:rPr>
            <m:t>,  quoted from [8]</m:t>
          </m:r>
        </m:oMath>
      </m:oMathPara>
    </w:p>
    <w:p w14:paraId="5FFE6103" w14:textId="353BF439" w:rsidR="003E44A9" w:rsidRDefault="003E44A9" w:rsidP="003E44A9">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3</w:t>
      </w:r>
      <w:r w:rsidRPr="00074949">
        <w:rPr>
          <w:rFonts w:ascii="Calibri" w:eastAsia="宋体" w:hAnsi="Calibri" w:cs="Arial"/>
          <w:b/>
          <w:i/>
          <w:lang w:val="en-US" w:eastAsia="zh-CN"/>
        </w:rPr>
        <w:t xml:space="preserve">: </w:t>
      </w:r>
      <w:r>
        <w:rPr>
          <w:rFonts w:ascii="Calibri" w:eastAsia="宋体" w:hAnsi="Calibri" w:cs="Arial"/>
          <w:b/>
          <w:i/>
          <w:lang w:val="en-US" w:eastAsia="zh-CN"/>
        </w:rPr>
        <w:t>Based on the proposed port EVM and correspondingly analysis in [</w:t>
      </w:r>
      <w:r>
        <w:rPr>
          <w:rFonts w:ascii="Calibri" w:eastAsia="宋体" w:hAnsi="Calibri" w:cs="Arial"/>
          <w:b/>
          <w:i/>
          <w:lang w:val="en-US" w:eastAsia="zh-CN"/>
        </w:rPr>
        <w:t>R4-2011519</w:t>
      </w:r>
      <w:r>
        <w:rPr>
          <w:rFonts w:ascii="Calibri" w:eastAsia="宋体" w:hAnsi="Calibri" w:cs="Arial"/>
          <w:b/>
          <w:i/>
          <w:lang w:val="en-US" w:eastAsia="zh-CN"/>
        </w:rPr>
        <w:t xml:space="preserve">], the port EVM can reflect the level of TX signal quality for the received signal after linear unbiased MMSE receiver.   </w:t>
      </w:r>
    </w:p>
    <w:p w14:paraId="05A6830E" w14:textId="77777777" w:rsidR="003E44A9" w:rsidRPr="003E44A9" w:rsidRDefault="003E44A9" w:rsidP="00756D09">
      <w:pPr>
        <w:spacing w:afterLines="50" w:after="120"/>
        <w:jc w:val="both"/>
        <w:rPr>
          <w:rFonts w:ascii="Calibri" w:eastAsia="宋体" w:hAnsi="Calibri" w:cs="Arial"/>
          <w:lang w:val="en-US" w:eastAsia="zh-CN"/>
        </w:rPr>
      </w:pPr>
    </w:p>
    <w:p w14:paraId="7AD6F8DB" w14:textId="78B238CA" w:rsidR="00FA1DD5" w:rsidRDefault="00A0302A" w:rsidP="00756D09">
      <w:pPr>
        <w:spacing w:afterLines="50" w:after="120"/>
        <w:jc w:val="both"/>
        <w:rPr>
          <w:rFonts w:ascii="Calibri" w:eastAsia="宋体" w:hAnsi="Calibri" w:cs="Arial"/>
          <w:lang w:eastAsia="zh-CN"/>
        </w:rPr>
      </w:pPr>
      <w:r>
        <w:rPr>
          <w:rFonts w:ascii="Calibri" w:eastAsia="宋体" w:hAnsi="Calibri" w:cs="Arial"/>
          <w:lang w:eastAsia="zh-CN"/>
        </w:rPr>
        <w:t xml:space="preserve">One of the difficulties lies in this test methodology is: for transparent TxD, the equivalent precoding vector </w:t>
      </w:r>
      <m:oMath>
        <m:r>
          <m:rPr>
            <m:sty m:val="bi"/>
          </m:rPr>
          <w:rPr>
            <w:rFonts w:ascii="Cambria Math" w:eastAsia="MS Gothic" w:hAnsi="Cambria Math"/>
            <w:sz w:val="22"/>
            <w:szCs w:val="22"/>
          </w:rPr>
          <m:t>w</m:t>
        </m:r>
      </m:oMath>
      <w:r>
        <w:rPr>
          <w:rFonts w:ascii="Calibri" w:eastAsia="宋体" w:hAnsi="Calibri" w:cs="Arial"/>
          <w:lang w:eastAsia="zh-CN"/>
        </w:rPr>
        <w:t xml:space="preserve"> is totally UE implementation-dependent, e.g., as analysed in previous section 2.2, if cyclic delay values are introduced in </w:t>
      </w:r>
      <w:r w:rsidR="00DB3B8E">
        <w:rPr>
          <w:rFonts w:ascii="Calibri" w:eastAsia="宋体" w:hAnsi="Calibri" w:cs="Arial"/>
          <w:lang w:eastAsia="zh-CN"/>
        </w:rPr>
        <w:t xml:space="preserve">TX antenna ports, the phase shifting factor </w:t>
      </w:r>
      <m:oMath>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oMath>
      <w:r w:rsidR="00DB3B8E">
        <w:rPr>
          <w:rFonts w:ascii="Calibri" w:eastAsia="宋体" w:hAnsi="Calibri" w:cs="Arial"/>
          <w:lang w:eastAsia="zh-CN"/>
        </w:rPr>
        <w:t xml:space="preserve"> will be introduced in the precoding vector </w:t>
      </w:r>
      <m:oMath>
        <m:r>
          <m:rPr>
            <m:sty m:val="bi"/>
          </m:rPr>
          <w:rPr>
            <w:rFonts w:ascii="Cambria Math" w:eastAsia="MS Gothic" w:hAnsi="Cambria Math"/>
            <w:sz w:val="22"/>
            <w:szCs w:val="22"/>
          </w:rPr>
          <m:t>w</m:t>
        </m:r>
      </m:oMath>
      <w:r w:rsidR="00DB3B8E">
        <w:rPr>
          <w:rFonts w:ascii="Calibri" w:eastAsia="宋体" w:hAnsi="Calibri" w:cs="Arial"/>
          <w:lang w:eastAsia="zh-CN"/>
        </w:rPr>
        <w:t xml:space="preserve">. Because the value of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r>
          <w:rPr>
            <w:rFonts w:ascii="Cambria Math" w:eastAsia="宋体" w:hAnsi="Cambria Math" w:cs="Arial"/>
            <w:lang w:eastAsia="zh-CN"/>
          </w:rPr>
          <m:t xml:space="preserve"> </m:t>
        </m:r>
      </m:oMath>
      <w:r w:rsidR="00DB3B8E">
        <w:rPr>
          <w:rFonts w:ascii="Calibri" w:eastAsia="宋体" w:hAnsi="Calibri" w:cs="Arial"/>
          <w:lang w:eastAsia="zh-CN"/>
        </w:rPr>
        <w:t xml:space="preserve">is unknown to TE, the value of precoding vector </w:t>
      </w:r>
      <m:oMath>
        <m:r>
          <m:rPr>
            <m:sty m:val="bi"/>
          </m:rPr>
          <w:rPr>
            <w:rFonts w:ascii="Cambria Math" w:eastAsia="MS Gothic" w:hAnsi="Cambria Math"/>
            <w:sz w:val="22"/>
            <w:szCs w:val="22"/>
          </w:rPr>
          <m:t>w</m:t>
        </m:r>
      </m:oMath>
      <w:r w:rsidR="00DB3B8E">
        <w:rPr>
          <w:rFonts w:ascii="Calibri" w:eastAsia="宋体" w:hAnsi="Calibri" w:cs="Arial"/>
          <w:b/>
          <w:sz w:val="22"/>
          <w:szCs w:val="22"/>
        </w:rPr>
        <w:t xml:space="preserve"> </w:t>
      </w:r>
      <w:r w:rsidR="00DB3B8E" w:rsidRPr="00DB3B8E">
        <w:rPr>
          <w:rFonts w:ascii="Calibri" w:eastAsia="宋体" w:hAnsi="Calibri" w:cs="Arial"/>
          <w:lang w:eastAsia="zh-CN"/>
        </w:rPr>
        <w:t>shou</w:t>
      </w:r>
      <w:r w:rsidR="00DB3B8E">
        <w:rPr>
          <w:rFonts w:ascii="Calibri" w:eastAsia="宋体" w:hAnsi="Calibri" w:cs="Arial"/>
          <w:lang w:eastAsia="zh-CN"/>
        </w:rPr>
        <w:t xml:space="preserve">ld be based on the channel estimation.  </w:t>
      </w:r>
    </w:p>
    <w:p w14:paraId="68399AD0" w14:textId="5978A5AC" w:rsidR="00DB3B8E" w:rsidRDefault="00DB3B8E" w:rsidP="00756D09">
      <w:pPr>
        <w:spacing w:afterLines="50" w:after="120"/>
        <w:jc w:val="both"/>
        <w:rPr>
          <w:rFonts w:ascii="Calibri" w:eastAsia="宋体" w:hAnsi="Calibri" w:cs="Arial"/>
          <w:lang w:eastAsia="zh-CN"/>
        </w:rPr>
      </w:pPr>
      <w:r>
        <w:rPr>
          <w:rFonts w:ascii="Calibri" w:eastAsia="宋体" w:hAnsi="Calibri" w:cs="Arial"/>
          <w:lang w:eastAsia="zh-CN"/>
        </w:rPr>
        <w:t xml:space="preserve">In contribution [8], the defined port EVM can be further simplified if the </w:t>
      </w:r>
      <w:r w:rsidR="003E44A9">
        <w:rPr>
          <w:rFonts w:ascii="Calibri" w:eastAsia="宋体" w:hAnsi="Calibri" w:cs="Arial"/>
          <w:lang w:eastAsia="zh-CN"/>
        </w:rPr>
        <w:t xml:space="preserve">TX noise at the two antenna connectors are totally independent, however, the assumption of independent is hard to be guaranteed by practical implementation. </w:t>
      </w:r>
    </w:p>
    <w:p w14:paraId="345B1A3E" w14:textId="61F4076E" w:rsidR="00DB3B8E" w:rsidRDefault="003E44A9" w:rsidP="003E44A9">
      <w:pPr>
        <w:spacing w:before="120" w:after="0"/>
        <w:jc w:val="both"/>
        <w:rPr>
          <w:rFonts w:ascii="Calibri" w:eastAsia="宋体" w:hAnsi="Calibri" w:cs="Arial"/>
          <w:b/>
          <w:i/>
          <w:lang w:val="en-US" w:eastAsia="zh-CN"/>
        </w:rPr>
      </w:pPr>
      <w:r w:rsidRPr="003E44A9">
        <w:rPr>
          <w:rFonts w:ascii="Calibri" w:eastAsia="宋体" w:hAnsi="Calibri" w:cs="Arial"/>
          <w:b/>
          <w:i/>
          <w:lang w:val="en-US" w:eastAsia="zh-CN"/>
        </w:rPr>
        <w:t>Observ</w:t>
      </w:r>
      <w:r>
        <w:rPr>
          <w:rFonts w:ascii="Calibri" w:eastAsia="宋体" w:hAnsi="Calibri" w:cs="Arial"/>
          <w:b/>
          <w:i/>
          <w:lang w:val="en-US" w:eastAsia="zh-CN"/>
        </w:rPr>
        <w:t xml:space="preserve">ation 4: As long as the equivalent precoding vector w (in which the phase shifting factor </w:t>
      </w:r>
      <m:oMath>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r>
          <w:rPr>
            <w:rFonts w:ascii="Cambria Math" w:eastAsia="宋体" w:hAnsi="Cambria Math" w:cs="Arial"/>
            <w:lang w:eastAsia="zh-CN"/>
          </w:rPr>
          <m:t xml:space="preserve"> </m:t>
        </m:r>
      </m:oMath>
      <w:r>
        <w:rPr>
          <w:rFonts w:ascii="Calibri" w:eastAsia="宋体" w:hAnsi="Calibri" w:cs="Arial"/>
          <w:b/>
          <w:i/>
          <w:lang w:val="en-US" w:eastAsia="zh-CN"/>
        </w:rPr>
        <w:t xml:space="preserve">shall be included for CDD-based scheme) can be estimated accurately, the proposed test method for port EVM is feasible. </w:t>
      </w:r>
    </w:p>
    <w:p w14:paraId="581504A7" w14:textId="77777777" w:rsidR="003E44A9" w:rsidRPr="003E44A9" w:rsidRDefault="003E44A9" w:rsidP="003E44A9">
      <w:pPr>
        <w:spacing w:before="120" w:after="0"/>
        <w:jc w:val="both"/>
        <w:rPr>
          <w:rFonts w:ascii="Calibri" w:eastAsia="宋体" w:hAnsi="Calibri" w:cs="Arial"/>
          <w:b/>
          <w:i/>
          <w:lang w:val="en-US" w:eastAsia="zh-CN"/>
        </w:rPr>
      </w:pPr>
    </w:p>
    <w:p w14:paraId="206D5A0D" w14:textId="2C59EE71" w:rsidR="00DB4307" w:rsidRDefault="00DB4307" w:rsidP="00DB4307">
      <w:pPr>
        <w:pStyle w:val="Heading4"/>
        <w:rPr>
          <w:lang w:eastAsia="zh-CN"/>
        </w:rPr>
      </w:pPr>
      <w:r>
        <w:rPr>
          <w:lang w:eastAsia="zh-CN"/>
        </w:rPr>
        <w:t>2.</w:t>
      </w:r>
      <w:r w:rsidR="0053159F">
        <w:rPr>
          <w:lang w:eastAsia="zh-CN"/>
        </w:rPr>
        <w:t>4</w:t>
      </w:r>
      <w:r>
        <w:rPr>
          <w:lang w:eastAsia="zh-CN"/>
        </w:rPr>
        <w:t xml:space="preserve"> </w:t>
      </w:r>
      <w:r w:rsidR="001D298D">
        <w:rPr>
          <w:lang w:eastAsia="zh-CN"/>
        </w:rPr>
        <w:t xml:space="preserve">Expected UE Behaviours </w:t>
      </w:r>
      <w:r w:rsidR="008D1F16">
        <w:rPr>
          <w:lang w:eastAsia="zh-CN"/>
        </w:rPr>
        <w:t>u</w:t>
      </w:r>
      <w:r w:rsidR="001D298D">
        <w:rPr>
          <w:lang w:eastAsia="zh-CN"/>
        </w:rPr>
        <w:t>nder</w:t>
      </w:r>
      <w:r w:rsidR="006A45D1">
        <w:rPr>
          <w:lang w:eastAsia="zh-CN"/>
        </w:rPr>
        <w:t xml:space="preserve"> </w:t>
      </w:r>
      <w:r>
        <w:rPr>
          <w:lang w:eastAsia="zh-CN"/>
        </w:rPr>
        <w:t>Test</w:t>
      </w:r>
      <w:r w:rsidR="001D298D">
        <w:rPr>
          <w:lang w:eastAsia="zh-CN"/>
        </w:rPr>
        <w:t>ing</w:t>
      </w:r>
    </w:p>
    <w:p w14:paraId="2F5AAC59" w14:textId="1B2FFEE5" w:rsidR="00694055" w:rsidRDefault="005E5603" w:rsidP="009854C7">
      <w:pPr>
        <w:spacing w:afterLines="50" w:after="120"/>
        <w:jc w:val="both"/>
        <w:rPr>
          <w:rFonts w:ascii="Calibri" w:eastAsia="宋体" w:hAnsi="Calibri" w:cs="Arial"/>
          <w:lang w:eastAsia="zh-CN"/>
        </w:rPr>
      </w:pPr>
      <w:r>
        <w:rPr>
          <w:rFonts w:ascii="Calibri" w:eastAsia="宋体" w:hAnsi="Calibri" w:cs="Arial"/>
          <w:lang w:eastAsia="zh-CN"/>
        </w:rPr>
        <w:t>Since the transparent TxD-based UE behaviour should be totally UE-independent, we see no reason to restrict UE should be also in transparent TxD mode, while the opportunities should be provided if UE identify that it is better to have 1-PA branch transmission than transparent TxD mode</w:t>
      </w:r>
      <w:r w:rsidR="0018669D">
        <w:rPr>
          <w:rFonts w:ascii="Calibri" w:eastAsia="宋体" w:hAnsi="Calibri" w:cs="Arial"/>
          <w:lang w:eastAsia="zh-CN"/>
        </w:rPr>
        <w:t xml:space="preserve">, e.g. </w:t>
      </w:r>
      <w:r w:rsidR="00694055">
        <w:rPr>
          <w:rFonts w:ascii="Calibri" w:eastAsia="宋体" w:hAnsi="Calibri" w:cs="Arial"/>
          <w:lang w:eastAsia="zh-CN"/>
        </w:rPr>
        <w:t xml:space="preserve">Switching Tx </w:t>
      </w:r>
      <w:r w:rsidR="003E44A9">
        <w:rPr>
          <w:rFonts w:ascii="Calibri" w:eastAsia="宋体" w:hAnsi="Calibri" w:cs="Arial"/>
          <w:lang w:eastAsia="zh-CN"/>
        </w:rPr>
        <w:t>Diversity</w:t>
      </w:r>
      <w:r w:rsidR="00694055">
        <w:rPr>
          <w:rFonts w:ascii="Calibri" w:eastAsia="宋体" w:hAnsi="Calibri" w:cs="Arial"/>
          <w:lang w:eastAsia="zh-CN"/>
        </w:rPr>
        <w:t xml:space="preserve"> (STD), it can be considered as unequal power splitting (0% vs 100%)</w:t>
      </w:r>
      <w:r>
        <w:rPr>
          <w:rFonts w:ascii="Calibri" w:eastAsia="宋体" w:hAnsi="Calibri" w:cs="Arial"/>
          <w:lang w:eastAsia="zh-CN"/>
        </w:rPr>
        <w:t>. Similarly, if both TX PAs are full-rated PA, then the feasibility should be provided if unequal power splitting is utilized</w:t>
      </w:r>
      <w:r w:rsidR="00694055">
        <w:rPr>
          <w:rFonts w:ascii="Calibri" w:eastAsia="宋体" w:hAnsi="Calibri" w:cs="Arial"/>
          <w:lang w:eastAsia="zh-CN"/>
        </w:rPr>
        <w:t>, e.g. Pre-Rake Tx diversity (PRT), different Tx ports have different weights</w:t>
      </w:r>
      <w:r>
        <w:rPr>
          <w:rFonts w:ascii="Calibri" w:eastAsia="宋体" w:hAnsi="Calibri" w:cs="Arial"/>
          <w:lang w:eastAsia="zh-CN"/>
        </w:rPr>
        <w:t xml:space="preserve">. </w:t>
      </w:r>
      <w:r w:rsidR="00694055">
        <w:rPr>
          <w:rFonts w:ascii="Calibri" w:eastAsia="宋体" w:hAnsi="Calibri" w:cs="Arial"/>
          <w:lang w:eastAsia="zh-CN"/>
        </w:rPr>
        <w:t xml:space="preserve">Dynamic unequal power splitting will </w:t>
      </w:r>
      <w:r w:rsidR="00DC3916">
        <w:rPr>
          <w:rFonts w:ascii="Calibri" w:eastAsia="宋体" w:hAnsi="Calibri" w:cs="Arial"/>
          <w:lang w:eastAsia="zh-CN"/>
        </w:rPr>
        <w:t>cause</w:t>
      </w:r>
      <w:r w:rsidR="00694055">
        <w:rPr>
          <w:rFonts w:ascii="Calibri" w:eastAsia="宋体" w:hAnsi="Calibri" w:cs="Arial"/>
          <w:lang w:eastAsia="zh-CN"/>
        </w:rPr>
        <w:t xml:space="preserve"> testability issues</w:t>
      </w:r>
      <w:r w:rsidR="00E1527F">
        <w:rPr>
          <w:rFonts w:ascii="Calibri" w:eastAsia="宋体" w:hAnsi="Calibri" w:cs="Arial"/>
          <w:lang w:eastAsia="zh-CN"/>
        </w:rPr>
        <w:t xml:space="preserve"> even with option 1 test method (</w:t>
      </w:r>
      <w:r w:rsidR="00E1527F" w:rsidRPr="00E1527F">
        <w:rPr>
          <w:rFonts w:ascii="Calibri" w:eastAsia="宋体" w:hAnsi="Calibri" w:cs="Arial"/>
          <w:lang w:eastAsia="zh-CN"/>
        </w:rPr>
        <w:t>requirements apply to a sum of both connectors</w:t>
      </w:r>
      <w:r w:rsidR="00E1527F">
        <w:rPr>
          <w:rFonts w:ascii="Calibri" w:eastAsia="宋体" w:hAnsi="Calibri" w:cs="Arial"/>
          <w:lang w:eastAsia="zh-CN"/>
        </w:rPr>
        <w:t>).</w:t>
      </w:r>
    </w:p>
    <w:p w14:paraId="1FDD354F" w14:textId="4492AD85" w:rsidR="009854C7" w:rsidRDefault="005E5603" w:rsidP="009854C7">
      <w:pPr>
        <w:spacing w:afterLines="50" w:after="120"/>
        <w:jc w:val="both"/>
        <w:rPr>
          <w:rFonts w:ascii="Calibri" w:eastAsia="宋体" w:hAnsi="Calibri" w:cs="Arial"/>
          <w:lang w:eastAsia="zh-CN"/>
        </w:rPr>
      </w:pPr>
      <w:r>
        <w:rPr>
          <w:rFonts w:ascii="Calibri" w:eastAsia="宋体" w:hAnsi="Calibri" w:cs="Arial"/>
          <w:lang w:eastAsia="zh-CN"/>
        </w:rPr>
        <w:t xml:space="preserve">To balance the testability and UE implementation flexibility, we agree with other company’s proposal on developing the function of “lock mode” for transparent TxD, just similar to “beam lock” developed for FR2. </w:t>
      </w:r>
      <w:r w:rsidR="009854C7">
        <w:rPr>
          <w:rFonts w:ascii="Calibri" w:eastAsia="宋体" w:hAnsi="Calibri" w:cs="Arial"/>
          <w:lang w:eastAsia="zh-CN"/>
        </w:rPr>
        <w:t xml:space="preserve">Furthermore, it is natural to have UE vendor claim a default Tx connector as companies proposed this in RAN5 before. In other words, for test cases e.g., DL baseband testing for UL as CSI feedback link, UE vendor can claim a default Tx connector to allow UE fallback to 1TX mode. </w:t>
      </w:r>
    </w:p>
    <w:p w14:paraId="16567DBC" w14:textId="020BF5B1" w:rsidR="005E5603" w:rsidRDefault="005E5603" w:rsidP="007E3964">
      <w:pPr>
        <w:spacing w:afterLines="50" w:after="120"/>
        <w:jc w:val="both"/>
        <w:rPr>
          <w:rFonts w:ascii="Calibri" w:eastAsia="宋体" w:hAnsi="Calibri" w:cs="Arial"/>
          <w:lang w:eastAsia="zh-CN"/>
        </w:rPr>
      </w:pPr>
    </w:p>
    <w:p w14:paraId="63BE9AE1" w14:textId="11E201E8" w:rsidR="009854C7" w:rsidRDefault="005E5603" w:rsidP="005E5603">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sidR="0053159F">
        <w:rPr>
          <w:rFonts w:ascii="Calibri" w:eastAsia="宋体" w:hAnsi="Calibri" w:cs="Arial"/>
          <w:b/>
          <w:i/>
          <w:lang w:val="en-US" w:eastAsia="zh-CN"/>
        </w:rPr>
        <w:t>2</w:t>
      </w:r>
      <w:r w:rsidRPr="00A61481">
        <w:rPr>
          <w:rFonts w:ascii="Calibri" w:eastAsia="宋体" w:hAnsi="Calibri" w:cs="Arial"/>
          <w:b/>
          <w:i/>
          <w:lang w:val="en-US" w:eastAsia="zh-CN"/>
        </w:rPr>
        <w:t>:</w:t>
      </w:r>
      <w:r>
        <w:rPr>
          <w:rFonts w:ascii="Calibri" w:eastAsia="宋体" w:hAnsi="Calibri" w:cs="Arial"/>
          <w:b/>
          <w:i/>
          <w:lang w:val="en-US" w:eastAsia="zh-CN"/>
        </w:rPr>
        <w:t xml:space="preserve"> </w:t>
      </w:r>
      <w:r w:rsidR="009854C7">
        <w:rPr>
          <w:rFonts w:ascii="Calibri" w:eastAsia="宋体" w:hAnsi="Calibri" w:cs="Arial"/>
          <w:b/>
          <w:i/>
          <w:lang w:val="en-US" w:eastAsia="zh-CN"/>
        </w:rPr>
        <w:t>Per instructed, UE should keep its Tx diversity status unchanged during the conformance tests, in terms of</w:t>
      </w:r>
    </w:p>
    <w:p w14:paraId="4E7CB064" w14:textId="77777777" w:rsidR="009854C7" w:rsidRDefault="009854C7" w:rsidP="00A63B59">
      <w:pPr>
        <w:pStyle w:val="ListParagraph"/>
        <w:numPr>
          <w:ilvl w:val="0"/>
          <w:numId w:val="6"/>
        </w:numPr>
        <w:spacing w:before="120"/>
        <w:ind w:firstLineChars="0"/>
        <w:rPr>
          <w:rFonts w:cs="Arial"/>
          <w:b/>
          <w:i/>
        </w:rPr>
      </w:pPr>
      <w:r w:rsidRPr="009854C7">
        <w:rPr>
          <w:rFonts w:cs="Arial"/>
          <w:b/>
          <w:i/>
        </w:rPr>
        <w:t xml:space="preserve">(1) 2TX diversity mode or 1TX mode; </w:t>
      </w:r>
    </w:p>
    <w:p w14:paraId="07FACD02" w14:textId="5EC0ABAC" w:rsidR="005E5603" w:rsidRDefault="009854C7" w:rsidP="00A63B59">
      <w:pPr>
        <w:pStyle w:val="ListParagraph"/>
        <w:numPr>
          <w:ilvl w:val="0"/>
          <w:numId w:val="6"/>
        </w:numPr>
        <w:spacing w:before="120"/>
        <w:ind w:firstLineChars="0"/>
        <w:rPr>
          <w:rFonts w:cs="Arial"/>
          <w:b/>
          <w:i/>
        </w:rPr>
      </w:pPr>
      <w:r w:rsidRPr="009854C7">
        <w:rPr>
          <w:rFonts w:cs="Arial"/>
          <w:b/>
          <w:i/>
        </w:rPr>
        <w:t xml:space="preserve">(2) </w:t>
      </w:r>
      <w:r>
        <w:rPr>
          <w:rFonts w:cs="Arial"/>
          <w:b/>
          <w:i/>
        </w:rPr>
        <w:t xml:space="preserve">If 2TX diversity mode is applicable, </w:t>
      </w:r>
      <w:r w:rsidRPr="009854C7">
        <w:rPr>
          <w:rFonts w:cs="Arial"/>
          <w:b/>
          <w:i/>
        </w:rPr>
        <w:t>equal power splitting</w:t>
      </w:r>
      <w:r>
        <w:rPr>
          <w:rFonts w:cs="Arial"/>
          <w:b/>
          <w:i/>
        </w:rPr>
        <w:t xml:space="preserve"> can be locked</w:t>
      </w:r>
    </w:p>
    <w:p w14:paraId="2086D282" w14:textId="689F8802" w:rsidR="009854C7" w:rsidRPr="009854C7" w:rsidRDefault="009854C7" w:rsidP="00A63B59">
      <w:pPr>
        <w:pStyle w:val="ListParagraph"/>
        <w:numPr>
          <w:ilvl w:val="0"/>
          <w:numId w:val="6"/>
        </w:numPr>
        <w:spacing w:before="120"/>
        <w:ind w:firstLineChars="0"/>
        <w:rPr>
          <w:rFonts w:cs="Arial"/>
          <w:b/>
          <w:i/>
        </w:rPr>
      </w:pPr>
      <w:r>
        <w:rPr>
          <w:rFonts w:cs="Arial"/>
          <w:b/>
          <w:i/>
        </w:rPr>
        <w:t xml:space="preserve">(3) If 1TX mode is applicable, one default Tx connector can be claimed by UE vendors. </w:t>
      </w:r>
    </w:p>
    <w:p w14:paraId="60BD5EFD" w14:textId="77777777" w:rsidR="003C629D" w:rsidRDefault="003C629D" w:rsidP="00383BBD">
      <w:pPr>
        <w:spacing w:beforeLines="50" w:before="120" w:afterLines="50" w:after="120"/>
        <w:jc w:val="both"/>
        <w:rPr>
          <w:rFonts w:ascii="Calibri" w:eastAsia="宋体" w:hAnsi="Calibri" w:cs="Arial"/>
          <w:lang w:eastAsia="zh-CN"/>
        </w:rPr>
      </w:pPr>
    </w:p>
    <w:p w14:paraId="40A59132" w14:textId="69B7EA26" w:rsidR="000316F2"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5 </w:t>
      </w:r>
      <w:r w:rsidR="000316F2" w:rsidRPr="00F75CD8">
        <w:rPr>
          <w:rFonts w:ascii="Cambria" w:eastAsia="宋体" w:hAnsi="Cambria" w:cs="Arial" w:hint="eastAsia"/>
          <w:b/>
          <w:sz w:val="32"/>
          <w:lang w:val="en-US" w:eastAsia="zh-CN"/>
        </w:rPr>
        <w:t>Conclusion</w:t>
      </w:r>
    </w:p>
    <w:p w14:paraId="66E80DBB" w14:textId="77777777" w:rsidR="00042012"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w:t>
      </w:r>
      <w:r w:rsidR="00042012">
        <w:rPr>
          <w:rFonts w:ascii="Calibri" w:eastAsia="宋体" w:hAnsi="Calibri" w:cs="Arial"/>
          <w:lang w:eastAsia="zh-CN"/>
        </w:rPr>
        <w:t>the outstanding aspects which should be considered in the work to enable transparent TxD in Rel-16 requirement and corresponding test methods</w:t>
      </w:r>
      <w:r w:rsidR="001168E0">
        <w:rPr>
          <w:rFonts w:ascii="Calibri" w:eastAsia="宋体" w:hAnsi="Calibri" w:cs="Arial"/>
          <w:lang w:val="en-US" w:eastAsia="zh-CN"/>
        </w:rPr>
        <w:t>, with following observations and proposals:</w:t>
      </w:r>
    </w:p>
    <w:p w14:paraId="6338B6A6" w14:textId="77777777" w:rsidR="00053536" w:rsidRDefault="00053536" w:rsidP="00053536">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lastRenderedPageBreak/>
        <w:t xml:space="preserve">Observation 1: The performance of CDD scheme at least depends on factors including: the choice of </w:t>
      </w:r>
      <w:r>
        <w:rPr>
          <w:rFonts w:ascii="Calibri" w:eastAsia="宋体" w:hAnsi="Calibri" w:cs="Arial"/>
          <w:b/>
          <w:i/>
          <w:lang w:val="en-US" w:eastAsia="zh-CN"/>
        </w:rPr>
        <w:t xml:space="preserve">cyclic </w:t>
      </w:r>
      <w:r w:rsidRPr="00074949">
        <w:rPr>
          <w:rFonts w:ascii="Calibri" w:eastAsia="宋体" w:hAnsi="Calibri" w:cs="Arial"/>
          <w:b/>
          <w:i/>
          <w:lang w:val="en-US" w:eastAsia="zh-CN"/>
        </w:rPr>
        <w:t>delay difference</w:t>
      </w:r>
      <w:r w:rsidRPr="00DE7BA0">
        <w:rPr>
          <w:rFonts w:ascii="Calibri" w:eastAsia="宋体" w:hAnsi="Calibri" w:cs="Arial"/>
          <w:b/>
          <w:i/>
          <w:lang w:val="en-US" w:eastAsia="zh-CN"/>
        </w:rPr>
        <w:t xml:space="preserve"> ∆</w:t>
      </w:r>
      <w:r w:rsidRPr="00DE7BA0">
        <w:rPr>
          <w:rFonts w:ascii="Calibri" w:eastAsia="宋体" w:hAnsi="Calibri" w:cs="Arial"/>
          <w:b/>
          <w:i/>
          <w:vertAlign w:val="subscript"/>
          <w:lang w:val="en-US" w:eastAsia="zh-CN"/>
        </w:rPr>
        <w:t>m</w:t>
      </w:r>
      <w:r w:rsidRPr="00DE7BA0">
        <w:rPr>
          <w:rFonts w:ascii="Calibri" w:eastAsia="宋体" w:hAnsi="Calibri" w:cs="Arial"/>
          <w:b/>
          <w:i/>
          <w:lang w:val="en-US" w:eastAsia="zh-CN"/>
        </w:rPr>
        <w:t xml:space="preserve"> (correspondingly obtainable TX diversity), the impact of practical channel estimation</w:t>
      </w:r>
      <w:r>
        <w:rPr>
          <w:rFonts w:ascii="Calibri" w:eastAsia="宋体" w:hAnsi="Calibri" w:cs="Arial"/>
          <w:b/>
          <w:i/>
          <w:lang w:val="en-US" w:eastAsia="zh-CN"/>
        </w:rPr>
        <w:t xml:space="preserve"> at gNB</w:t>
      </w:r>
      <w:r w:rsidRPr="00DE7BA0">
        <w:rPr>
          <w:rFonts w:ascii="Calibri" w:eastAsia="宋体" w:hAnsi="Calibri" w:cs="Arial"/>
          <w:b/>
          <w:i/>
          <w:lang w:val="en-US" w:eastAsia="zh-CN"/>
        </w:rPr>
        <w:t>, the channel correlation and the delay profile over two TX antennas.</w:t>
      </w:r>
      <w:r>
        <w:rPr>
          <w:rFonts w:ascii="Calibri" w:eastAsia="宋体" w:hAnsi="Calibri" w:cs="Arial"/>
          <w:b/>
          <w:i/>
          <w:lang w:val="en-US" w:eastAsia="zh-CN"/>
        </w:rPr>
        <w:t xml:space="preserve"> </w:t>
      </w:r>
    </w:p>
    <w:p w14:paraId="00437B2D" w14:textId="77777777" w:rsidR="00053536" w:rsidRDefault="00053536" w:rsidP="00053536">
      <w:pPr>
        <w:spacing w:before="120" w:after="0"/>
        <w:jc w:val="both"/>
        <w:rPr>
          <w:rFonts w:ascii="Calibri" w:eastAsia="宋体" w:hAnsi="Calibri" w:cs="Arial"/>
          <w:b/>
          <w:i/>
          <w:lang w:val="en-US" w:eastAsia="zh-CN"/>
        </w:rPr>
      </w:pPr>
      <w:bookmarkStart w:id="1" w:name="_GoBack"/>
      <w:bookmarkEnd w:id="1"/>
      <w:r w:rsidRPr="00074949">
        <w:rPr>
          <w:rFonts w:ascii="Calibri" w:eastAsia="宋体" w:hAnsi="Calibri" w:cs="Arial"/>
          <w:b/>
          <w:i/>
          <w:lang w:val="en-US" w:eastAsia="zh-CN"/>
        </w:rPr>
        <w:t xml:space="preserve">Observation </w:t>
      </w:r>
      <w:r>
        <w:rPr>
          <w:rFonts w:ascii="Calibri" w:eastAsia="宋体" w:hAnsi="Calibri" w:cs="Arial"/>
          <w:b/>
          <w:i/>
          <w:lang w:val="en-US" w:eastAsia="zh-CN"/>
        </w:rPr>
        <w:t>2</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Even the following requirements are specified, CDD-based scheme can still not guarantee better performance than 1TX scheme baseline:  </w:t>
      </w:r>
    </w:p>
    <w:p w14:paraId="37D913B6" w14:textId="77777777" w:rsidR="00053536" w:rsidRPr="0042778F" w:rsidRDefault="00053536" w:rsidP="00053536">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Minimum allocation bandwidth of contiguous PRB for transparent TxD;</w:t>
      </w:r>
    </w:p>
    <w:p w14:paraId="1DD606F6" w14:textId="77777777" w:rsidR="00053536" w:rsidRPr="0042778F" w:rsidRDefault="00053536" w:rsidP="00053536">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Upper and lower bound of the sum of TAE+CDD for transparent TxD;</w:t>
      </w:r>
    </w:p>
    <w:p w14:paraId="36D5C510" w14:textId="77777777" w:rsidR="00053536" w:rsidRPr="0042778F" w:rsidRDefault="00053536" w:rsidP="00053536">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Minimum number of Rx antenna. </w:t>
      </w:r>
    </w:p>
    <w:p w14:paraId="41F5CB68" w14:textId="77777777" w:rsidR="00053536" w:rsidRDefault="00053536" w:rsidP="00053536">
      <w:pPr>
        <w:spacing w:beforeLines="50" w:before="120" w:afterLines="50" w:after="120"/>
        <w:jc w:val="both"/>
        <w:rPr>
          <w:rFonts w:ascii="Calibri" w:eastAsia="宋体" w:hAnsi="Calibri" w:cs="Arial"/>
          <w:b/>
          <w:i/>
          <w:lang w:val="en-US" w:eastAsia="zh-CN"/>
        </w:rPr>
      </w:pPr>
      <w:r w:rsidRPr="0053159F">
        <w:rPr>
          <w:rFonts w:ascii="Calibri" w:eastAsia="宋体" w:hAnsi="Calibri" w:cs="Arial"/>
          <w:b/>
          <w:i/>
          <w:lang w:val="en-US" w:eastAsia="zh-CN"/>
        </w:rPr>
        <w:t xml:space="preserve">Proposal 1: CDD-related requirement shall not be introduced. </w:t>
      </w:r>
    </w:p>
    <w:p w14:paraId="130F977D" w14:textId="77777777" w:rsidR="00053536" w:rsidRDefault="00053536" w:rsidP="00053536">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3</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Based on the proposed port EVM and correspondingly analysis in [R4-2011519], the port EVM can reflect the level of TX signal quality for the received signal after linear unbiased MMSE receiver.   </w:t>
      </w:r>
    </w:p>
    <w:p w14:paraId="5E3155DC" w14:textId="77777777" w:rsidR="00053536" w:rsidRDefault="00053536" w:rsidP="00053536">
      <w:pPr>
        <w:spacing w:before="120" w:after="0"/>
        <w:jc w:val="both"/>
        <w:rPr>
          <w:rFonts w:ascii="Calibri" w:eastAsia="宋体" w:hAnsi="Calibri" w:cs="Arial"/>
          <w:b/>
          <w:i/>
          <w:lang w:val="en-US" w:eastAsia="zh-CN"/>
        </w:rPr>
      </w:pPr>
      <w:r w:rsidRPr="003E44A9">
        <w:rPr>
          <w:rFonts w:ascii="Calibri" w:eastAsia="宋体" w:hAnsi="Calibri" w:cs="Arial"/>
          <w:b/>
          <w:i/>
          <w:lang w:val="en-US" w:eastAsia="zh-CN"/>
        </w:rPr>
        <w:t>Observ</w:t>
      </w:r>
      <w:r>
        <w:rPr>
          <w:rFonts w:ascii="Calibri" w:eastAsia="宋体" w:hAnsi="Calibri" w:cs="Arial"/>
          <w:b/>
          <w:i/>
          <w:lang w:val="en-US" w:eastAsia="zh-CN"/>
        </w:rPr>
        <w:t xml:space="preserve">ation 4: As long as the equivalent precoding vector w (in which the phase shifting factor </w:t>
      </w:r>
      <m:oMath>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r>
          <w:rPr>
            <w:rFonts w:ascii="Cambria Math" w:eastAsia="宋体" w:hAnsi="Cambria Math" w:cs="Arial"/>
            <w:lang w:eastAsia="zh-CN"/>
          </w:rPr>
          <m:t xml:space="preserve"> </m:t>
        </m:r>
      </m:oMath>
      <w:r>
        <w:rPr>
          <w:rFonts w:ascii="Calibri" w:eastAsia="宋体" w:hAnsi="Calibri" w:cs="Arial"/>
          <w:b/>
          <w:i/>
          <w:lang w:val="en-US" w:eastAsia="zh-CN"/>
        </w:rPr>
        <w:t xml:space="preserve">shall be included for CDD-based scheme) can be estimated accurately, the proposed test method for port EVM is feasible. </w:t>
      </w:r>
    </w:p>
    <w:p w14:paraId="00E2A35F" w14:textId="77777777" w:rsidR="00053536" w:rsidRDefault="00053536" w:rsidP="00053536">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w:t>
      </w:r>
      <w:r>
        <w:rPr>
          <w:rFonts w:ascii="Calibri" w:eastAsia="宋体" w:hAnsi="Calibri" w:cs="Arial"/>
          <w:b/>
          <w:i/>
          <w:lang w:val="en-US" w:eastAsia="zh-CN"/>
        </w:rPr>
        <w:t xml:space="preserve"> Per instructed, UE should keep its Tx diversity status unchanged during the conformance tests, in terms of</w:t>
      </w:r>
    </w:p>
    <w:p w14:paraId="11A2300F" w14:textId="77777777" w:rsidR="00053536" w:rsidRDefault="00053536" w:rsidP="00053536">
      <w:pPr>
        <w:pStyle w:val="ListParagraph"/>
        <w:numPr>
          <w:ilvl w:val="0"/>
          <w:numId w:val="6"/>
        </w:numPr>
        <w:spacing w:before="120"/>
        <w:ind w:firstLineChars="0"/>
        <w:rPr>
          <w:rFonts w:cs="Arial"/>
          <w:b/>
          <w:i/>
        </w:rPr>
      </w:pPr>
      <w:r w:rsidRPr="009854C7">
        <w:rPr>
          <w:rFonts w:cs="Arial"/>
          <w:b/>
          <w:i/>
        </w:rPr>
        <w:t xml:space="preserve">(1) 2TX diversity mode or 1TX mode; </w:t>
      </w:r>
    </w:p>
    <w:p w14:paraId="161A6570" w14:textId="77777777" w:rsidR="00053536" w:rsidRDefault="00053536" w:rsidP="00053536">
      <w:pPr>
        <w:pStyle w:val="ListParagraph"/>
        <w:numPr>
          <w:ilvl w:val="0"/>
          <w:numId w:val="6"/>
        </w:numPr>
        <w:spacing w:before="120"/>
        <w:ind w:firstLineChars="0"/>
        <w:rPr>
          <w:rFonts w:cs="Arial"/>
          <w:b/>
          <w:i/>
        </w:rPr>
      </w:pPr>
      <w:r w:rsidRPr="009854C7">
        <w:rPr>
          <w:rFonts w:cs="Arial"/>
          <w:b/>
          <w:i/>
        </w:rPr>
        <w:t xml:space="preserve">(2) </w:t>
      </w:r>
      <w:r>
        <w:rPr>
          <w:rFonts w:cs="Arial"/>
          <w:b/>
          <w:i/>
        </w:rPr>
        <w:t xml:space="preserve">If 2TX diversity mode is applicable, </w:t>
      </w:r>
      <w:r w:rsidRPr="009854C7">
        <w:rPr>
          <w:rFonts w:cs="Arial"/>
          <w:b/>
          <w:i/>
        </w:rPr>
        <w:t>equal power splitting</w:t>
      </w:r>
      <w:r>
        <w:rPr>
          <w:rFonts w:cs="Arial"/>
          <w:b/>
          <w:i/>
        </w:rPr>
        <w:t xml:space="preserve"> can be locked</w:t>
      </w:r>
    </w:p>
    <w:p w14:paraId="0DB22470" w14:textId="77777777" w:rsidR="00053536" w:rsidRPr="009854C7" w:rsidRDefault="00053536" w:rsidP="00053536">
      <w:pPr>
        <w:pStyle w:val="ListParagraph"/>
        <w:numPr>
          <w:ilvl w:val="0"/>
          <w:numId w:val="6"/>
        </w:numPr>
        <w:spacing w:before="120"/>
        <w:ind w:firstLineChars="0"/>
        <w:rPr>
          <w:rFonts w:cs="Arial"/>
          <w:b/>
          <w:i/>
        </w:rPr>
      </w:pPr>
      <w:r>
        <w:rPr>
          <w:rFonts w:cs="Arial"/>
          <w:b/>
          <w:i/>
        </w:rPr>
        <w:t xml:space="preserve">(3) If 1TX mode is applicable, one default Tx connector can be claimed by UE vendors. </w:t>
      </w:r>
    </w:p>
    <w:p w14:paraId="25B09DA8" w14:textId="77777777" w:rsidR="00F73084" w:rsidRPr="00053536" w:rsidRDefault="00F73084" w:rsidP="00B357DF">
      <w:pPr>
        <w:spacing w:afterLines="50" w:after="120"/>
        <w:jc w:val="both"/>
        <w:rPr>
          <w:rFonts w:ascii="Calibri" w:eastAsia="宋体" w:hAnsi="Calibri" w:cs="Arial"/>
          <w:lang w:val="en-US" w:eastAsia="zh-CN"/>
        </w:rPr>
      </w:pPr>
    </w:p>
    <w:p w14:paraId="18804435" w14:textId="0519CA70" w:rsidR="00E6441C"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6 </w:t>
      </w:r>
      <w:r w:rsidR="00E6441C" w:rsidRPr="00F75CD8">
        <w:rPr>
          <w:rFonts w:ascii="Cambria" w:eastAsia="宋体" w:hAnsi="Cambria" w:cs="Arial" w:hint="eastAsia"/>
          <w:b/>
          <w:sz w:val="32"/>
          <w:lang w:val="en-US" w:eastAsia="zh-CN"/>
        </w:rPr>
        <w:t>Reference</w:t>
      </w:r>
    </w:p>
    <w:p w14:paraId="3F67D87F" w14:textId="5ACA343D" w:rsidR="00EE52AE" w:rsidRDefault="00EE52AE">
      <w:pPr>
        <w:spacing w:after="0"/>
        <w:rPr>
          <w:rFonts w:ascii="Calibri" w:eastAsia="宋体" w:hAnsi="Calibri" w:cs="Arial"/>
          <w:lang w:eastAsia="zh-CN"/>
        </w:rPr>
      </w:pPr>
      <w:r>
        <w:rPr>
          <w:rFonts w:ascii="Calibri" w:eastAsia="宋体" w:hAnsi="Calibri" w:cs="Arial"/>
          <w:lang w:eastAsia="zh-CN"/>
        </w:rPr>
        <w:t>[</w:t>
      </w:r>
      <w:r w:rsidR="00BB5A8F">
        <w:rPr>
          <w:rFonts w:ascii="Calibri" w:eastAsia="宋体" w:hAnsi="Calibri" w:cs="Arial"/>
          <w:lang w:eastAsia="zh-CN"/>
        </w:rPr>
        <w:t>1</w:t>
      </w:r>
      <w:r>
        <w:rPr>
          <w:rFonts w:ascii="Calibri" w:eastAsia="宋体" w:hAnsi="Calibri" w:cs="Arial"/>
          <w:lang w:eastAsia="zh-CN"/>
        </w:rPr>
        <w:t xml:space="preserve">] </w:t>
      </w:r>
      <w:r w:rsidR="00950A3C">
        <w:rPr>
          <w:rFonts w:ascii="Calibri" w:eastAsia="宋体" w:hAnsi="Calibri" w:cs="Arial"/>
          <w:lang w:eastAsia="zh-CN"/>
        </w:rPr>
        <w:t xml:space="preserve">R4-2005652, “WF on Uplink Full Power Transmission”, Samsung. </w:t>
      </w:r>
    </w:p>
    <w:p w14:paraId="5AD4A0A2" w14:textId="14D3556E" w:rsidR="00950A3C" w:rsidRDefault="009C5021">
      <w:pPr>
        <w:spacing w:after="0"/>
        <w:rPr>
          <w:rFonts w:ascii="Calibri" w:eastAsia="宋体" w:hAnsi="Calibri" w:cs="Arial"/>
          <w:lang w:val="en-US" w:eastAsia="zh-CN"/>
        </w:rPr>
      </w:pPr>
      <w:r>
        <w:rPr>
          <w:rFonts w:ascii="Calibri" w:eastAsia="宋体" w:hAnsi="Calibri" w:cs="Arial"/>
          <w:lang w:val="en-US" w:eastAsia="zh-CN"/>
        </w:rPr>
        <w:t>[</w:t>
      </w:r>
      <w:r w:rsidR="00BB5A8F">
        <w:rPr>
          <w:rFonts w:ascii="Calibri" w:eastAsia="宋体" w:hAnsi="Calibri" w:cs="Arial"/>
          <w:lang w:val="en-US" w:eastAsia="zh-CN"/>
        </w:rPr>
        <w:t>2</w:t>
      </w:r>
      <w:r>
        <w:rPr>
          <w:rFonts w:ascii="Calibri" w:eastAsia="宋体" w:hAnsi="Calibri" w:cs="Arial"/>
          <w:lang w:val="en-US" w:eastAsia="zh-CN"/>
        </w:rPr>
        <w:t xml:space="preserve">] R4-2008465, “WF on Enabling Transparent TxD in Rel-16”, Qualcomm. </w:t>
      </w:r>
    </w:p>
    <w:p w14:paraId="60D598F0" w14:textId="77C4DEFA" w:rsidR="003158C8" w:rsidRDefault="003158C8">
      <w:pPr>
        <w:spacing w:after="0"/>
        <w:rPr>
          <w:rFonts w:ascii="Calibri" w:eastAsia="宋体" w:hAnsi="Calibri" w:cs="Arial"/>
          <w:lang w:val="en-US" w:eastAsia="zh-CN"/>
        </w:rPr>
      </w:pPr>
      <w:r>
        <w:rPr>
          <w:rFonts w:ascii="Calibri" w:eastAsia="宋体" w:hAnsi="Calibri" w:cs="Arial"/>
          <w:lang w:val="en-US" w:eastAsia="zh-CN"/>
        </w:rPr>
        <w:t xml:space="preserve">[3] </w:t>
      </w:r>
      <w:r w:rsidRPr="003158C8">
        <w:rPr>
          <w:rFonts w:ascii="Calibri" w:eastAsia="宋体" w:hAnsi="Calibri" w:cs="Arial"/>
          <w:lang w:val="en-US" w:eastAsia="zh-CN"/>
        </w:rPr>
        <w:t>R4-2006116</w:t>
      </w:r>
      <w:r>
        <w:rPr>
          <w:rFonts w:ascii="Calibri" w:eastAsia="宋体" w:hAnsi="Calibri" w:cs="Arial"/>
          <w:lang w:val="en-US" w:eastAsia="zh-CN"/>
        </w:rPr>
        <w:t>, “</w:t>
      </w:r>
      <w:r w:rsidRPr="003158C8">
        <w:rPr>
          <w:rFonts w:ascii="Calibri" w:eastAsia="宋体" w:hAnsi="Calibri" w:cs="Arial"/>
          <w:lang w:val="en-US" w:eastAsia="zh-CN"/>
        </w:rPr>
        <w:t>LS on requirement in Power Class 2 for UL MIMO Test cases</w:t>
      </w:r>
      <w:r>
        <w:rPr>
          <w:rFonts w:ascii="Calibri" w:eastAsia="宋体" w:hAnsi="Calibri" w:cs="Arial"/>
          <w:lang w:val="en-US" w:eastAsia="zh-CN"/>
        </w:rPr>
        <w:t>”, GCF-CAG</w:t>
      </w:r>
      <w:r w:rsidR="00547EDA">
        <w:rPr>
          <w:rFonts w:ascii="Calibri" w:eastAsia="宋体" w:hAnsi="Calibri" w:cs="Arial"/>
          <w:lang w:val="en-US" w:eastAsia="zh-CN"/>
        </w:rPr>
        <w:t xml:space="preserve">. </w:t>
      </w:r>
    </w:p>
    <w:p w14:paraId="56AB1C33" w14:textId="1F7C7C05" w:rsidR="00547EDA" w:rsidRDefault="00547EDA">
      <w:pPr>
        <w:spacing w:after="0"/>
        <w:rPr>
          <w:rFonts w:ascii="Calibri" w:eastAsia="宋体" w:hAnsi="Calibri" w:cs="Arial"/>
          <w:lang w:val="en-US" w:eastAsia="zh-CN"/>
        </w:rPr>
      </w:pPr>
      <w:r>
        <w:rPr>
          <w:rFonts w:ascii="Calibri" w:eastAsia="宋体" w:hAnsi="Calibri" w:cs="Arial"/>
          <w:lang w:val="en-US" w:eastAsia="zh-CN"/>
        </w:rPr>
        <w:t>[4] R4-2008256, “</w:t>
      </w:r>
      <w:r w:rsidRPr="00547EDA">
        <w:rPr>
          <w:rFonts w:ascii="Calibri" w:eastAsia="宋体" w:hAnsi="Calibri" w:cs="Arial"/>
          <w:lang w:val="en-US" w:eastAsia="zh-CN"/>
        </w:rPr>
        <w:t>Discussion on SA TxD Applicability</w:t>
      </w:r>
      <w:r>
        <w:rPr>
          <w:rFonts w:ascii="Calibri" w:eastAsia="宋体" w:hAnsi="Calibri" w:cs="Arial"/>
          <w:lang w:val="en-US" w:eastAsia="zh-CN"/>
        </w:rPr>
        <w:t xml:space="preserve">”, vivo. </w:t>
      </w:r>
    </w:p>
    <w:p w14:paraId="02457DED" w14:textId="3EC1D970" w:rsidR="001D298D" w:rsidRDefault="001D298D">
      <w:pPr>
        <w:spacing w:after="0"/>
        <w:rPr>
          <w:rFonts w:ascii="Calibri" w:eastAsia="宋体" w:hAnsi="Calibri" w:cs="Arial"/>
          <w:lang w:val="en-US" w:eastAsia="zh-CN"/>
        </w:rPr>
      </w:pPr>
      <w:r>
        <w:rPr>
          <w:rFonts w:ascii="Calibri" w:eastAsia="宋体" w:hAnsi="Calibri" w:cs="Arial"/>
          <w:lang w:val="en-US" w:eastAsia="zh-CN"/>
        </w:rPr>
        <w:t xml:space="preserve">[5] R4-2008049, </w:t>
      </w:r>
      <w:r w:rsidR="008D1F16">
        <w:rPr>
          <w:rFonts w:ascii="Calibri" w:eastAsia="宋体" w:hAnsi="Calibri" w:cs="Arial"/>
          <w:lang w:val="en-US" w:eastAsia="zh-CN"/>
        </w:rPr>
        <w:t>“</w:t>
      </w:r>
      <w:r w:rsidR="008D1F16" w:rsidRPr="008D1F16">
        <w:rPr>
          <w:rFonts w:ascii="Calibri" w:eastAsia="宋体" w:hAnsi="Calibri" w:cs="Arial"/>
          <w:lang w:val="en-US" w:eastAsia="zh-CN"/>
        </w:rPr>
        <w:t>Tx diversity open items for Rel-16</w:t>
      </w:r>
      <w:r w:rsidR="008D1F16">
        <w:rPr>
          <w:rFonts w:ascii="Calibri" w:eastAsia="宋体" w:hAnsi="Calibri" w:cs="Arial"/>
          <w:lang w:val="en-US" w:eastAsia="zh-CN"/>
        </w:rPr>
        <w:t xml:space="preserve">”, Qualcomm. </w:t>
      </w:r>
    </w:p>
    <w:p w14:paraId="40B5F862" w14:textId="1D04C0E7" w:rsidR="003E27D1" w:rsidRDefault="003E27D1">
      <w:pPr>
        <w:spacing w:after="0"/>
        <w:rPr>
          <w:rFonts w:ascii="Calibri" w:eastAsia="宋体" w:hAnsi="Calibri" w:cs="Arial"/>
          <w:lang w:val="en-US" w:eastAsia="zh-CN"/>
        </w:rPr>
      </w:pPr>
      <w:r>
        <w:rPr>
          <w:rFonts w:ascii="Calibri" w:eastAsia="宋体" w:hAnsi="Calibri" w:cs="Arial"/>
          <w:lang w:val="en-US" w:eastAsia="zh-CN"/>
        </w:rPr>
        <w:t>[6] R4-2010094, “</w:t>
      </w:r>
      <w:r w:rsidRPr="003E27D1">
        <w:rPr>
          <w:rFonts w:ascii="Calibri" w:eastAsia="宋体" w:hAnsi="Calibri" w:cs="Arial"/>
          <w:lang w:val="en-US" w:eastAsia="zh-CN"/>
        </w:rPr>
        <w:t>Discussion on the Support of Transparent Tx Diversity</w:t>
      </w:r>
      <w:r>
        <w:rPr>
          <w:rFonts w:ascii="Calibri" w:eastAsia="宋体" w:hAnsi="Calibri" w:cs="Arial"/>
          <w:lang w:val="en-US" w:eastAsia="zh-CN"/>
        </w:rPr>
        <w:t xml:space="preserve"> in Rel-16”, Samsung. </w:t>
      </w:r>
    </w:p>
    <w:p w14:paraId="5A692DF1" w14:textId="17C6A99F" w:rsidR="003E27D1" w:rsidRDefault="003E27D1">
      <w:pPr>
        <w:spacing w:after="0"/>
        <w:rPr>
          <w:rFonts w:ascii="Calibri" w:eastAsia="宋体" w:hAnsi="Calibri" w:cs="Arial"/>
          <w:lang w:val="en-US" w:eastAsia="zh-CN"/>
        </w:rPr>
      </w:pPr>
      <w:r>
        <w:rPr>
          <w:rFonts w:ascii="Calibri" w:eastAsia="宋体" w:hAnsi="Calibri" w:cs="Arial"/>
          <w:lang w:val="en-US" w:eastAsia="zh-CN"/>
        </w:rPr>
        <w:t xml:space="preserve">[7] R4-2011768, “Way forward on Rel-16 TxD”, Samsung. </w:t>
      </w:r>
    </w:p>
    <w:p w14:paraId="6E45BCBF" w14:textId="07EF0632" w:rsidR="00756D09" w:rsidRDefault="00756D09">
      <w:pPr>
        <w:spacing w:after="0"/>
        <w:rPr>
          <w:rFonts w:ascii="Calibri" w:eastAsia="宋体" w:hAnsi="Calibri" w:cs="Arial"/>
          <w:lang w:val="en-US" w:eastAsia="zh-CN"/>
        </w:rPr>
      </w:pPr>
      <w:r>
        <w:rPr>
          <w:rFonts w:ascii="Calibri" w:eastAsia="宋体" w:hAnsi="Calibri" w:cs="Arial"/>
          <w:lang w:val="en-US" w:eastAsia="zh-CN"/>
        </w:rPr>
        <w:t>[8] R4-2011519, “</w:t>
      </w:r>
      <w:r w:rsidRPr="00756D09">
        <w:rPr>
          <w:rFonts w:ascii="Calibri" w:eastAsia="宋体" w:hAnsi="Calibri" w:cs="Arial"/>
          <w:lang w:val="en-US" w:eastAsia="zh-CN"/>
        </w:rPr>
        <w:t>Further Considerations on the EVM Definition for Antenna Ports Including Transparent Transmit Diversity</w:t>
      </w:r>
      <w:r>
        <w:rPr>
          <w:rFonts w:ascii="Calibri" w:eastAsia="宋体" w:hAnsi="Calibri" w:cs="Arial"/>
          <w:lang w:val="en-US" w:eastAsia="zh-CN"/>
        </w:rPr>
        <w:t xml:space="preserve">”, Lenovo, Motorola Mobility. </w:t>
      </w:r>
    </w:p>
    <w:sectPr w:rsidR="00756D09"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FC68D" w14:textId="77777777" w:rsidR="003A5708" w:rsidRDefault="003A5708">
      <w:r>
        <w:separator/>
      </w:r>
    </w:p>
  </w:endnote>
  <w:endnote w:type="continuationSeparator" w:id="0">
    <w:p w14:paraId="0EC21AAD" w14:textId="77777777" w:rsidR="003A5708" w:rsidRDefault="003A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66A7" w14:textId="77777777" w:rsidR="00DB3B8E" w:rsidRPr="001F38DC" w:rsidRDefault="00DB3B8E">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503B0">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503B0">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0B4C9" w14:textId="77777777" w:rsidR="003A5708" w:rsidRDefault="003A5708">
      <w:r>
        <w:separator/>
      </w:r>
    </w:p>
  </w:footnote>
  <w:footnote w:type="continuationSeparator" w:id="0">
    <w:p w14:paraId="42D421D3" w14:textId="77777777" w:rsidR="003A5708" w:rsidRDefault="003A5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5D97372"/>
    <w:multiLevelType w:val="hybridMultilevel"/>
    <w:tmpl w:val="78945334"/>
    <w:lvl w:ilvl="0" w:tplc="41D861DE">
      <w:start w:val="1"/>
      <w:numFmt w:val="bullet"/>
      <w:lvlText w:val="•"/>
      <w:lvlJc w:val="left"/>
      <w:pPr>
        <w:tabs>
          <w:tab w:val="num" w:pos="720"/>
        </w:tabs>
        <w:ind w:left="720" w:hanging="360"/>
      </w:pPr>
      <w:rPr>
        <w:rFonts w:ascii="Arial" w:hAnsi="Arial" w:hint="default"/>
      </w:rPr>
    </w:lvl>
    <w:lvl w:ilvl="1" w:tplc="1E003F5C">
      <w:start w:val="154"/>
      <w:numFmt w:val="bullet"/>
      <w:lvlText w:val="•"/>
      <w:lvlJc w:val="left"/>
      <w:pPr>
        <w:tabs>
          <w:tab w:val="num" w:pos="1440"/>
        </w:tabs>
        <w:ind w:left="1440" w:hanging="360"/>
      </w:pPr>
      <w:rPr>
        <w:rFonts w:ascii="Arial" w:hAnsi="Arial" w:hint="default"/>
      </w:rPr>
    </w:lvl>
    <w:lvl w:ilvl="2" w:tplc="251C0ED4">
      <w:start w:val="154"/>
      <w:numFmt w:val="bullet"/>
      <w:lvlText w:val="•"/>
      <w:lvlJc w:val="left"/>
      <w:pPr>
        <w:tabs>
          <w:tab w:val="num" w:pos="2160"/>
        </w:tabs>
        <w:ind w:left="2160" w:hanging="360"/>
      </w:pPr>
      <w:rPr>
        <w:rFonts w:ascii="Arial" w:hAnsi="Arial" w:hint="default"/>
      </w:rPr>
    </w:lvl>
    <w:lvl w:ilvl="3" w:tplc="2DE2BB48" w:tentative="1">
      <w:start w:val="1"/>
      <w:numFmt w:val="bullet"/>
      <w:lvlText w:val="•"/>
      <w:lvlJc w:val="left"/>
      <w:pPr>
        <w:tabs>
          <w:tab w:val="num" w:pos="2880"/>
        </w:tabs>
        <w:ind w:left="2880" w:hanging="360"/>
      </w:pPr>
      <w:rPr>
        <w:rFonts w:ascii="Arial" w:hAnsi="Arial" w:hint="default"/>
      </w:rPr>
    </w:lvl>
    <w:lvl w:ilvl="4" w:tplc="44EC74FC" w:tentative="1">
      <w:start w:val="1"/>
      <w:numFmt w:val="bullet"/>
      <w:lvlText w:val="•"/>
      <w:lvlJc w:val="left"/>
      <w:pPr>
        <w:tabs>
          <w:tab w:val="num" w:pos="3600"/>
        </w:tabs>
        <w:ind w:left="3600" w:hanging="360"/>
      </w:pPr>
      <w:rPr>
        <w:rFonts w:ascii="Arial" w:hAnsi="Arial" w:hint="default"/>
      </w:rPr>
    </w:lvl>
    <w:lvl w:ilvl="5" w:tplc="7870FA04" w:tentative="1">
      <w:start w:val="1"/>
      <w:numFmt w:val="bullet"/>
      <w:lvlText w:val="•"/>
      <w:lvlJc w:val="left"/>
      <w:pPr>
        <w:tabs>
          <w:tab w:val="num" w:pos="4320"/>
        </w:tabs>
        <w:ind w:left="4320" w:hanging="360"/>
      </w:pPr>
      <w:rPr>
        <w:rFonts w:ascii="Arial" w:hAnsi="Arial" w:hint="default"/>
      </w:rPr>
    </w:lvl>
    <w:lvl w:ilvl="6" w:tplc="11E00554" w:tentative="1">
      <w:start w:val="1"/>
      <w:numFmt w:val="bullet"/>
      <w:lvlText w:val="•"/>
      <w:lvlJc w:val="left"/>
      <w:pPr>
        <w:tabs>
          <w:tab w:val="num" w:pos="5040"/>
        </w:tabs>
        <w:ind w:left="5040" w:hanging="360"/>
      </w:pPr>
      <w:rPr>
        <w:rFonts w:ascii="Arial" w:hAnsi="Arial" w:hint="default"/>
      </w:rPr>
    </w:lvl>
    <w:lvl w:ilvl="7" w:tplc="AEDA5114" w:tentative="1">
      <w:start w:val="1"/>
      <w:numFmt w:val="bullet"/>
      <w:lvlText w:val="•"/>
      <w:lvlJc w:val="left"/>
      <w:pPr>
        <w:tabs>
          <w:tab w:val="num" w:pos="5760"/>
        </w:tabs>
        <w:ind w:left="5760" w:hanging="360"/>
      </w:pPr>
      <w:rPr>
        <w:rFonts w:ascii="Arial" w:hAnsi="Arial" w:hint="default"/>
      </w:rPr>
    </w:lvl>
    <w:lvl w:ilvl="8" w:tplc="E6D285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F22770"/>
    <w:multiLevelType w:val="hybridMultilevel"/>
    <w:tmpl w:val="393AE744"/>
    <w:lvl w:ilvl="0" w:tplc="99C6CB8E">
      <w:start w:val="1"/>
      <w:numFmt w:val="bullet"/>
      <w:lvlText w:val="•"/>
      <w:lvlJc w:val="left"/>
      <w:pPr>
        <w:tabs>
          <w:tab w:val="num" w:pos="720"/>
        </w:tabs>
        <w:ind w:left="720" w:hanging="360"/>
      </w:pPr>
      <w:rPr>
        <w:rFonts w:ascii="Arial" w:hAnsi="Arial" w:hint="default"/>
      </w:rPr>
    </w:lvl>
    <w:lvl w:ilvl="1" w:tplc="A3B4A030">
      <w:start w:val="1"/>
      <w:numFmt w:val="bullet"/>
      <w:lvlText w:val="•"/>
      <w:lvlJc w:val="left"/>
      <w:pPr>
        <w:tabs>
          <w:tab w:val="num" w:pos="1440"/>
        </w:tabs>
        <w:ind w:left="1440" w:hanging="360"/>
      </w:pPr>
      <w:rPr>
        <w:rFonts w:ascii="Arial" w:hAnsi="Arial" w:hint="default"/>
      </w:rPr>
    </w:lvl>
    <w:lvl w:ilvl="2" w:tplc="D19E2E2A" w:tentative="1">
      <w:start w:val="1"/>
      <w:numFmt w:val="bullet"/>
      <w:lvlText w:val="•"/>
      <w:lvlJc w:val="left"/>
      <w:pPr>
        <w:tabs>
          <w:tab w:val="num" w:pos="2160"/>
        </w:tabs>
        <w:ind w:left="2160" w:hanging="360"/>
      </w:pPr>
      <w:rPr>
        <w:rFonts w:ascii="Arial" w:hAnsi="Arial" w:hint="default"/>
      </w:rPr>
    </w:lvl>
    <w:lvl w:ilvl="3" w:tplc="838C3684" w:tentative="1">
      <w:start w:val="1"/>
      <w:numFmt w:val="bullet"/>
      <w:lvlText w:val="•"/>
      <w:lvlJc w:val="left"/>
      <w:pPr>
        <w:tabs>
          <w:tab w:val="num" w:pos="2880"/>
        </w:tabs>
        <w:ind w:left="2880" w:hanging="360"/>
      </w:pPr>
      <w:rPr>
        <w:rFonts w:ascii="Arial" w:hAnsi="Arial" w:hint="default"/>
      </w:rPr>
    </w:lvl>
    <w:lvl w:ilvl="4" w:tplc="B67A1F82" w:tentative="1">
      <w:start w:val="1"/>
      <w:numFmt w:val="bullet"/>
      <w:lvlText w:val="•"/>
      <w:lvlJc w:val="left"/>
      <w:pPr>
        <w:tabs>
          <w:tab w:val="num" w:pos="3600"/>
        </w:tabs>
        <w:ind w:left="3600" w:hanging="360"/>
      </w:pPr>
      <w:rPr>
        <w:rFonts w:ascii="Arial" w:hAnsi="Arial" w:hint="default"/>
      </w:rPr>
    </w:lvl>
    <w:lvl w:ilvl="5" w:tplc="056C7018" w:tentative="1">
      <w:start w:val="1"/>
      <w:numFmt w:val="bullet"/>
      <w:lvlText w:val="•"/>
      <w:lvlJc w:val="left"/>
      <w:pPr>
        <w:tabs>
          <w:tab w:val="num" w:pos="4320"/>
        </w:tabs>
        <w:ind w:left="4320" w:hanging="360"/>
      </w:pPr>
      <w:rPr>
        <w:rFonts w:ascii="Arial" w:hAnsi="Arial" w:hint="default"/>
      </w:rPr>
    </w:lvl>
    <w:lvl w:ilvl="6" w:tplc="A22ABDE2" w:tentative="1">
      <w:start w:val="1"/>
      <w:numFmt w:val="bullet"/>
      <w:lvlText w:val="•"/>
      <w:lvlJc w:val="left"/>
      <w:pPr>
        <w:tabs>
          <w:tab w:val="num" w:pos="5040"/>
        </w:tabs>
        <w:ind w:left="5040" w:hanging="360"/>
      </w:pPr>
      <w:rPr>
        <w:rFonts w:ascii="Arial" w:hAnsi="Arial" w:hint="default"/>
      </w:rPr>
    </w:lvl>
    <w:lvl w:ilvl="7" w:tplc="2D185D0C" w:tentative="1">
      <w:start w:val="1"/>
      <w:numFmt w:val="bullet"/>
      <w:lvlText w:val="•"/>
      <w:lvlJc w:val="left"/>
      <w:pPr>
        <w:tabs>
          <w:tab w:val="num" w:pos="5760"/>
        </w:tabs>
        <w:ind w:left="5760" w:hanging="360"/>
      </w:pPr>
      <w:rPr>
        <w:rFonts w:ascii="Arial" w:hAnsi="Arial" w:hint="default"/>
      </w:rPr>
    </w:lvl>
    <w:lvl w:ilvl="8" w:tplc="1526B8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5091C"/>
    <w:multiLevelType w:val="hybridMultilevel"/>
    <w:tmpl w:val="3F68E682"/>
    <w:lvl w:ilvl="0" w:tplc="96B876B8">
      <w:start w:val="1"/>
      <w:numFmt w:val="bullet"/>
      <w:lvlText w:val="•"/>
      <w:lvlJc w:val="left"/>
      <w:pPr>
        <w:tabs>
          <w:tab w:val="num" w:pos="720"/>
        </w:tabs>
        <w:ind w:left="720" w:hanging="360"/>
      </w:pPr>
      <w:rPr>
        <w:rFonts w:ascii="Arial" w:hAnsi="Arial" w:hint="default"/>
      </w:rPr>
    </w:lvl>
    <w:lvl w:ilvl="1" w:tplc="F30EF16C">
      <w:start w:val="154"/>
      <w:numFmt w:val="bullet"/>
      <w:lvlText w:val="•"/>
      <w:lvlJc w:val="left"/>
      <w:pPr>
        <w:tabs>
          <w:tab w:val="num" w:pos="1440"/>
        </w:tabs>
        <w:ind w:left="1440" w:hanging="360"/>
      </w:pPr>
      <w:rPr>
        <w:rFonts w:ascii="Arial" w:hAnsi="Arial" w:hint="default"/>
      </w:rPr>
    </w:lvl>
    <w:lvl w:ilvl="2" w:tplc="553AFF08" w:tentative="1">
      <w:start w:val="1"/>
      <w:numFmt w:val="bullet"/>
      <w:lvlText w:val="•"/>
      <w:lvlJc w:val="left"/>
      <w:pPr>
        <w:tabs>
          <w:tab w:val="num" w:pos="2160"/>
        </w:tabs>
        <w:ind w:left="2160" w:hanging="360"/>
      </w:pPr>
      <w:rPr>
        <w:rFonts w:ascii="Arial" w:hAnsi="Arial" w:hint="default"/>
      </w:rPr>
    </w:lvl>
    <w:lvl w:ilvl="3" w:tplc="90BE5A3E" w:tentative="1">
      <w:start w:val="1"/>
      <w:numFmt w:val="bullet"/>
      <w:lvlText w:val="•"/>
      <w:lvlJc w:val="left"/>
      <w:pPr>
        <w:tabs>
          <w:tab w:val="num" w:pos="2880"/>
        </w:tabs>
        <w:ind w:left="2880" w:hanging="360"/>
      </w:pPr>
      <w:rPr>
        <w:rFonts w:ascii="Arial" w:hAnsi="Arial" w:hint="default"/>
      </w:rPr>
    </w:lvl>
    <w:lvl w:ilvl="4" w:tplc="8182B8E6" w:tentative="1">
      <w:start w:val="1"/>
      <w:numFmt w:val="bullet"/>
      <w:lvlText w:val="•"/>
      <w:lvlJc w:val="left"/>
      <w:pPr>
        <w:tabs>
          <w:tab w:val="num" w:pos="3600"/>
        </w:tabs>
        <w:ind w:left="3600" w:hanging="360"/>
      </w:pPr>
      <w:rPr>
        <w:rFonts w:ascii="Arial" w:hAnsi="Arial" w:hint="default"/>
      </w:rPr>
    </w:lvl>
    <w:lvl w:ilvl="5" w:tplc="CB1EB556" w:tentative="1">
      <w:start w:val="1"/>
      <w:numFmt w:val="bullet"/>
      <w:lvlText w:val="•"/>
      <w:lvlJc w:val="left"/>
      <w:pPr>
        <w:tabs>
          <w:tab w:val="num" w:pos="4320"/>
        </w:tabs>
        <w:ind w:left="4320" w:hanging="360"/>
      </w:pPr>
      <w:rPr>
        <w:rFonts w:ascii="Arial" w:hAnsi="Arial" w:hint="default"/>
      </w:rPr>
    </w:lvl>
    <w:lvl w:ilvl="6" w:tplc="5C46548E" w:tentative="1">
      <w:start w:val="1"/>
      <w:numFmt w:val="bullet"/>
      <w:lvlText w:val="•"/>
      <w:lvlJc w:val="left"/>
      <w:pPr>
        <w:tabs>
          <w:tab w:val="num" w:pos="5040"/>
        </w:tabs>
        <w:ind w:left="5040" w:hanging="360"/>
      </w:pPr>
      <w:rPr>
        <w:rFonts w:ascii="Arial" w:hAnsi="Arial" w:hint="default"/>
      </w:rPr>
    </w:lvl>
    <w:lvl w:ilvl="7" w:tplc="29587C34" w:tentative="1">
      <w:start w:val="1"/>
      <w:numFmt w:val="bullet"/>
      <w:lvlText w:val="•"/>
      <w:lvlJc w:val="left"/>
      <w:pPr>
        <w:tabs>
          <w:tab w:val="num" w:pos="5760"/>
        </w:tabs>
        <w:ind w:left="5760" w:hanging="360"/>
      </w:pPr>
      <w:rPr>
        <w:rFonts w:ascii="Arial" w:hAnsi="Arial" w:hint="default"/>
      </w:rPr>
    </w:lvl>
    <w:lvl w:ilvl="8" w:tplc="6B60AE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011126"/>
    <w:multiLevelType w:val="hybridMultilevel"/>
    <w:tmpl w:val="11229ED4"/>
    <w:lvl w:ilvl="0" w:tplc="D1C873B8">
      <w:start w:val="1"/>
      <w:numFmt w:val="bullet"/>
      <w:lvlText w:val="•"/>
      <w:lvlJc w:val="left"/>
      <w:pPr>
        <w:tabs>
          <w:tab w:val="num" w:pos="720"/>
        </w:tabs>
        <w:ind w:left="720" w:hanging="360"/>
      </w:pPr>
      <w:rPr>
        <w:rFonts w:ascii="Arial" w:hAnsi="Arial" w:hint="default"/>
      </w:rPr>
    </w:lvl>
    <w:lvl w:ilvl="1" w:tplc="BA92E654">
      <w:start w:val="1"/>
      <w:numFmt w:val="bullet"/>
      <w:lvlText w:val="•"/>
      <w:lvlJc w:val="left"/>
      <w:pPr>
        <w:tabs>
          <w:tab w:val="num" w:pos="1440"/>
        </w:tabs>
        <w:ind w:left="1440" w:hanging="360"/>
      </w:pPr>
      <w:rPr>
        <w:rFonts w:ascii="Arial" w:hAnsi="Arial" w:hint="default"/>
      </w:rPr>
    </w:lvl>
    <w:lvl w:ilvl="2" w:tplc="CA4E939E" w:tentative="1">
      <w:start w:val="1"/>
      <w:numFmt w:val="bullet"/>
      <w:lvlText w:val="•"/>
      <w:lvlJc w:val="left"/>
      <w:pPr>
        <w:tabs>
          <w:tab w:val="num" w:pos="2160"/>
        </w:tabs>
        <w:ind w:left="2160" w:hanging="360"/>
      </w:pPr>
      <w:rPr>
        <w:rFonts w:ascii="Arial" w:hAnsi="Arial" w:hint="default"/>
      </w:rPr>
    </w:lvl>
    <w:lvl w:ilvl="3" w:tplc="9E56CA0E" w:tentative="1">
      <w:start w:val="1"/>
      <w:numFmt w:val="bullet"/>
      <w:lvlText w:val="•"/>
      <w:lvlJc w:val="left"/>
      <w:pPr>
        <w:tabs>
          <w:tab w:val="num" w:pos="2880"/>
        </w:tabs>
        <w:ind w:left="2880" w:hanging="360"/>
      </w:pPr>
      <w:rPr>
        <w:rFonts w:ascii="Arial" w:hAnsi="Arial" w:hint="default"/>
      </w:rPr>
    </w:lvl>
    <w:lvl w:ilvl="4" w:tplc="1CB24864" w:tentative="1">
      <w:start w:val="1"/>
      <w:numFmt w:val="bullet"/>
      <w:lvlText w:val="•"/>
      <w:lvlJc w:val="left"/>
      <w:pPr>
        <w:tabs>
          <w:tab w:val="num" w:pos="3600"/>
        </w:tabs>
        <w:ind w:left="3600" w:hanging="360"/>
      </w:pPr>
      <w:rPr>
        <w:rFonts w:ascii="Arial" w:hAnsi="Arial" w:hint="default"/>
      </w:rPr>
    </w:lvl>
    <w:lvl w:ilvl="5" w:tplc="957E9FE0" w:tentative="1">
      <w:start w:val="1"/>
      <w:numFmt w:val="bullet"/>
      <w:lvlText w:val="•"/>
      <w:lvlJc w:val="left"/>
      <w:pPr>
        <w:tabs>
          <w:tab w:val="num" w:pos="4320"/>
        </w:tabs>
        <w:ind w:left="4320" w:hanging="360"/>
      </w:pPr>
      <w:rPr>
        <w:rFonts w:ascii="Arial" w:hAnsi="Arial" w:hint="default"/>
      </w:rPr>
    </w:lvl>
    <w:lvl w:ilvl="6" w:tplc="F594D2AA" w:tentative="1">
      <w:start w:val="1"/>
      <w:numFmt w:val="bullet"/>
      <w:lvlText w:val="•"/>
      <w:lvlJc w:val="left"/>
      <w:pPr>
        <w:tabs>
          <w:tab w:val="num" w:pos="5040"/>
        </w:tabs>
        <w:ind w:left="5040" w:hanging="360"/>
      </w:pPr>
      <w:rPr>
        <w:rFonts w:ascii="Arial" w:hAnsi="Arial" w:hint="default"/>
      </w:rPr>
    </w:lvl>
    <w:lvl w:ilvl="7" w:tplc="3AECCD0E" w:tentative="1">
      <w:start w:val="1"/>
      <w:numFmt w:val="bullet"/>
      <w:lvlText w:val="•"/>
      <w:lvlJc w:val="left"/>
      <w:pPr>
        <w:tabs>
          <w:tab w:val="num" w:pos="5760"/>
        </w:tabs>
        <w:ind w:left="5760" w:hanging="360"/>
      </w:pPr>
      <w:rPr>
        <w:rFonts w:ascii="Arial" w:hAnsi="Arial" w:hint="default"/>
      </w:rPr>
    </w:lvl>
    <w:lvl w:ilvl="8" w:tplc="461E68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D944EA"/>
    <w:multiLevelType w:val="hybridMultilevel"/>
    <w:tmpl w:val="06EE4FD2"/>
    <w:lvl w:ilvl="0" w:tplc="8F485A2E">
      <w:start w:val="1"/>
      <w:numFmt w:val="bullet"/>
      <w:lvlText w:val="•"/>
      <w:lvlJc w:val="left"/>
      <w:pPr>
        <w:tabs>
          <w:tab w:val="num" w:pos="720"/>
        </w:tabs>
        <w:ind w:left="720" w:hanging="360"/>
      </w:pPr>
      <w:rPr>
        <w:rFonts w:ascii="Arial" w:hAnsi="Arial" w:hint="default"/>
      </w:rPr>
    </w:lvl>
    <w:lvl w:ilvl="1" w:tplc="ED7E999E">
      <w:start w:val="1"/>
      <w:numFmt w:val="bullet"/>
      <w:lvlText w:val="•"/>
      <w:lvlJc w:val="left"/>
      <w:pPr>
        <w:tabs>
          <w:tab w:val="num" w:pos="1440"/>
        </w:tabs>
        <w:ind w:left="1440" w:hanging="360"/>
      </w:pPr>
      <w:rPr>
        <w:rFonts w:ascii="Arial" w:hAnsi="Arial" w:hint="default"/>
      </w:rPr>
    </w:lvl>
    <w:lvl w:ilvl="2" w:tplc="B5588CBA" w:tentative="1">
      <w:start w:val="1"/>
      <w:numFmt w:val="bullet"/>
      <w:lvlText w:val="•"/>
      <w:lvlJc w:val="left"/>
      <w:pPr>
        <w:tabs>
          <w:tab w:val="num" w:pos="2160"/>
        </w:tabs>
        <w:ind w:left="2160" w:hanging="360"/>
      </w:pPr>
      <w:rPr>
        <w:rFonts w:ascii="Arial" w:hAnsi="Arial" w:hint="default"/>
      </w:rPr>
    </w:lvl>
    <w:lvl w:ilvl="3" w:tplc="5372903A" w:tentative="1">
      <w:start w:val="1"/>
      <w:numFmt w:val="bullet"/>
      <w:lvlText w:val="•"/>
      <w:lvlJc w:val="left"/>
      <w:pPr>
        <w:tabs>
          <w:tab w:val="num" w:pos="2880"/>
        </w:tabs>
        <w:ind w:left="2880" w:hanging="360"/>
      </w:pPr>
      <w:rPr>
        <w:rFonts w:ascii="Arial" w:hAnsi="Arial" w:hint="default"/>
      </w:rPr>
    </w:lvl>
    <w:lvl w:ilvl="4" w:tplc="796203FE" w:tentative="1">
      <w:start w:val="1"/>
      <w:numFmt w:val="bullet"/>
      <w:lvlText w:val="•"/>
      <w:lvlJc w:val="left"/>
      <w:pPr>
        <w:tabs>
          <w:tab w:val="num" w:pos="3600"/>
        </w:tabs>
        <w:ind w:left="3600" w:hanging="360"/>
      </w:pPr>
      <w:rPr>
        <w:rFonts w:ascii="Arial" w:hAnsi="Arial" w:hint="default"/>
      </w:rPr>
    </w:lvl>
    <w:lvl w:ilvl="5" w:tplc="7A0A6462" w:tentative="1">
      <w:start w:val="1"/>
      <w:numFmt w:val="bullet"/>
      <w:lvlText w:val="•"/>
      <w:lvlJc w:val="left"/>
      <w:pPr>
        <w:tabs>
          <w:tab w:val="num" w:pos="4320"/>
        </w:tabs>
        <w:ind w:left="4320" w:hanging="360"/>
      </w:pPr>
      <w:rPr>
        <w:rFonts w:ascii="Arial" w:hAnsi="Arial" w:hint="default"/>
      </w:rPr>
    </w:lvl>
    <w:lvl w:ilvl="6" w:tplc="8E3AD162" w:tentative="1">
      <w:start w:val="1"/>
      <w:numFmt w:val="bullet"/>
      <w:lvlText w:val="•"/>
      <w:lvlJc w:val="left"/>
      <w:pPr>
        <w:tabs>
          <w:tab w:val="num" w:pos="5040"/>
        </w:tabs>
        <w:ind w:left="5040" w:hanging="360"/>
      </w:pPr>
      <w:rPr>
        <w:rFonts w:ascii="Arial" w:hAnsi="Arial" w:hint="default"/>
      </w:rPr>
    </w:lvl>
    <w:lvl w:ilvl="7" w:tplc="5CCC6DF6" w:tentative="1">
      <w:start w:val="1"/>
      <w:numFmt w:val="bullet"/>
      <w:lvlText w:val="•"/>
      <w:lvlJc w:val="left"/>
      <w:pPr>
        <w:tabs>
          <w:tab w:val="num" w:pos="5760"/>
        </w:tabs>
        <w:ind w:left="5760" w:hanging="360"/>
      </w:pPr>
      <w:rPr>
        <w:rFonts w:ascii="Arial" w:hAnsi="Arial" w:hint="default"/>
      </w:rPr>
    </w:lvl>
    <w:lvl w:ilvl="8" w:tplc="F8D4A0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07182A"/>
    <w:multiLevelType w:val="hybridMultilevel"/>
    <w:tmpl w:val="60563922"/>
    <w:lvl w:ilvl="0" w:tplc="542CB572">
      <w:start w:val="1"/>
      <w:numFmt w:val="bullet"/>
      <w:lvlText w:val="•"/>
      <w:lvlJc w:val="left"/>
      <w:pPr>
        <w:tabs>
          <w:tab w:val="num" w:pos="720"/>
        </w:tabs>
        <w:ind w:left="720" w:hanging="360"/>
      </w:pPr>
      <w:rPr>
        <w:rFonts w:ascii="Arial" w:hAnsi="Arial" w:hint="default"/>
      </w:rPr>
    </w:lvl>
    <w:lvl w:ilvl="1" w:tplc="6DDE70EA">
      <w:start w:val="1"/>
      <w:numFmt w:val="bullet"/>
      <w:lvlText w:val="•"/>
      <w:lvlJc w:val="left"/>
      <w:pPr>
        <w:tabs>
          <w:tab w:val="num" w:pos="1440"/>
        </w:tabs>
        <w:ind w:left="1440" w:hanging="360"/>
      </w:pPr>
      <w:rPr>
        <w:rFonts w:ascii="Arial" w:hAnsi="Arial" w:hint="default"/>
      </w:rPr>
    </w:lvl>
    <w:lvl w:ilvl="2" w:tplc="1E924866">
      <w:start w:val="180"/>
      <w:numFmt w:val="bullet"/>
      <w:lvlText w:val=""/>
      <w:lvlJc w:val="left"/>
      <w:pPr>
        <w:tabs>
          <w:tab w:val="num" w:pos="2160"/>
        </w:tabs>
        <w:ind w:left="2160" w:hanging="360"/>
      </w:pPr>
      <w:rPr>
        <w:rFonts w:ascii="Wingdings" w:hAnsi="Wingdings" w:hint="default"/>
      </w:rPr>
    </w:lvl>
    <w:lvl w:ilvl="3" w:tplc="BD98FA54" w:tentative="1">
      <w:start w:val="1"/>
      <w:numFmt w:val="bullet"/>
      <w:lvlText w:val="•"/>
      <w:lvlJc w:val="left"/>
      <w:pPr>
        <w:tabs>
          <w:tab w:val="num" w:pos="2880"/>
        </w:tabs>
        <w:ind w:left="2880" w:hanging="360"/>
      </w:pPr>
      <w:rPr>
        <w:rFonts w:ascii="Arial" w:hAnsi="Arial" w:hint="default"/>
      </w:rPr>
    </w:lvl>
    <w:lvl w:ilvl="4" w:tplc="27E4E3EE" w:tentative="1">
      <w:start w:val="1"/>
      <w:numFmt w:val="bullet"/>
      <w:lvlText w:val="•"/>
      <w:lvlJc w:val="left"/>
      <w:pPr>
        <w:tabs>
          <w:tab w:val="num" w:pos="3600"/>
        </w:tabs>
        <w:ind w:left="3600" w:hanging="360"/>
      </w:pPr>
      <w:rPr>
        <w:rFonts w:ascii="Arial" w:hAnsi="Arial" w:hint="default"/>
      </w:rPr>
    </w:lvl>
    <w:lvl w:ilvl="5" w:tplc="A7B09D06" w:tentative="1">
      <w:start w:val="1"/>
      <w:numFmt w:val="bullet"/>
      <w:lvlText w:val="•"/>
      <w:lvlJc w:val="left"/>
      <w:pPr>
        <w:tabs>
          <w:tab w:val="num" w:pos="4320"/>
        </w:tabs>
        <w:ind w:left="4320" w:hanging="360"/>
      </w:pPr>
      <w:rPr>
        <w:rFonts w:ascii="Arial" w:hAnsi="Arial" w:hint="default"/>
      </w:rPr>
    </w:lvl>
    <w:lvl w:ilvl="6" w:tplc="8DB4AD24" w:tentative="1">
      <w:start w:val="1"/>
      <w:numFmt w:val="bullet"/>
      <w:lvlText w:val="•"/>
      <w:lvlJc w:val="left"/>
      <w:pPr>
        <w:tabs>
          <w:tab w:val="num" w:pos="5040"/>
        </w:tabs>
        <w:ind w:left="5040" w:hanging="360"/>
      </w:pPr>
      <w:rPr>
        <w:rFonts w:ascii="Arial" w:hAnsi="Arial" w:hint="default"/>
      </w:rPr>
    </w:lvl>
    <w:lvl w:ilvl="7" w:tplc="EA521272" w:tentative="1">
      <w:start w:val="1"/>
      <w:numFmt w:val="bullet"/>
      <w:lvlText w:val="•"/>
      <w:lvlJc w:val="left"/>
      <w:pPr>
        <w:tabs>
          <w:tab w:val="num" w:pos="5760"/>
        </w:tabs>
        <w:ind w:left="5760" w:hanging="360"/>
      </w:pPr>
      <w:rPr>
        <w:rFonts w:ascii="Arial" w:hAnsi="Arial" w:hint="default"/>
      </w:rPr>
    </w:lvl>
    <w:lvl w:ilvl="8" w:tplc="0DE42D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BB2A0E"/>
    <w:multiLevelType w:val="hybridMultilevel"/>
    <w:tmpl w:val="2C1EC6CA"/>
    <w:lvl w:ilvl="0" w:tplc="B92EBAC2">
      <w:start w:val="1"/>
      <w:numFmt w:val="bullet"/>
      <w:lvlText w:val="o"/>
      <w:lvlJc w:val="left"/>
      <w:pPr>
        <w:tabs>
          <w:tab w:val="num" w:pos="720"/>
        </w:tabs>
        <w:ind w:left="720" w:hanging="360"/>
      </w:pPr>
      <w:rPr>
        <w:rFonts w:ascii="Courier New" w:hAnsi="Courier New" w:hint="default"/>
      </w:rPr>
    </w:lvl>
    <w:lvl w:ilvl="1" w:tplc="1A2AFF70">
      <w:start w:val="180"/>
      <w:numFmt w:val="bullet"/>
      <w:lvlText w:val="•"/>
      <w:lvlJc w:val="left"/>
      <w:pPr>
        <w:tabs>
          <w:tab w:val="num" w:pos="1440"/>
        </w:tabs>
        <w:ind w:left="1440" w:hanging="360"/>
      </w:pPr>
      <w:rPr>
        <w:rFonts w:ascii="Arial" w:hAnsi="Arial" w:hint="default"/>
      </w:rPr>
    </w:lvl>
    <w:lvl w:ilvl="2" w:tplc="255E14A4">
      <w:start w:val="180"/>
      <w:numFmt w:val="bullet"/>
      <w:lvlText w:val=""/>
      <w:lvlJc w:val="left"/>
      <w:pPr>
        <w:tabs>
          <w:tab w:val="num" w:pos="2160"/>
        </w:tabs>
        <w:ind w:left="2160" w:hanging="360"/>
      </w:pPr>
      <w:rPr>
        <w:rFonts w:ascii="Wingdings" w:hAnsi="Wingdings" w:hint="default"/>
      </w:rPr>
    </w:lvl>
    <w:lvl w:ilvl="3" w:tplc="2EFCCCCC" w:tentative="1">
      <w:start w:val="1"/>
      <w:numFmt w:val="bullet"/>
      <w:lvlText w:val="o"/>
      <w:lvlJc w:val="left"/>
      <w:pPr>
        <w:tabs>
          <w:tab w:val="num" w:pos="2880"/>
        </w:tabs>
        <w:ind w:left="2880" w:hanging="360"/>
      </w:pPr>
      <w:rPr>
        <w:rFonts w:ascii="Courier New" w:hAnsi="Courier New" w:hint="default"/>
      </w:rPr>
    </w:lvl>
    <w:lvl w:ilvl="4" w:tplc="3D8233BE" w:tentative="1">
      <w:start w:val="1"/>
      <w:numFmt w:val="bullet"/>
      <w:lvlText w:val="o"/>
      <w:lvlJc w:val="left"/>
      <w:pPr>
        <w:tabs>
          <w:tab w:val="num" w:pos="3600"/>
        </w:tabs>
        <w:ind w:left="3600" w:hanging="360"/>
      </w:pPr>
      <w:rPr>
        <w:rFonts w:ascii="Courier New" w:hAnsi="Courier New" w:hint="default"/>
      </w:rPr>
    </w:lvl>
    <w:lvl w:ilvl="5" w:tplc="50F8BC56" w:tentative="1">
      <w:start w:val="1"/>
      <w:numFmt w:val="bullet"/>
      <w:lvlText w:val="o"/>
      <w:lvlJc w:val="left"/>
      <w:pPr>
        <w:tabs>
          <w:tab w:val="num" w:pos="4320"/>
        </w:tabs>
        <w:ind w:left="4320" w:hanging="360"/>
      </w:pPr>
      <w:rPr>
        <w:rFonts w:ascii="Courier New" w:hAnsi="Courier New" w:hint="default"/>
      </w:rPr>
    </w:lvl>
    <w:lvl w:ilvl="6" w:tplc="B2724836" w:tentative="1">
      <w:start w:val="1"/>
      <w:numFmt w:val="bullet"/>
      <w:lvlText w:val="o"/>
      <w:lvlJc w:val="left"/>
      <w:pPr>
        <w:tabs>
          <w:tab w:val="num" w:pos="5040"/>
        </w:tabs>
        <w:ind w:left="5040" w:hanging="360"/>
      </w:pPr>
      <w:rPr>
        <w:rFonts w:ascii="Courier New" w:hAnsi="Courier New" w:hint="default"/>
      </w:rPr>
    </w:lvl>
    <w:lvl w:ilvl="7" w:tplc="D7E4DB5A" w:tentative="1">
      <w:start w:val="1"/>
      <w:numFmt w:val="bullet"/>
      <w:lvlText w:val="o"/>
      <w:lvlJc w:val="left"/>
      <w:pPr>
        <w:tabs>
          <w:tab w:val="num" w:pos="5760"/>
        </w:tabs>
        <w:ind w:left="5760" w:hanging="360"/>
      </w:pPr>
      <w:rPr>
        <w:rFonts w:ascii="Courier New" w:hAnsi="Courier New" w:hint="default"/>
      </w:rPr>
    </w:lvl>
    <w:lvl w:ilvl="8" w:tplc="C6D2145E"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614026D6"/>
    <w:multiLevelType w:val="hybridMultilevel"/>
    <w:tmpl w:val="569034FA"/>
    <w:lvl w:ilvl="0" w:tplc="BD7486F4">
      <w:start w:val="1"/>
      <w:numFmt w:val="bullet"/>
      <w:lvlText w:val="•"/>
      <w:lvlJc w:val="left"/>
      <w:pPr>
        <w:tabs>
          <w:tab w:val="num" w:pos="720"/>
        </w:tabs>
        <w:ind w:left="720" w:hanging="360"/>
      </w:pPr>
      <w:rPr>
        <w:rFonts w:ascii="Arial" w:hAnsi="Arial" w:hint="default"/>
      </w:rPr>
    </w:lvl>
    <w:lvl w:ilvl="1" w:tplc="DDF0DB2E">
      <w:start w:val="1"/>
      <w:numFmt w:val="bullet"/>
      <w:lvlText w:val="•"/>
      <w:lvlJc w:val="left"/>
      <w:pPr>
        <w:tabs>
          <w:tab w:val="num" w:pos="1440"/>
        </w:tabs>
        <w:ind w:left="1440" w:hanging="360"/>
      </w:pPr>
      <w:rPr>
        <w:rFonts w:ascii="Arial" w:hAnsi="Arial" w:hint="default"/>
      </w:rPr>
    </w:lvl>
    <w:lvl w:ilvl="2" w:tplc="FB9C1D8E">
      <w:start w:val="180"/>
      <w:numFmt w:val="bullet"/>
      <w:lvlText w:val="•"/>
      <w:lvlJc w:val="left"/>
      <w:pPr>
        <w:tabs>
          <w:tab w:val="num" w:pos="2160"/>
        </w:tabs>
        <w:ind w:left="2160" w:hanging="360"/>
      </w:pPr>
      <w:rPr>
        <w:rFonts w:ascii="Arial" w:hAnsi="Arial" w:hint="default"/>
      </w:rPr>
    </w:lvl>
    <w:lvl w:ilvl="3" w:tplc="2A8CC170" w:tentative="1">
      <w:start w:val="1"/>
      <w:numFmt w:val="bullet"/>
      <w:lvlText w:val="•"/>
      <w:lvlJc w:val="left"/>
      <w:pPr>
        <w:tabs>
          <w:tab w:val="num" w:pos="2880"/>
        </w:tabs>
        <w:ind w:left="2880" w:hanging="360"/>
      </w:pPr>
      <w:rPr>
        <w:rFonts w:ascii="Arial" w:hAnsi="Arial" w:hint="default"/>
      </w:rPr>
    </w:lvl>
    <w:lvl w:ilvl="4" w:tplc="91142D46" w:tentative="1">
      <w:start w:val="1"/>
      <w:numFmt w:val="bullet"/>
      <w:lvlText w:val="•"/>
      <w:lvlJc w:val="left"/>
      <w:pPr>
        <w:tabs>
          <w:tab w:val="num" w:pos="3600"/>
        </w:tabs>
        <w:ind w:left="3600" w:hanging="360"/>
      </w:pPr>
      <w:rPr>
        <w:rFonts w:ascii="Arial" w:hAnsi="Arial" w:hint="default"/>
      </w:rPr>
    </w:lvl>
    <w:lvl w:ilvl="5" w:tplc="2452C2A6" w:tentative="1">
      <w:start w:val="1"/>
      <w:numFmt w:val="bullet"/>
      <w:lvlText w:val="•"/>
      <w:lvlJc w:val="left"/>
      <w:pPr>
        <w:tabs>
          <w:tab w:val="num" w:pos="4320"/>
        </w:tabs>
        <w:ind w:left="4320" w:hanging="360"/>
      </w:pPr>
      <w:rPr>
        <w:rFonts w:ascii="Arial" w:hAnsi="Arial" w:hint="default"/>
      </w:rPr>
    </w:lvl>
    <w:lvl w:ilvl="6" w:tplc="FC34EB6A" w:tentative="1">
      <w:start w:val="1"/>
      <w:numFmt w:val="bullet"/>
      <w:lvlText w:val="•"/>
      <w:lvlJc w:val="left"/>
      <w:pPr>
        <w:tabs>
          <w:tab w:val="num" w:pos="5040"/>
        </w:tabs>
        <w:ind w:left="5040" w:hanging="360"/>
      </w:pPr>
      <w:rPr>
        <w:rFonts w:ascii="Arial" w:hAnsi="Arial" w:hint="default"/>
      </w:rPr>
    </w:lvl>
    <w:lvl w:ilvl="7" w:tplc="E74032DE" w:tentative="1">
      <w:start w:val="1"/>
      <w:numFmt w:val="bullet"/>
      <w:lvlText w:val="•"/>
      <w:lvlJc w:val="left"/>
      <w:pPr>
        <w:tabs>
          <w:tab w:val="num" w:pos="5760"/>
        </w:tabs>
        <w:ind w:left="5760" w:hanging="360"/>
      </w:pPr>
      <w:rPr>
        <w:rFonts w:ascii="Arial" w:hAnsi="Arial" w:hint="default"/>
      </w:rPr>
    </w:lvl>
    <w:lvl w:ilvl="8" w:tplc="C234E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554F5B"/>
    <w:multiLevelType w:val="hybridMultilevel"/>
    <w:tmpl w:val="3AA8BF56"/>
    <w:lvl w:ilvl="0" w:tplc="E9C82232">
      <w:start w:val="1"/>
      <w:numFmt w:val="bullet"/>
      <w:lvlText w:val="•"/>
      <w:lvlJc w:val="left"/>
      <w:pPr>
        <w:tabs>
          <w:tab w:val="num" w:pos="720"/>
        </w:tabs>
        <w:ind w:left="720" w:hanging="360"/>
      </w:pPr>
      <w:rPr>
        <w:rFonts w:ascii="Arial" w:hAnsi="Arial" w:hint="default"/>
      </w:rPr>
    </w:lvl>
    <w:lvl w:ilvl="1" w:tplc="3CC0FD86">
      <w:start w:val="1"/>
      <w:numFmt w:val="bullet"/>
      <w:lvlText w:val="•"/>
      <w:lvlJc w:val="left"/>
      <w:pPr>
        <w:tabs>
          <w:tab w:val="num" w:pos="1440"/>
        </w:tabs>
        <w:ind w:left="1440" w:hanging="360"/>
      </w:pPr>
      <w:rPr>
        <w:rFonts w:ascii="Arial" w:hAnsi="Arial" w:hint="default"/>
      </w:rPr>
    </w:lvl>
    <w:lvl w:ilvl="2" w:tplc="B8BE0664">
      <w:start w:val="180"/>
      <w:numFmt w:val="bullet"/>
      <w:lvlText w:val="•"/>
      <w:lvlJc w:val="left"/>
      <w:pPr>
        <w:tabs>
          <w:tab w:val="num" w:pos="2160"/>
        </w:tabs>
        <w:ind w:left="2160" w:hanging="360"/>
      </w:pPr>
      <w:rPr>
        <w:rFonts w:ascii="Arial" w:hAnsi="Arial" w:hint="default"/>
      </w:rPr>
    </w:lvl>
    <w:lvl w:ilvl="3" w:tplc="9CB8C4F2" w:tentative="1">
      <w:start w:val="1"/>
      <w:numFmt w:val="bullet"/>
      <w:lvlText w:val="•"/>
      <w:lvlJc w:val="left"/>
      <w:pPr>
        <w:tabs>
          <w:tab w:val="num" w:pos="2880"/>
        </w:tabs>
        <w:ind w:left="2880" w:hanging="360"/>
      </w:pPr>
      <w:rPr>
        <w:rFonts w:ascii="Arial" w:hAnsi="Arial" w:hint="default"/>
      </w:rPr>
    </w:lvl>
    <w:lvl w:ilvl="4" w:tplc="08B8D504" w:tentative="1">
      <w:start w:val="1"/>
      <w:numFmt w:val="bullet"/>
      <w:lvlText w:val="•"/>
      <w:lvlJc w:val="left"/>
      <w:pPr>
        <w:tabs>
          <w:tab w:val="num" w:pos="3600"/>
        </w:tabs>
        <w:ind w:left="3600" w:hanging="360"/>
      </w:pPr>
      <w:rPr>
        <w:rFonts w:ascii="Arial" w:hAnsi="Arial" w:hint="default"/>
      </w:rPr>
    </w:lvl>
    <w:lvl w:ilvl="5" w:tplc="901E71C2" w:tentative="1">
      <w:start w:val="1"/>
      <w:numFmt w:val="bullet"/>
      <w:lvlText w:val="•"/>
      <w:lvlJc w:val="left"/>
      <w:pPr>
        <w:tabs>
          <w:tab w:val="num" w:pos="4320"/>
        </w:tabs>
        <w:ind w:left="4320" w:hanging="360"/>
      </w:pPr>
      <w:rPr>
        <w:rFonts w:ascii="Arial" w:hAnsi="Arial" w:hint="default"/>
      </w:rPr>
    </w:lvl>
    <w:lvl w:ilvl="6" w:tplc="924C06C2" w:tentative="1">
      <w:start w:val="1"/>
      <w:numFmt w:val="bullet"/>
      <w:lvlText w:val="•"/>
      <w:lvlJc w:val="left"/>
      <w:pPr>
        <w:tabs>
          <w:tab w:val="num" w:pos="5040"/>
        </w:tabs>
        <w:ind w:left="5040" w:hanging="360"/>
      </w:pPr>
      <w:rPr>
        <w:rFonts w:ascii="Arial" w:hAnsi="Arial" w:hint="default"/>
      </w:rPr>
    </w:lvl>
    <w:lvl w:ilvl="7" w:tplc="AC34F8B8" w:tentative="1">
      <w:start w:val="1"/>
      <w:numFmt w:val="bullet"/>
      <w:lvlText w:val="•"/>
      <w:lvlJc w:val="left"/>
      <w:pPr>
        <w:tabs>
          <w:tab w:val="num" w:pos="5760"/>
        </w:tabs>
        <w:ind w:left="5760" w:hanging="360"/>
      </w:pPr>
      <w:rPr>
        <w:rFonts w:ascii="Arial" w:hAnsi="Arial" w:hint="default"/>
      </w:rPr>
    </w:lvl>
    <w:lvl w:ilvl="8" w:tplc="352889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E00221"/>
    <w:multiLevelType w:val="hybridMultilevel"/>
    <w:tmpl w:val="D4DC735A"/>
    <w:lvl w:ilvl="0" w:tplc="E3548B06">
      <w:start w:val="1"/>
      <w:numFmt w:val="bullet"/>
      <w:lvlText w:val="•"/>
      <w:lvlJc w:val="left"/>
      <w:pPr>
        <w:tabs>
          <w:tab w:val="num" w:pos="720"/>
        </w:tabs>
        <w:ind w:left="720" w:hanging="360"/>
      </w:pPr>
      <w:rPr>
        <w:rFonts w:ascii="Arial" w:hAnsi="Arial" w:hint="default"/>
      </w:rPr>
    </w:lvl>
    <w:lvl w:ilvl="1" w:tplc="05AAC3D0">
      <w:start w:val="154"/>
      <w:numFmt w:val="bullet"/>
      <w:lvlText w:val="•"/>
      <w:lvlJc w:val="left"/>
      <w:pPr>
        <w:tabs>
          <w:tab w:val="num" w:pos="1440"/>
        </w:tabs>
        <w:ind w:left="1440" w:hanging="360"/>
      </w:pPr>
      <w:rPr>
        <w:rFonts w:ascii="Arial" w:hAnsi="Arial" w:hint="default"/>
      </w:rPr>
    </w:lvl>
    <w:lvl w:ilvl="2" w:tplc="83BAD484">
      <w:start w:val="154"/>
      <w:numFmt w:val="bullet"/>
      <w:lvlText w:val="•"/>
      <w:lvlJc w:val="left"/>
      <w:pPr>
        <w:tabs>
          <w:tab w:val="num" w:pos="2160"/>
        </w:tabs>
        <w:ind w:left="2160" w:hanging="360"/>
      </w:pPr>
      <w:rPr>
        <w:rFonts w:ascii="Arial" w:hAnsi="Arial" w:hint="default"/>
      </w:rPr>
    </w:lvl>
    <w:lvl w:ilvl="3" w:tplc="4A6CA03A" w:tentative="1">
      <w:start w:val="1"/>
      <w:numFmt w:val="bullet"/>
      <w:lvlText w:val="•"/>
      <w:lvlJc w:val="left"/>
      <w:pPr>
        <w:tabs>
          <w:tab w:val="num" w:pos="2880"/>
        </w:tabs>
        <w:ind w:left="2880" w:hanging="360"/>
      </w:pPr>
      <w:rPr>
        <w:rFonts w:ascii="Arial" w:hAnsi="Arial" w:hint="default"/>
      </w:rPr>
    </w:lvl>
    <w:lvl w:ilvl="4" w:tplc="5B10EC30" w:tentative="1">
      <w:start w:val="1"/>
      <w:numFmt w:val="bullet"/>
      <w:lvlText w:val="•"/>
      <w:lvlJc w:val="left"/>
      <w:pPr>
        <w:tabs>
          <w:tab w:val="num" w:pos="3600"/>
        </w:tabs>
        <w:ind w:left="3600" w:hanging="360"/>
      </w:pPr>
      <w:rPr>
        <w:rFonts w:ascii="Arial" w:hAnsi="Arial" w:hint="default"/>
      </w:rPr>
    </w:lvl>
    <w:lvl w:ilvl="5" w:tplc="990AC002" w:tentative="1">
      <w:start w:val="1"/>
      <w:numFmt w:val="bullet"/>
      <w:lvlText w:val="•"/>
      <w:lvlJc w:val="left"/>
      <w:pPr>
        <w:tabs>
          <w:tab w:val="num" w:pos="4320"/>
        </w:tabs>
        <w:ind w:left="4320" w:hanging="360"/>
      </w:pPr>
      <w:rPr>
        <w:rFonts w:ascii="Arial" w:hAnsi="Arial" w:hint="default"/>
      </w:rPr>
    </w:lvl>
    <w:lvl w:ilvl="6" w:tplc="86586E76" w:tentative="1">
      <w:start w:val="1"/>
      <w:numFmt w:val="bullet"/>
      <w:lvlText w:val="•"/>
      <w:lvlJc w:val="left"/>
      <w:pPr>
        <w:tabs>
          <w:tab w:val="num" w:pos="5040"/>
        </w:tabs>
        <w:ind w:left="5040" w:hanging="360"/>
      </w:pPr>
      <w:rPr>
        <w:rFonts w:ascii="Arial" w:hAnsi="Arial" w:hint="default"/>
      </w:rPr>
    </w:lvl>
    <w:lvl w:ilvl="7" w:tplc="336ACE34" w:tentative="1">
      <w:start w:val="1"/>
      <w:numFmt w:val="bullet"/>
      <w:lvlText w:val="•"/>
      <w:lvlJc w:val="left"/>
      <w:pPr>
        <w:tabs>
          <w:tab w:val="num" w:pos="5760"/>
        </w:tabs>
        <w:ind w:left="5760" w:hanging="360"/>
      </w:pPr>
      <w:rPr>
        <w:rFonts w:ascii="Arial" w:hAnsi="Arial" w:hint="default"/>
      </w:rPr>
    </w:lvl>
    <w:lvl w:ilvl="8" w:tplc="1F9E57D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2"/>
  </w:num>
  <w:num w:numId="3">
    <w:abstractNumId w:val="1"/>
  </w:num>
  <w:num w:numId="4">
    <w:abstractNumId w:val="4"/>
  </w:num>
  <w:num w:numId="5">
    <w:abstractNumId w:val="14"/>
  </w:num>
  <w:num w:numId="6">
    <w:abstractNumId w:val="3"/>
  </w:num>
  <w:num w:numId="7">
    <w:abstractNumId w:val="16"/>
  </w:num>
  <w:num w:numId="8">
    <w:abstractNumId w:val="6"/>
  </w:num>
  <w:num w:numId="9">
    <w:abstractNumId w:val="2"/>
  </w:num>
  <w:num w:numId="10">
    <w:abstractNumId w:val="10"/>
  </w:num>
  <w:num w:numId="11">
    <w:abstractNumId w:val="7"/>
  </w:num>
  <w:num w:numId="12">
    <w:abstractNumId w:val="5"/>
  </w:num>
  <w:num w:numId="13">
    <w:abstractNumId w:val="13"/>
  </w:num>
  <w:num w:numId="14">
    <w:abstractNumId w:val="8"/>
  </w:num>
  <w:num w:numId="15">
    <w:abstractNumId w:val="11"/>
  </w:num>
  <w:num w:numId="1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4B6"/>
    <w:rsid w:val="000067CB"/>
    <w:rsid w:val="00006855"/>
    <w:rsid w:val="000070AE"/>
    <w:rsid w:val="00007242"/>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6D44"/>
    <w:rsid w:val="00037E35"/>
    <w:rsid w:val="0004014B"/>
    <w:rsid w:val="00040A8B"/>
    <w:rsid w:val="00041118"/>
    <w:rsid w:val="000419EE"/>
    <w:rsid w:val="00041FD0"/>
    <w:rsid w:val="00042012"/>
    <w:rsid w:val="000423F4"/>
    <w:rsid w:val="000426D7"/>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536"/>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4949"/>
    <w:rsid w:val="000764C1"/>
    <w:rsid w:val="00077469"/>
    <w:rsid w:val="00077AA4"/>
    <w:rsid w:val="00080175"/>
    <w:rsid w:val="00081659"/>
    <w:rsid w:val="00082687"/>
    <w:rsid w:val="0008294B"/>
    <w:rsid w:val="00083785"/>
    <w:rsid w:val="00084646"/>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97F5F"/>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7D8"/>
    <w:rsid w:val="000F2E7D"/>
    <w:rsid w:val="000F39AD"/>
    <w:rsid w:val="000F4D23"/>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69D"/>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236"/>
    <w:rsid w:val="001957E8"/>
    <w:rsid w:val="0019656D"/>
    <w:rsid w:val="0019687B"/>
    <w:rsid w:val="00196A27"/>
    <w:rsid w:val="00196A44"/>
    <w:rsid w:val="00196B18"/>
    <w:rsid w:val="00197843"/>
    <w:rsid w:val="00197E7A"/>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9EE"/>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298D"/>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B8B"/>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2C51"/>
    <w:rsid w:val="002532B6"/>
    <w:rsid w:val="002537DE"/>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1E77"/>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20"/>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C55"/>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3FBB"/>
    <w:rsid w:val="003044DA"/>
    <w:rsid w:val="003044F0"/>
    <w:rsid w:val="00304609"/>
    <w:rsid w:val="00304B21"/>
    <w:rsid w:val="00305066"/>
    <w:rsid w:val="00305F8E"/>
    <w:rsid w:val="003066DA"/>
    <w:rsid w:val="0031003E"/>
    <w:rsid w:val="00310235"/>
    <w:rsid w:val="00310406"/>
    <w:rsid w:val="00310445"/>
    <w:rsid w:val="0031085C"/>
    <w:rsid w:val="00310E3F"/>
    <w:rsid w:val="00311781"/>
    <w:rsid w:val="0031329A"/>
    <w:rsid w:val="00313600"/>
    <w:rsid w:val="00313F73"/>
    <w:rsid w:val="0031485E"/>
    <w:rsid w:val="00314C98"/>
    <w:rsid w:val="00314CF8"/>
    <w:rsid w:val="003158C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CF2"/>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7B"/>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3EC0"/>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1FF"/>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6B55"/>
    <w:rsid w:val="00397694"/>
    <w:rsid w:val="00397D72"/>
    <w:rsid w:val="00397FAD"/>
    <w:rsid w:val="003A0424"/>
    <w:rsid w:val="003A0973"/>
    <w:rsid w:val="003A0E1C"/>
    <w:rsid w:val="003A0F51"/>
    <w:rsid w:val="003A1477"/>
    <w:rsid w:val="003A14B4"/>
    <w:rsid w:val="003A1846"/>
    <w:rsid w:val="003A1BB9"/>
    <w:rsid w:val="003A1DCC"/>
    <w:rsid w:val="003A24D1"/>
    <w:rsid w:val="003A380A"/>
    <w:rsid w:val="003A44F4"/>
    <w:rsid w:val="003A49A8"/>
    <w:rsid w:val="003A4F7D"/>
    <w:rsid w:val="003A5708"/>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B7E53"/>
    <w:rsid w:val="003C0721"/>
    <w:rsid w:val="003C1161"/>
    <w:rsid w:val="003C1E99"/>
    <w:rsid w:val="003C2325"/>
    <w:rsid w:val="003C23EA"/>
    <w:rsid w:val="003C3014"/>
    <w:rsid w:val="003C328F"/>
    <w:rsid w:val="003C3758"/>
    <w:rsid w:val="003C3B2D"/>
    <w:rsid w:val="003C4E5E"/>
    <w:rsid w:val="003C4E8D"/>
    <w:rsid w:val="003C629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67CD"/>
    <w:rsid w:val="003D77AD"/>
    <w:rsid w:val="003D7FB6"/>
    <w:rsid w:val="003E02D9"/>
    <w:rsid w:val="003E0553"/>
    <w:rsid w:val="003E0874"/>
    <w:rsid w:val="003E1699"/>
    <w:rsid w:val="003E17FD"/>
    <w:rsid w:val="003E1F1D"/>
    <w:rsid w:val="003E2188"/>
    <w:rsid w:val="003E23A6"/>
    <w:rsid w:val="003E27D1"/>
    <w:rsid w:val="003E44A9"/>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2DA"/>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2778F"/>
    <w:rsid w:val="004308CA"/>
    <w:rsid w:val="00430DA6"/>
    <w:rsid w:val="00431047"/>
    <w:rsid w:val="004310ED"/>
    <w:rsid w:val="00431955"/>
    <w:rsid w:val="00431B4C"/>
    <w:rsid w:val="00431C8A"/>
    <w:rsid w:val="0043262B"/>
    <w:rsid w:val="00432AF2"/>
    <w:rsid w:val="00432BE9"/>
    <w:rsid w:val="00434CF6"/>
    <w:rsid w:val="0043585C"/>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3B0"/>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8E3"/>
    <w:rsid w:val="00470FCF"/>
    <w:rsid w:val="00471CDF"/>
    <w:rsid w:val="004725E2"/>
    <w:rsid w:val="00473E09"/>
    <w:rsid w:val="00474361"/>
    <w:rsid w:val="00474E0B"/>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42D"/>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1D7A"/>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2930"/>
    <w:rsid w:val="005034C7"/>
    <w:rsid w:val="00503962"/>
    <w:rsid w:val="005045E9"/>
    <w:rsid w:val="00504623"/>
    <w:rsid w:val="005047C4"/>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27ED2"/>
    <w:rsid w:val="00530370"/>
    <w:rsid w:val="00530E5C"/>
    <w:rsid w:val="00530F08"/>
    <w:rsid w:val="0053159F"/>
    <w:rsid w:val="005316B7"/>
    <w:rsid w:val="005319DF"/>
    <w:rsid w:val="00531A8A"/>
    <w:rsid w:val="00531B26"/>
    <w:rsid w:val="005323EA"/>
    <w:rsid w:val="00532633"/>
    <w:rsid w:val="0053313B"/>
    <w:rsid w:val="00534686"/>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EDA"/>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1F1"/>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4DF7"/>
    <w:rsid w:val="005C50BF"/>
    <w:rsid w:val="005C54C8"/>
    <w:rsid w:val="005C5BF9"/>
    <w:rsid w:val="005C6E77"/>
    <w:rsid w:val="005C7B89"/>
    <w:rsid w:val="005D186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D59"/>
    <w:rsid w:val="005E0F57"/>
    <w:rsid w:val="005E29B3"/>
    <w:rsid w:val="005E2B81"/>
    <w:rsid w:val="005E5603"/>
    <w:rsid w:val="005E5871"/>
    <w:rsid w:val="005E5D1D"/>
    <w:rsid w:val="005E6799"/>
    <w:rsid w:val="005E6F30"/>
    <w:rsid w:val="005E7346"/>
    <w:rsid w:val="005E7479"/>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8AB"/>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C85"/>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2A2"/>
    <w:rsid w:val="00630348"/>
    <w:rsid w:val="00630705"/>
    <w:rsid w:val="00630ACD"/>
    <w:rsid w:val="00631342"/>
    <w:rsid w:val="0063143E"/>
    <w:rsid w:val="0063173C"/>
    <w:rsid w:val="0063176D"/>
    <w:rsid w:val="0063185F"/>
    <w:rsid w:val="00632258"/>
    <w:rsid w:val="0063266C"/>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3AF8"/>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9E"/>
    <w:rsid w:val="006871FA"/>
    <w:rsid w:val="006871FC"/>
    <w:rsid w:val="006902F8"/>
    <w:rsid w:val="006904B5"/>
    <w:rsid w:val="00691E87"/>
    <w:rsid w:val="0069201E"/>
    <w:rsid w:val="00692C17"/>
    <w:rsid w:val="00692C5D"/>
    <w:rsid w:val="00693216"/>
    <w:rsid w:val="0069335D"/>
    <w:rsid w:val="0069369C"/>
    <w:rsid w:val="00694055"/>
    <w:rsid w:val="00694E70"/>
    <w:rsid w:val="00695DB0"/>
    <w:rsid w:val="00695FF3"/>
    <w:rsid w:val="00696181"/>
    <w:rsid w:val="0069651F"/>
    <w:rsid w:val="00696F85"/>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5D1"/>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CE7"/>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1EC"/>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56D09"/>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584"/>
    <w:rsid w:val="007E1737"/>
    <w:rsid w:val="007E1B4F"/>
    <w:rsid w:val="007E23B0"/>
    <w:rsid w:val="007E28BC"/>
    <w:rsid w:val="007E2A53"/>
    <w:rsid w:val="007E38A4"/>
    <w:rsid w:val="007E396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391"/>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36F"/>
    <w:rsid w:val="0086784C"/>
    <w:rsid w:val="00867CEF"/>
    <w:rsid w:val="00870D0C"/>
    <w:rsid w:val="00870DAD"/>
    <w:rsid w:val="00870EED"/>
    <w:rsid w:val="00874331"/>
    <w:rsid w:val="00874E55"/>
    <w:rsid w:val="008756A7"/>
    <w:rsid w:val="00875A9F"/>
    <w:rsid w:val="0087652E"/>
    <w:rsid w:val="008767FD"/>
    <w:rsid w:val="008772B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96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1F1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315"/>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0A3C"/>
    <w:rsid w:val="0095249E"/>
    <w:rsid w:val="00953127"/>
    <w:rsid w:val="0095340C"/>
    <w:rsid w:val="009534C9"/>
    <w:rsid w:val="00953808"/>
    <w:rsid w:val="00954518"/>
    <w:rsid w:val="00954F17"/>
    <w:rsid w:val="009550FA"/>
    <w:rsid w:val="00955460"/>
    <w:rsid w:val="00955597"/>
    <w:rsid w:val="00955A1F"/>
    <w:rsid w:val="00956761"/>
    <w:rsid w:val="00956B4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6C"/>
    <w:rsid w:val="009815F2"/>
    <w:rsid w:val="0098240D"/>
    <w:rsid w:val="0098242D"/>
    <w:rsid w:val="00982F60"/>
    <w:rsid w:val="009831CE"/>
    <w:rsid w:val="0098341F"/>
    <w:rsid w:val="009837D6"/>
    <w:rsid w:val="00983908"/>
    <w:rsid w:val="0098424A"/>
    <w:rsid w:val="0098488C"/>
    <w:rsid w:val="00984B9E"/>
    <w:rsid w:val="009854C7"/>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021"/>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A58"/>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83"/>
    <w:rsid w:val="009F129D"/>
    <w:rsid w:val="009F16DD"/>
    <w:rsid w:val="009F23B2"/>
    <w:rsid w:val="009F3567"/>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02A"/>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2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5A"/>
    <w:rsid w:val="00A56C2C"/>
    <w:rsid w:val="00A56C6E"/>
    <w:rsid w:val="00A577EF"/>
    <w:rsid w:val="00A57A62"/>
    <w:rsid w:val="00A6064A"/>
    <w:rsid w:val="00A60EAB"/>
    <w:rsid w:val="00A6143D"/>
    <w:rsid w:val="00A61481"/>
    <w:rsid w:val="00A6169B"/>
    <w:rsid w:val="00A61C14"/>
    <w:rsid w:val="00A61EF5"/>
    <w:rsid w:val="00A62CDD"/>
    <w:rsid w:val="00A63B57"/>
    <w:rsid w:val="00A63B59"/>
    <w:rsid w:val="00A63EC3"/>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5FF2"/>
    <w:rsid w:val="00AA6129"/>
    <w:rsid w:val="00AA64BC"/>
    <w:rsid w:val="00AA6E5E"/>
    <w:rsid w:val="00AB1121"/>
    <w:rsid w:val="00AB22F2"/>
    <w:rsid w:val="00AB3285"/>
    <w:rsid w:val="00AB3C12"/>
    <w:rsid w:val="00AB42E0"/>
    <w:rsid w:val="00AB4754"/>
    <w:rsid w:val="00AB477B"/>
    <w:rsid w:val="00AB5DDD"/>
    <w:rsid w:val="00AB715A"/>
    <w:rsid w:val="00AB7589"/>
    <w:rsid w:val="00AB7807"/>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3C33"/>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5A92"/>
    <w:rsid w:val="00B2675D"/>
    <w:rsid w:val="00B272E8"/>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3EB"/>
    <w:rsid w:val="00B75879"/>
    <w:rsid w:val="00B7588D"/>
    <w:rsid w:val="00B75966"/>
    <w:rsid w:val="00B76475"/>
    <w:rsid w:val="00B77865"/>
    <w:rsid w:val="00B804CA"/>
    <w:rsid w:val="00B815B2"/>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925"/>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A8F"/>
    <w:rsid w:val="00BB5E0D"/>
    <w:rsid w:val="00BB621A"/>
    <w:rsid w:val="00BB6D01"/>
    <w:rsid w:val="00BB74EB"/>
    <w:rsid w:val="00BB7C16"/>
    <w:rsid w:val="00BB7D84"/>
    <w:rsid w:val="00BB7DD5"/>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5"/>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869"/>
    <w:rsid w:val="00BF2CF9"/>
    <w:rsid w:val="00BF37C9"/>
    <w:rsid w:val="00BF3A4A"/>
    <w:rsid w:val="00BF3ACA"/>
    <w:rsid w:val="00BF416F"/>
    <w:rsid w:val="00BF4527"/>
    <w:rsid w:val="00BF4FF7"/>
    <w:rsid w:val="00BF6F29"/>
    <w:rsid w:val="00BF74FB"/>
    <w:rsid w:val="00BF7D78"/>
    <w:rsid w:val="00BF7F65"/>
    <w:rsid w:val="00C009BF"/>
    <w:rsid w:val="00C009C0"/>
    <w:rsid w:val="00C00E74"/>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2ED5"/>
    <w:rsid w:val="00C14915"/>
    <w:rsid w:val="00C150BB"/>
    <w:rsid w:val="00C158D6"/>
    <w:rsid w:val="00C167E5"/>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50D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84A"/>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70B"/>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1C37"/>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7A"/>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5E3"/>
    <w:rsid w:val="00D541BD"/>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523A"/>
    <w:rsid w:val="00D661A7"/>
    <w:rsid w:val="00D66236"/>
    <w:rsid w:val="00D6696A"/>
    <w:rsid w:val="00D66D29"/>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EC"/>
    <w:rsid w:val="00DA4DEA"/>
    <w:rsid w:val="00DA58ED"/>
    <w:rsid w:val="00DA715B"/>
    <w:rsid w:val="00DA7556"/>
    <w:rsid w:val="00DA7D49"/>
    <w:rsid w:val="00DB093E"/>
    <w:rsid w:val="00DB1053"/>
    <w:rsid w:val="00DB1F22"/>
    <w:rsid w:val="00DB2027"/>
    <w:rsid w:val="00DB2832"/>
    <w:rsid w:val="00DB3017"/>
    <w:rsid w:val="00DB3142"/>
    <w:rsid w:val="00DB32CD"/>
    <w:rsid w:val="00DB39E4"/>
    <w:rsid w:val="00DB3B4F"/>
    <w:rsid w:val="00DB3B8E"/>
    <w:rsid w:val="00DB4183"/>
    <w:rsid w:val="00DB4307"/>
    <w:rsid w:val="00DB4B80"/>
    <w:rsid w:val="00DB647C"/>
    <w:rsid w:val="00DB6EBA"/>
    <w:rsid w:val="00DB6FBC"/>
    <w:rsid w:val="00DB745A"/>
    <w:rsid w:val="00DB7624"/>
    <w:rsid w:val="00DC00E6"/>
    <w:rsid w:val="00DC070A"/>
    <w:rsid w:val="00DC104B"/>
    <w:rsid w:val="00DC123F"/>
    <w:rsid w:val="00DC2DA7"/>
    <w:rsid w:val="00DC301E"/>
    <w:rsid w:val="00DC37DC"/>
    <w:rsid w:val="00DC3916"/>
    <w:rsid w:val="00DC3B48"/>
    <w:rsid w:val="00DC475D"/>
    <w:rsid w:val="00DC4D7C"/>
    <w:rsid w:val="00DC4F19"/>
    <w:rsid w:val="00DC4F40"/>
    <w:rsid w:val="00DC57F9"/>
    <w:rsid w:val="00DC747F"/>
    <w:rsid w:val="00DC75A8"/>
    <w:rsid w:val="00DC7CFE"/>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48C3"/>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E7BA0"/>
    <w:rsid w:val="00DF0407"/>
    <w:rsid w:val="00DF169D"/>
    <w:rsid w:val="00DF23DB"/>
    <w:rsid w:val="00DF2416"/>
    <w:rsid w:val="00DF2493"/>
    <w:rsid w:val="00DF27ED"/>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527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838"/>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08EF"/>
    <w:rsid w:val="00E61541"/>
    <w:rsid w:val="00E617A1"/>
    <w:rsid w:val="00E61B88"/>
    <w:rsid w:val="00E61CE8"/>
    <w:rsid w:val="00E61E3A"/>
    <w:rsid w:val="00E63625"/>
    <w:rsid w:val="00E63C89"/>
    <w:rsid w:val="00E6441C"/>
    <w:rsid w:val="00E64CCA"/>
    <w:rsid w:val="00E64E3D"/>
    <w:rsid w:val="00E64EF3"/>
    <w:rsid w:val="00E65516"/>
    <w:rsid w:val="00E65AD0"/>
    <w:rsid w:val="00E66081"/>
    <w:rsid w:val="00E674DC"/>
    <w:rsid w:val="00E702E8"/>
    <w:rsid w:val="00E707EE"/>
    <w:rsid w:val="00E710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3C46"/>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D93"/>
    <w:rsid w:val="00EE1EB6"/>
    <w:rsid w:val="00EE261F"/>
    <w:rsid w:val="00EE2B44"/>
    <w:rsid w:val="00EE36A5"/>
    <w:rsid w:val="00EE4216"/>
    <w:rsid w:val="00EE4E12"/>
    <w:rsid w:val="00EE52AE"/>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3084"/>
    <w:rsid w:val="00F753A8"/>
    <w:rsid w:val="00F7599E"/>
    <w:rsid w:val="00F75CD8"/>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A76"/>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1DD5"/>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5AFC"/>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4E1B"/>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E6A"/>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4589B"/>
  <w15:docId w15:val="{1CAE45D9-438A-4C89-A665-9C3D7413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4A9"/>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5614990">
      <w:bodyDiv w:val="1"/>
      <w:marLeft w:val="0"/>
      <w:marRight w:val="0"/>
      <w:marTop w:val="0"/>
      <w:marBottom w:val="0"/>
      <w:divBdr>
        <w:top w:val="none" w:sz="0" w:space="0" w:color="auto"/>
        <w:left w:val="none" w:sz="0" w:space="0" w:color="auto"/>
        <w:bottom w:val="none" w:sz="0" w:space="0" w:color="auto"/>
        <w:right w:val="none" w:sz="0" w:space="0" w:color="auto"/>
      </w:divBdr>
      <w:divsChild>
        <w:div w:id="77597703">
          <w:marLeft w:val="1080"/>
          <w:marRight w:val="0"/>
          <w:marTop w:val="100"/>
          <w:marBottom w:val="0"/>
          <w:divBdr>
            <w:top w:val="none" w:sz="0" w:space="0" w:color="auto"/>
            <w:left w:val="none" w:sz="0" w:space="0" w:color="auto"/>
            <w:bottom w:val="none" w:sz="0" w:space="0" w:color="auto"/>
            <w:right w:val="none" w:sz="0" w:space="0" w:color="auto"/>
          </w:divBdr>
        </w:div>
        <w:div w:id="153491166">
          <w:marLeft w:val="1080"/>
          <w:marRight w:val="0"/>
          <w:marTop w:val="100"/>
          <w:marBottom w:val="0"/>
          <w:divBdr>
            <w:top w:val="none" w:sz="0" w:space="0" w:color="auto"/>
            <w:left w:val="none" w:sz="0" w:space="0" w:color="auto"/>
            <w:bottom w:val="none" w:sz="0" w:space="0" w:color="auto"/>
            <w:right w:val="none" w:sz="0" w:space="0" w:color="auto"/>
          </w:divBdr>
        </w:div>
        <w:div w:id="689262579">
          <w:marLeft w:val="1080"/>
          <w:marRight w:val="0"/>
          <w:marTop w:val="100"/>
          <w:marBottom w:val="0"/>
          <w:divBdr>
            <w:top w:val="none" w:sz="0" w:space="0" w:color="auto"/>
            <w:left w:val="none" w:sz="0" w:space="0" w:color="auto"/>
            <w:bottom w:val="none" w:sz="0" w:space="0" w:color="auto"/>
            <w:right w:val="none" w:sz="0" w:space="0" w:color="auto"/>
          </w:divBdr>
        </w:div>
        <w:div w:id="755590074">
          <w:marLeft w:val="360"/>
          <w:marRight w:val="0"/>
          <w:marTop w:val="200"/>
          <w:marBottom w:val="0"/>
          <w:divBdr>
            <w:top w:val="none" w:sz="0" w:space="0" w:color="auto"/>
            <w:left w:val="none" w:sz="0" w:space="0" w:color="auto"/>
            <w:bottom w:val="none" w:sz="0" w:space="0" w:color="auto"/>
            <w:right w:val="none" w:sz="0" w:space="0" w:color="auto"/>
          </w:divBdr>
        </w:div>
        <w:div w:id="1325626293">
          <w:marLeft w:val="1800"/>
          <w:marRight w:val="0"/>
          <w:marTop w:val="100"/>
          <w:marBottom w:val="0"/>
          <w:divBdr>
            <w:top w:val="none" w:sz="0" w:space="0" w:color="auto"/>
            <w:left w:val="none" w:sz="0" w:space="0" w:color="auto"/>
            <w:bottom w:val="none" w:sz="0" w:space="0" w:color="auto"/>
            <w:right w:val="none" w:sz="0" w:space="0" w:color="auto"/>
          </w:divBdr>
        </w:div>
        <w:div w:id="1565336395">
          <w:marLeft w:val="1800"/>
          <w:marRight w:val="0"/>
          <w:marTop w:val="100"/>
          <w:marBottom w:val="0"/>
          <w:divBdr>
            <w:top w:val="none" w:sz="0" w:space="0" w:color="auto"/>
            <w:left w:val="none" w:sz="0" w:space="0" w:color="auto"/>
            <w:bottom w:val="none" w:sz="0" w:space="0" w:color="auto"/>
            <w:right w:val="none" w:sz="0" w:space="0" w:color="auto"/>
          </w:divBdr>
        </w:div>
        <w:div w:id="1762606395">
          <w:marLeft w:val="360"/>
          <w:marRight w:val="0"/>
          <w:marTop w:val="200"/>
          <w:marBottom w:val="0"/>
          <w:divBdr>
            <w:top w:val="none" w:sz="0" w:space="0" w:color="auto"/>
            <w:left w:val="none" w:sz="0" w:space="0" w:color="auto"/>
            <w:bottom w:val="none" w:sz="0" w:space="0" w:color="auto"/>
            <w:right w:val="none" w:sz="0" w:space="0" w:color="auto"/>
          </w:divBdr>
        </w:div>
        <w:div w:id="2057312405">
          <w:marLeft w:val="1080"/>
          <w:marRight w:val="0"/>
          <w:marTop w:val="100"/>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26525516">
      <w:bodyDiv w:val="1"/>
      <w:marLeft w:val="0"/>
      <w:marRight w:val="0"/>
      <w:marTop w:val="0"/>
      <w:marBottom w:val="0"/>
      <w:divBdr>
        <w:top w:val="none" w:sz="0" w:space="0" w:color="auto"/>
        <w:left w:val="none" w:sz="0" w:space="0" w:color="auto"/>
        <w:bottom w:val="none" w:sz="0" w:space="0" w:color="auto"/>
        <w:right w:val="none" w:sz="0" w:space="0" w:color="auto"/>
      </w:divBdr>
      <w:divsChild>
        <w:div w:id="8218113">
          <w:marLeft w:val="576"/>
          <w:marRight w:val="0"/>
          <w:marTop w:val="240"/>
          <w:marBottom w:val="0"/>
          <w:divBdr>
            <w:top w:val="none" w:sz="0" w:space="0" w:color="auto"/>
            <w:left w:val="none" w:sz="0" w:space="0" w:color="auto"/>
            <w:bottom w:val="none" w:sz="0" w:space="0" w:color="auto"/>
            <w:right w:val="none" w:sz="0" w:space="0" w:color="auto"/>
          </w:divBdr>
        </w:div>
        <w:div w:id="324089888">
          <w:marLeft w:val="1080"/>
          <w:marRight w:val="0"/>
          <w:marTop w:val="100"/>
          <w:marBottom w:val="0"/>
          <w:divBdr>
            <w:top w:val="none" w:sz="0" w:space="0" w:color="auto"/>
            <w:left w:val="none" w:sz="0" w:space="0" w:color="auto"/>
            <w:bottom w:val="none" w:sz="0" w:space="0" w:color="auto"/>
            <w:right w:val="none" w:sz="0" w:space="0" w:color="auto"/>
          </w:divBdr>
        </w:div>
        <w:div w:id="623318115">
          <w:marLeft w:val="1800"/>
          <w:marRight w:val="0"/>
          <w:marTop w:val="100"/>
          <w:marBottom w:val="0"/>
          <w:divBdr>
            <w:top w:val="none" w:sz="0" w:space="0" w:color="auto"/>
            <w:left w:val="none" w:sz="0" w:space="0" w:color="auto"/>
            <w:bottom w:val="none" w:sz="0" w:space="0" w:color="auto"/>
            <w:right w:val="none" w:sz="0" w:space="0" w:color="auto"/>
          </w:divBdr>
        </w:div>
        <w:div w:id="155001333">
          <w:marLeft w:val="576"/>
          <w:marRight w:val="0"/>
          <w:marTop w:val="240"/>
          <w:marBottom w:val="0"/>
          <w:divBdr>
            <w:top w:val="none" w:sz="0" w:space="0" w:color="auto"/>
            <w:left w:val="none" w:sz="0" w:space="0" w:color="auto"/>
            <w:bottom w:val="none" w:sz="0" w:space="0" w:color="auto"/>
            <w:right w:val="none" w:sz="0" w:space="0" w:color="auto"/>
          </w:divBdr>
        </w:div>
        <w:div w:id="1020547065">
          <w:marLeft w:val="1080"/>
          <w:marRight w:val="0"/>
          <w:marTop w:val="240"/>
          <w:marBottom w:val="0"/>
          <w:divBdr>
            <w:top w:val="none" w:sz="0" w:space="0" w:color="auto"/>
            <w:left w:val="none" w:sz="0" w:space="0" w:color="auto"/>
            <w:bottom w:val="none" w:sz="0" w:space="0" w:color="auto"/>
            <w:right w:val="none" w:sz="0" w:space="0" w:color="auto"/>
          </w:divBdr>
        </w:div>
        <w:div w:id="1631354214">
          <w:marLeft w:val="576"/>
          <w:marRight w:val="0"/>
          <w:marTop w:val="240"/>
          <w:marBottom w:val="0"/>
          <w:divBdr>
            <w:top w:val="none" w:sz="0" w:space="0" w:color="auto"/>
            <w:left w:val="none" w:sz="0" w:space="0" w:color="auto"/>
            <w:bottom w:val="none" w:sz="0" w:space="0" w:color="auto"/>
            <w:right w:val="none" w:sz="0" w:space="0" w:color="auto"/>
          </w:divBdr>
        </w:div>
        <w:div w:id="507643872">
          <w:marLeft w:val="1080"/>
          <w:marRight w:val="0"/>
          <w:marTop w:val="10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08094">
      <w:bodyDiv w:val="1"/>
      <w:marLeft w:val="0"/>
      <w:marRight w:val="0"/>
      <w:marTop w:val="0"/>
      <w:marBottom w:val="0"/>
      <w:divBdr>
        <w:top w:val="none" w:sz="0" w:space="0" w:color="auto"/>
        <w:left w:val="none" w:sz="0" w:space="0" w:color="auto"/>
        <w:bottom w:val="none" w:sz="0" w:space="0" w:color="auto"/>
        <w:right w:val="none" w:sz="0" w:space="0" w:color="auto"/>
      </w:divBdr>
      <w:divsChild>
        <w:div w:id="400254203">
          <w:marLeft w:val="360"/>
          <w:marRight w:val="0"/>
          <w:marTop w:val="200"/>
          <w:marBottom w:val="0"/>
          <w:divBdr>
            <w:top w:val="none" w:sz="0" w:space="0" w:color="auto"/>
            <w:left w:val="none" w:sz="0" w:space="0" w:color="auto"/>
            <w:bottom w:val="none" w:sz="0" w:space="0" w:color="auto"/>
            <w:right w:val="none" w:sz="0" w:space="0" w:color="auto"/>
          </w:divBdr>
        </w:div>
        <w:div w:id="874006086">
          <w:marLeft w:val="1080"/>
          <w:marRight w:val="0"/>
          <w:marTop w:val="100"/>
          <w:marBottom w:val="0"/>
          <w:divBdr>
            <w:top w:val="none" w:sz="0" w:space="0" w:color="auto"/>
            <w:left w:val="none" w:sz="0" w:space="0" w:color="auto"/>
            <w:bottom w:val="none" w:sz="0" w:space="0" w:color="auto"/>
            <w:right w:val="none" w:sz="0" w:space="0" w:color="auto"/>
          </w:divBdr>
        </w:div>
        <w:div w:id="985622440">
          <w:marLeft w:val="1080"/>
          <w:marRight w:val="0"/>
          <w:marTop w:val="100"/>
          <w:marBottom w:val="0"/>
          <w:divBdr>
            <w:top w:val="none" w:sz="0" w:space="0" w:color="auto"/>
            <w:left w:val="none" w:sz="0" w:space="0" w:color="auto"/>
            <w:bottom w:val="none" w:sz="0" w:space="0" w:color="auto"/>
            <w:right w:val="none" w:sz="0" w:space="0" w:color="auto"/>
          </w:divBdr>
        </w:div>
        <w:div w:id="1036661154">
          <w:marLeft w:val="1080"/>
          <w:marRight w:val="0"/>
          <w:marTop w:val="100"/>
          <w:marBottom w:val="0"/>
          <w:divBdr>
            <w:top w:val="none" w:sz="0" w:space="0" w:color="auto"/>
            <w:left w:val="none" w:sz="0" w:space="0" w:color="auto"/>
            <w:bottom w:val="none" w:sz="0" w:space="0" w:color="auto"/>
            <w:right w:val="none" w:sz="0" w:space="0" w:color="auto"/>
          </w:divBdr>
        </w:div>
      </w:divsChild>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6662962">
      <w:bodyDiv w:val="1"/>
      <w:marLeft w:val="0"/>
      <w:marRight w:val="0"/>
      <w:marTop w:val="0"/>
      <w:marBottom w:val="0"/>
      <w:divBdr>
        <w:top w:val="none" w:sz="0" w:space="0" w:color="auto"/>
        <w:left w:val="none" w:sz="0" w:space="0" w:color="auto"/>
        <w:bottom w:val="none" w:sz="0" w:space="0" w:color="auto"/>
        <w:right w:val="none" w:sz="0" w:space="0" w:color="auto"/>
      </w:divBdr>
      <w:divsChild>
        <w:div w:id="228662015">
          <w:marLeft w:val="1800"/>
          <w:marRight w:val="0"/>
          <w:marTop w:val="100"/>
          <w:marBottom w:val="0"/>
          <w:divBdr>
            <w:top w:val="none" w:sz="0" w:space="0" w:color="auto"/>
            <w:left w:val="none" w:sz="0" w:space="0" w:color="auto"/>
            <w:bottom w:val="none" w:sz="0" w:space="0" w:color="auto"/>
            <w:right w:val="none" w:sz="0" w:space="0" w:color="auto"/>
          </w:divBdr>
        </w:div>
        <w:div w:id="258218776">
          <w:marLeft w:val="360"/>
          <w:marRight w:val="0"/>
          <w:marTop w:val="200"/>
          <w:marBottom w:val="0"/>
          <w:divBdr>
            <w:top w:val="none" w:sz="0" w:space="0" w:color="auto"/>
            <w:left w:val="none" w:sz="0" w:space="0" w:color="auto"/>
            <w:bottom w:val="none" w:sz="0" w:space="0" w:color="auto"/>
            <w:right w:val="none" w:sz="0" w:space="0" w:color="auto"/>
          </w:divBdr>
        </w:div>
        <w:div w:id="507913739">
          <w:marLeft w:val="360"/>
          <w:marRight w:val="0"/>
          <w:marTop w:val="200"/>
          <w:marBottom w:val="0"/>
          <w:divBdr>
            <w:top w:val="none" w:sz="0" w:space="0" w:color="auto"/>
            <w:left w:val="none" w:sz="0" w:space="0" w:color="auto"/>
            <w:bottom w:val="none" w:sz="0" w:space="0" w:color="auto"/>
            <w:right w:val="none" w:sz="0" w:space="0" w:color="auto"/>
          </w:divBdr>
        </w:div>
        <w:div w:id="831457259">
          <w:marLeft w:val="1800"/>
          <w:marRight w:val="0"/>
          <w:marTop w:val="100"/>
          <w:marBottom w:val="0"/>
          <w:divBdr>
            <w:top w:val="none" w:sz="0" w:space="0" w:color="auto"/>
            <w:left w:val="none" w:sz="0" w:space="0" w:color="auto"/>
            <w:bottom w:val="none" w:sz="0" w:space="0" w:color="auto"/>
            <w:right w:val="none" w:sz="0" w:space="0" w:color="auto"/>
          </w:divBdr>
        </w:div>
        <w:div w:id="952514021">
          <w:marLeft w:val="1080"/>
          <w:marRight w:val="0"/>
          <w:marTop w:val="100"/>
          <w:marBottom w:val="0"/>
          <w:divBdr>
            <w:top w:val="none" w:sz="0" w:space="0" w:color="auto"/>
            <w:left w:val="none" w:sz="0" w:space="0" w:color="auto"/>
            <w:bottom w:val="none" w:sz="0" w:space="0" w:color="auto"/>
            <w:right w:val="none" w:sz="0" w:space="0" w:color="auto"/>
          </w:divBdr>
        </w:div>
        <w:div w:id="2106918804">
          <w:marLeft w:val="1800"/>
          <w:marRight w:val="0"/>
          <w:marTop w:val="10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18039843">
      <w:bodyDiv w:val="1"/>
      <w:marLeft w:val="0"/>
      <w:marRight w:val="0"/>
      <w:marTop w:val="0"/>
      <w:marBottom w:val="0"/>
      <w:divBdr>
        <w:top w:val="none" w:sz="0" w:space="0" w:color="auto"/>
        <w:left w:val="none" w:sz="0" w:space="0" w:color="auto"/>
        <w:bottom w:val="none" w:sz="0" w:space="0" w:color="auto"/>
        <w:right w:val="none" w:sz="0" w:space="0" w:color="auto"/>
      </w:divBdr>
      <w:divsChild>
        <w:div w:id="42291325">
          <w:marLeft w:val="1080"/>
          <w:marRight w:val="0"/>
          <w:marTop w:val="100"/>
          <w:marBottom w:val="0"/>
          <w:divBdr>
            <w:top w:val="none" w:sz="0" w:space="0" w:color="auto"/>
            <w:left w:val="none" w:sz="0" w:space="0" w:color="auto"/>
            <w:bottom w:val="none" w:sz="0" w:space="0" w:color="auto"/>
            <w:right w:val="none" w:sz="0" w:space="0" w:color="auto"/>
          </w:divBdr>
        </w:div>
        <w:div w:id="1290432838">
          <w:marLeft w:val="1080"/>
          <w:marRight w:val="0"/>
          <w:marTop w:val="100"/>
          <w:marBottom w:val="0"/>
          <w:divBdr>
            <w:top w:val="none" w:sz="0" w:space="0" w:color="auto"/>
            <w:left w:val="none" w:sz="0" w:space="0" w:color="auto"/>
            <w:bottom w:val="none" w:sz="0" w:space="0" w:color="auto"/>
            <w:right w:val="none" w:sz="0" w:space="0" w:color="auto"/>
          </w:divBdr>
        </w:div>
        <w:div w:id="583883650">
          <w:marLeft w:val="1080"/>
          <w:marRight w:val="0"/>
          <w:marTop w:val="100"/>
          <w:marBottom w:val="0"/>
          <w:divBdr>
            <w:top w:val="none" w:sz="0" w:space="0" w:color="auto"/>
            <w:left w:val="none" w:sz="0" w:space="0" w:color="auto"/>
            <w:bottom w:val="none" w:sz="0" w:space="0" w:color="auto"/>
            <w:right w:val="none" w:sz="0" w:space="0" w:color="auto"/>
          </w:divBdr>
        </w:div>
      </w:divsChild>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07385431">
      <w:bodyDiv w:val="1"/>
      <w:marLeft w:val="0"/>
      <w:marRight w:val="0"/>
      <w:marTop w:val="0"/>
      <w:marBottom w:val="0"/>
      <w:divBdr>
        <w:top w:val="none" w:sz="0" w:space="0" w:color="auto"/>
        <w:left w:val="none" w:sz="0" w:space="0" w:color="auto"/>
        <w:bottom w:val="none" w:sz="0" w:space="0" w:color="auto"/>
        <w:right w:val="none" w:sz="0" w:space="0" w:color="auto"/>
      </w:divBdr>
      <w:divsChild>
        <w:div w:id="62871236">
          <w:marLeft w:val="1080"/>
          <w:marRight w:val="0"/>
          <w:marTop w:val="100"/>
          <w:marBottom w:val="0"/>
          <w:divBdr>
            <w:top w:val="none" w:sz="0" w:space="0" w:color="auto"/>
            <w:left w:val="none" w:sz="0" w:space="0" w:color="auto"/>
            <w:bottom w:val="none" w:sz="0" w:space="0" w:color="auto"/>
            <w:right w:val="none" w:sz="0" w:space="0" w:color="auto"/>
          </w:divBdr>
        </w:div>
        <w:div w:id="177277626">
          <w:marLeft w:val="360"/>
          <w:marRight w:val="0"/>
          <w:marTop w:val="200"/>
          <w:marBottom w:val="0"/>
          <w:divBdr>
            <w:top w:val="none" w:sz="0" w:space="0" w:color="auto"/>
            <w:left w:val="none" w:sz="0" w:space="0" w:color="auto"/>
            <w:bottom w:val="none" w:sz="0" w:space="0" w:color="auto"/>
            <w:right w:val="none" w:sz="0" w:space="0" w:color="auto"/>
          </w:divBdr>
        </w:div>
        <w:div w:id="541989659">
          <w:marLeft w:val="1080"/>
          <w:marRight w:val="0"/>
          <w:marTop w:val="100"/>
          <w:marBottom w:val="0"/>
          <w:divBdr>
            <w:top w:val="none" w:sz="0" w:space="0" w:color="auto"/>
            <w:left w:val="none" w:sz="0" w:space="0" w:color="auto"/>
            <w:bottom w:val="none" w:sz="0" w:space="0" w:color="auto"/>
            <w:right w:val="none" w:sz="0" w:space="0" w:color="auto"/>
          </w:divBdr>
        </w:div>
        <w:div w:id="913512123">
          <w:marLeft w:val="1080"/>
          <w:marRight w:val="0"/>
          <w:marTop w:val="100"/>
          <w:marBottom w:val="0"/>
          <w:divBdr>
            <w:top w:val="none" w:sz="0" w:space="0" w:color="auto"/>
            <w:left w:val="none" w:sz="0" w:space="0" w:color="auto"/>
            <w:bottom w:val="none" w:sz="0" w:space="0" w:color="auto"/>
            <w:right w:val="none" w:sz="0" w:space="0" w:color="auto"/>
          </w:divBdr>
        </w:div>
        <w:div w:id="1476533128">
          <w:marLeft w:val="1080"/>
          <w:marRight w:val="0"/>
          <w:marTop w:val="100"/>
          <w:marBottom w:val="0"/>
          <w:divBdr>
            <w:top w:val="none" w:sz="0" w:space="0" w:color="auto"/>
            <w:left w:val="none" w:sz="0" w:space="0" w:color="auto"/>
            <w:bottom w:val="none" w:sz="0" w:space="0" w:color="auto"/>
            <w:right w:val="none" w:sz="0" w:space="0" w:color="auto"/>
          </w:divBdr>
        </w:div>
        <w:div w:id="1805465228">
          <w:marLeft w:val="360"/>
          <w:marRight w:val="0"/>
          <w:marTop w:val="200"/>
          <w:marBottom w:val="0"/>
          <w:divBdr>
            <w:top w:val="none" w:sz="0" w:space="0" w:color="auto"/>
            <w:left w:val="none" w:sz="0" w:space="0" w:color="auto"/>
            <w:bottom w:val="none" w:sz="0" w:space="0" w:color="auto"/>
            <w:right w:val="none" w:sz="0" w:space="0" w:color="auto"/>
          </w:divBdr>
        </w:div>
        <w:div w:id="2029482090">
          <w:marLeft w:val="1800"/>
          <w:marRight w:val="0"/>
          <w:marTop w:val="100"/>
          <w:marBottom w:val="0"/>
          <w:divBdr>
            <w:top w:val="none" w:sz="0" w:space="0" w:color="auto"/>
            <w:left w:val="none" w:sz="0" w:space="0" w:color="auto"/>
            <w:bottom w:val="none" w:sz="0" w:space="0" w:color="auto"/>
            <w:right w:val="none" w:sz="0" w:space="0" w:color="auto"/>
          </w:divBdr>
        </w:div>
      </w:divsChild>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3948094">
      <w:bodyDiv w:val="1"/>
      <w:marLeft w:val="0"/>
      <w:marRight w:val="0"/>
      <w:marTop w:val="0"/>
      <w:marBottom w:val="0"/>
      <w:divBdr>
        <w:top w:val="none" w:sz="0" w:space="0" w:color="auto"/>
        <w:left w:val="none" w:sz="0" w:space="0" w:color="auto"/>
        <w:bottom w:val="none" w:sz="0" w:space="0" w:color="auto"/>
        <w:right w:val="none" w:sz="0" w:space="0" w:color="auto"/>
      </w:divBdr>
      <w:divsChild>
        <w:div w:id="733434607">
          <w:marLeft w:val="1080"/>
          <w:marRight w:val="0"/>
          <w:marTop w:val="100"/>
          <w:marBottom w:val="0"/>
          <w:divBdr>
            <w:top w:val="none" w:sz="0" w:space="0" w:color="auto"/>
            <w:left w:val="none" w:sz="0" w:space="0" w:color="auto"/>
            <w:bottom w:val="none" w:sz="0" w:space="0" w:color="auto"/>
            <w:right w:val="none" w:sz="0" w:space="0" w:color="auto"/>
          </w:divBdr>
        </w:div>
        <w:div w:id="1878198915">
          <w:marLeft w:val="1080"/>
          <w:marRight w:val="0"/>
          <w:marTop w:val="100"/>
          <w:marBottom w:val="0"/>
          <w:divBdr>
            <w:top w:val="none" w:sz="0" w:space="0" w:color="auto"/>
            <w:left w:val="none" w:sz="0" w:space="0" w:color="auto"/>
            <w:bottom w:val="none" w:sz="0" w:space="0" w:color="auto"/>
            <w:right w:val="none" w:sz="0" w:space="0" w:color="auto"/>
          </w:divBdr>
        </w:div>
        <w:div w:id="1419249978">
          <w:marLeft w:val="1080"/>
          <w:marRight w:val="0"/>
          <w:marTop w:val="100"/>
          <w:marBottom w:val="0"/>
          <w:divBdr>
            <w:top w:val="none" w:sz="0" w:space="0" w:color="auto"/>
            <w:left w:val="none" w:sz="0" w:space="0" w:color="auto"/>
            <w:bottom w:val="none" w:sz="0" w:space="0" w:color="auto"/>
            <w:right w:val="none" w:sz="0" w:space="0" w:color="auto"/>
          </w:divBdr>
        </w:div>
        <w:div w:id="1377776110">
          <w:marLeft w:val="1080"/>
          <w:marRight w:val="0"/>
          <w:marTop w:val="100"/>
          <w:marBottom w:val="0"/>
          <w:divBdr>
            <w:top w:val="none" w:sz="0" w:space="0" w:color="auto"/>
            <w:left w:val="none" w:sz="0" w:space="0" w:color="auto"/>
            <w:bottom w:val="none" w:sz="0" w:space="0" w:color="auto"/>
            <w:right w:val="none" w:sz="0" w:space="0" w:color="auto"/>
          </w:divBdr>
        </w:div>
        <w:div w:id="1054819021">
          <w:marLeft w:val="1080"/>
          <w:marRight w:val="0"/>
          <w:marTop w:val="100"/>
          <w:marBottom w:val="0"/>
          <w:divBdr>
            <w:top w:val="none" w:sz="0" w:space="0" w:color="auto"/>
            <w:left w:val="none" w:sz="0" w:space="0" w:color="auto"/>
            <w:bottom w:val="none" w:sz="0" w:space="0" w:color="auto"/>
            <w:right w:val="none" w:sz="0" w:space="0" w:color="auto"/>
          </w:divBdr>
        </w:div>
      </w:divsChild>
    </w:div>
    <w:div w:id="1299385435">
      <w:bodyDiv w:val="1"/>
      <w:marLeft w:val="0"/>
      <w:marRight w:val="0"/>
      <w:marTop w:val="0"/>
      <w:marBottom w:val="0"/>
      <w:divBdr>
        <w:top w:val="none" w:sz="0" w:space="0" w:color="auto"/>
        <w:left w:val="none" w:sz="0" w:space="0" w:color="auto"/>
        <w:bottom w:val="none" w:sz="0" w:space="0" w:color="auto"/>
        <w:right w:val="none" w:sz="0" w:space="0" w:color="auto"/>
      </w:divBdr>
      <w:divsChild>
        <w:div w:id="846142044">
          <w:marLeft w:val="1296"/>
          <w:marRight w:val="0"/>
          <w:marTop w:val="100"/>
          <w:marBottom w:val="0"/>
          <w:divBdr>
            <w:top w:val="none" w:sz="0" w:space="0" w:color="auto"/>
            <w:left w:val="none" w:sz="0" w:space="0" w:color="auto"/>
            <w:bottom w:val="none" w:sz="0" w:space="0" w:color="auto"/>
            <w:right w:val="none" w:sz="0" w:space="0" w:color="auto"/>
          </w:divBdr>
        </w:div>
        <w:div w:id="2054497940">
          <w:marLeft w:val="576"/>
          <w:marRight w:val="0"/>
          <w:marTop w:val="2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485778025">
      <w:bodyDiv w:val="1"/>
      <w:marLeft w:val="0"/>
      <w:marRight w:val="0"/>
      <w:marTop w:val="0"/>
      <w:marBottom w:val="0"/>
      <w:divBdr>
        <w:top w:val="none" w:sz="0" w:space="0" w:color="auto"/>
        <w:left w:val="none" w:sz="0" w:space="0" w:color="auto"/>
        <w:bottom w:val="none" w:sz="0" w:space="0" w:color="auto"/>
        <w:right w:val="none" w:sz="0" w:space="0" w:color="auto"/>
      </w:divBdr>
      <w:divsChild>
        <w:div w:id="1234657950">
          <w:marLeft w:val="1080"/>
          <w:marRight w:val="0"/>
          <w:marTop w:val="100"/>
          <w:marBottom w:val="0"/>
          <w:divBdr>
            <w:top w:val="none" w:sz="0" w:space="0" w:color="auto"/>
            <w:left w:val="none" w:sz="0" w:space="0" w:color="auto"/>
            <w:bottom w:val="none" w:sz="0" w:space="0" w:color="auto"/>
            <w:right w:val="none" w:sz="0" w:space="0" w:color="auto"/>
          </w:divBdr>
        </w:div>
        <w:div w:id="17972632">
          <w:marLeft w:val="1800"/>
          <w:marRight w:val="0"/>
          <w:marTop w:val="100"/>
          <w:marBottom w:val="0"/>
          <w:divBdr>
            <w:top w:val="none" w:sz="0" w:space="0" w:color="auto"/>
            <w:left w:val="none" w:sz="0" w:space="0" w:color="auto"/>
            <w:bottom w:val="none" w:sz="0" w:space="0" w:color="auto"/>
            <w:right w:val="none" w:sz="0" w:space="0" w:color="auto"/>
          </w:divBdr>
        </w:div>
        <w:div w:id="1840273208">
          <w:marLeft w:val="1800"/>
          <w:marRight w:val="0"/>
          <w:marTop w:val="100"/>
          <w:marBottom w:val="0"/>
          <w:divBdr>
            <w:top w:val="none" w:sz="0" w:space="0" w:color="auto"/>
            <w:left w:val="none" w:sz="0" w:space="0" w:color="auto"/>
            <w:bottom w:val="none" w:sz="0" w:space="0" w:color="auto"/>
            <w:right w:val="none" w:sz="0" w:space="0" w:color="auto"/>
          </w:divBdr>
        </w:div>
        <w:div w:id="132410161">
          <w:marLeft w:val="1800"/>
          <w:marRight w:val="0"/>
          <w:marTop w:val="10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48178264">
      <w:bodyDiv w:val="1"/>
      <w:marLeft w:val="0"/>
      <w:marRight w:val="0"/>
      <w:marTop w:val="0"/>
      <w:marBottom w:val="0"/>
      <w:divBdr>
        <w:top w:val="none" w:sz="0" w:space="0" w:color="auto"/>
        <w:left w:val="none" w:sz="0" w:space="0" w:color="auto"/>
        <w:bottom w:val="none" w:sz="0" w:space="0" w:color="auto"/>
        <w:right w:val="none" w:sz="0" w:space="0" w:color="auto"/>
      </w:divBdr>
      <w:divsChild>
        <w:div w:id="1861507008">
          <w:marLeft w:val="1080"/>
          <w:marRight w:val="0"/>
          <w:marTop w:val="100"/>
          <w:marBottom w:val="0"/>
          <w:divBdr>
            <w:top w:val="none" w:sz="0" w:space="0" w:color="auto"/>
            <w:left w:val="none" w:sz="0" w:space="0" w:color="auto"/>
            <w:bottom w:val="none" w:sz="0" w:space="0" w:color="auto"/>
            <w:right w:val="none" w:sz="0" w:space="0" w:color="auto"/>
          </w:divBdr>
        </w:div>
        <w:div w:id="286086983">
          <w:marLeft w:val="1800"/>
          <w:marRight w:val="0"/>
          <w:marTop w:val="100"/>
          <w:marBottom w:val="0"/>
          <w:divBdr>
            <w:top w:val="none" w:sz="0" w:space="0" w:color="auto"/>
            <w:left w:val="none" w:sz="0" w:space="0" w:color="auto"/>
            <w:bottom w:val="none" w:sz="0" w:space="0" w:color="auto"/>
            <w:right w:val="none" w:sz="0" w:space="0" w:color="auto"/>
          </w:divBdr>
        </w:div>
        <w:div w:id="946933443">
          <w:marLeft w:val="1800"/>
          <w:marRight w:val="0"/>
          <w:marTop w:val="100"/>
          <w:marBottom w:val="0"/>
          <w:divBdr>
            <w:top w:val="none" w:sz="0" w:space="0" w:color="auto"/>
            <w:left w:val="none" w:sz="0" w:space="0" w:color="auto"/>
            <w:bottom w:val="none" w:sz="0" w:space="0" w:color="auto"/>
            <w:right w:val="none" w:sz="0" w:space="0" w:color="auto"/>
          </w:divBdr>
        </w:div>
        <w:div w:id="1305770767">
          <w:marLeft w:val="1080"/>
          <w:marRight w:val="0"/>
          <w:marTop w:val="100"/>
          <w:marBottom w:val="0"/>
          <w:divBdr>
            <w:top w:val="none" w:sz="0" w:space="0" w:color="auto"/>
            <w:left w:val="none" w:sz="0" w:space="0" w:color="auto"/>
            <w:bottom w:val="none" w:sz="0" w:space="0" w:color="auto"/>
            <w:right w:val="none" w:sz="0" w:space="0" w:color="auto"/>
          </w:divBdr>
        </w:div>
        <w:div w:id="1706246404">
          <w:marLeft w:val="1080"/>
          <w:marRight w:val="0"/>
          <w:marTop w:val="10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58073757">
      <w:bodyDiv w:val="1"/>
      <w:marLeft w:val="0"/>
      <w:marRight w:val="0"/>
      <w:marTop w:val="0"/>
      <w:marBottom w:val="0"/>
      <w:divBdr>
        <w:top w:val="none" w:sz="0" w:space="0" w:color="auto"/>
        <w:left w:val="none" w:sz="0" w:space="0" w:color="auto"/>
        <w:bottom w:val="none" w:sz="0" w:space="0" w:color="auto"/>
        <w:right w:val="none" w:sz="0" w:space="0" w:color="auto"/>
      </w:divBdr>
      <w:divsChild>
        <w:div w:id="699859390">
          <w:marLeft w:val="576"/>
          <w:marRight w:val="0"/>
          <w:marTop w:val="200"/>
          <w:marBottom w:val="0"/>
          <w:divBdr>
            <w:top w:val="none" w:sz="0" w:space="0" w:color="auto"/>
            <w:left w:val="none" w:sz="0" w:space="0" w:color="auto"/>
            <w:bottom w:val="none" w:sz="0" w:space="0" w:color="auto"/>
            <w:right w:val="none" w:sz="0" w:space="0" w:color="auto"/>
          </w:divBdr>
        </w:div>
        <w:div w:id="909849836">
          <w:marLeft w:val="576"/>
          <w:marRight w:val="0"/>
          <w:marTop w:val="200"/>
          <w:marBottom w:val="0"/>
          <w:divBdr>
            <w:top w:val="none" w:sz="0" w:space="0" w:color="auto"/>
            <w:left w:val="none" w:sz="0" w:space="0" w:color="auto"/>
            <w:bottom w:val="none" w:sz="0" w:space="0" w:color="auto"/>
            <w:right w:val="none" w:sz="0" w:space="0" w:color="auto"/>
          </w:divBdr>
        </w:div>
        <w:div w:id="1356734929">
          <w:marLeft w:val="576"/>
          <w:marRight w:val="0"/>
          <w:marTop w:val="200"/>
          <w:marBottom w:val="0"/>
          <w:divBdr>
            <w:top w:val="none" w:sz="0" w:space="0" w:color="auto"/>
            <w:left w:val="none" w:sz="0" w:space="0" w:color="auto"/>
            <w:bottom w:val="none" w:sz="0" w:space="0" w:color="auto"/>
            <w:right w:val="none" w:sz="0" w:space="0" w:color="auto"/>
          </w:divBdr>
        </w:div>
      </w:divsChild>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37822443">
      <w:bodyDiv w:val="1"/>
      <w:marLeft w:val="0"/>
      <w:marRight w:val="0"/>
      <w:marTop w:val="0"/>
      <w:marBottom w:val="0"/>
      <w:divBdr>
        <w:top w:val="none" w:sz="0" w:space="0" w:color="auto"/>
        <w:left w:val="none" w:sz="0" w:space="0" w:color="auto"/>
        <w:bottom w:val="none" w:sz="0" w:space="0" w:color="auto"/>
        <w:right w:val="none" w:sz="0" w:space="0" w:color="auto"/>
      </w:divBdr>
      <w:divsChild>
        <w:div w:id="1599873556">
          <w:marLeft w:val="1080"/>
          <w:marRight w:val="0"/>
          <w:marTop w:val="100"/>
          <w:marBottom w:val="0"/>
          <w:divBdr>
            <w:top w:val="none" w:sz="0" w:space="0" w:color="auto"/>
            <w:left w:val="none" w:sz="0" w:space="0" w:color="auto"/>
            <w:bottom w:val="none" w:sz="0" w:space="0" w:color="auto"/>
            <w:right w:val="none" w:sz="0" w:space="0" w:color="auto"/>
          </w:divBdr>
        </w:div>
        <w:div w:id="288636144">
          <w:marLeft w:val="1080"/>
          <w:marRight w:val="0"/>
          <w:marTop w:val="100"/>
          <w:marBottom w:val="0"/>
          <w:divBdr>
            <w:top w:val="none" w:sz="0" w:space="0" w:color="auto"/>
            <w:left w:val="none" w:sz="0" w:space="0" w:color="auto"/>
            <w:bottom w:val="none" w:sz="0" w:space="0" w:color="auto"/>
            <w:right w:val="none" w:sz="0" w:space="0" w:color="auto"/>
          </w:divBdr>
        </w:div>
        <w:div w:id="1948808032">
          <w:marLeft w:val="1080"/>
          <w:marRight w:val="0"/>
          <w:marTop w:val="100"/>
          <w:marBottom w:val="0"/>
          <w:divBdr>
            <w:top w:val="none" w:sz="0" w:space="0" w:color="auto"/>
            <w:left w:val="none" w:sz="0" w:space="0" w:color="auto"/>
            <w:bottom w:val="none" w:sz="0" w:space="0" w:color="auto"/>
            <w:right w:val="none" w:sz="0" w:space="0" w:color="auto"/>
          </w:divBdr>
        </w:div>
        <w:div w:id="609355949">
          <w:marLeft w:val="1080"/>
          <w:marRight w:val="0"/>
          <w:marTop w:val="100"/>
          <w:marBottom w:val="0"/>
          <w:divBdr>
            <w:top w:val="none" w:sz="0" w:space="0" w:color="auto"/>
            <w:left w:val="none" w:sz="0" w:space="0" w:color="auto"/>
            <w:bottom w:val="none" w:sz="0" w:space="0" w:color="auto"/>
            <w:right w:val="none" w:sz="0" w:space="0" w:color="auto"/>
          </w:divBdr>
        </w:div>
      </w:divsChild>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22044456">
      <w:bodyDiv w:val="1"/>
      <w:marLeft w:val="0"/>
      <w:marRight w:val="0"/>
      <w:marTop w:val="0"/>
      <w:marBottom w:val="0"/>
      <w:divBdr>
        <w:top w:val="none" w:sz="0" w:space="0" w:color="auto"/>
        <w:left w:val="none" w:sz="0" w:space="0" w:color="auto"/>
        <w:bottom w:val="none" w:sz="0" w:space="0" w:color="auto"/>
        <w:right w:val="none" w:sz="0" w:space="0" w:color="auto"/>
      </w:divBdr>
      <w:divsChild>
        <w:div w:id="1827504095">
          <w:marLeft w:val="1080"/>
          <w:marRight w:val="0"/>
          <w:marTop w:val="100"/>
          <w:marBottom w:val="0"/>
          <w:divBdr>
            <w:top w:val="none" w:sz="0" w:space="0" w:color="auto"/>
            <w:left w:val="none" w:sz="0" w:space="0" w:color="auto"/>
            <w:bottom w:val="none" w:sz="0" w:space="0" w:color="auto"/>
            <w:right w:val="none" w:sz="0" w:space="0" w:color="auto"/>
          </w:divBdr>
        </w:div>
        <w:div w:id="2112503723">
          <w:marLeft w:val="1080"/>
          <w:marRight w:val="0"/>
          <w:marTop w:val="100"/>
          <w:marBottom w:val="0"/>
          <w:divBdr>
            <w:top w:val="none" w:sz="0" w:space="0" w:color="auto"/>
            <w:left w:val="none" w:sz="0" w:space="0" w:color="auto"/>
            <w:bottom w:val="none" w:sz="0" w:space="0" w:color="auto"/>
            <w:right w:val="none" w:sz="0" w:space="0" w:color="auto"/>
          </w:divBdr>
        </w:div>
        <w:div w:id="589390356">
          <w:marLeft w:val="1800"/>
          <w:marRight w:val="0"/>
          <w:marTop w:val="100"/>
          <w:marBottom w:val="0"/>
          <w:divBdr>
            <w:top w:val="none" w:sz="0" w:space="0" w:color="auto"/>
            <w:left w:val="none" w:sz="0" w:space="0" w:color="auto"/>
            <w:bottom w:val="none" w:sz="0" w:space="0" w:color="auto"/>
            <w:right w:val="none" w:sz="0" w:space="0" w:color="auto"/>
          </w:divBdr>
        </w:div>
        <w:div w:id="1199008035">
          <w:marLeft w:val="1800"/>
          <w:marRight w:val="0"/>
          <w:marTop w:val="100"/>
          <w:marBottom w:val="0"/>
          <w:divBdr>
            <w:top w:val="none" w:sz="0" w:space="0" w:color="auto"/>
            <w:left w:val="none" w:sz="0" w:space="0" w:color="auto"/>
            <w:bottom w:val="none" w:sz="0" w:space="0" w:color="auto"/>
            <w:right w:val="none" w:sz="0" w:space="0" w:color="auto"/>
          </w:divBdr>
        </w:div>
        <w:div w:id="1784836046">
          <w:marLeft w:val="1080"/>
          <w:marRight w:val="0"/>
          <w:marTop w:val="100"/>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C53A6-0D5A-45E7-842C-831C60C8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2260</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Jackson Wang</cp:lastModifiedBy>
  <cp:revision>2</cp:revision>
  <cp:lastPrinted>2016-07-29T02:18:00Z</cp:lastPrinted>
  <dcterms:created xsi:type="dcterms:W3CDTF">2020-10-23T16:54:00Z</dcterms:created>
  <dcterms:modified xsi:type="dcterms:W3CDTF">2020-10-23T16:54:00Z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