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3F42" w14:textId="75ACD4CD" w:rsidR="00F714A7" w:rsidRPr="00714064" w:rsidRDefault="00F714A7" w:rsidP="00F714A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EC4C59" w:rsidRPr="00EC4C59">
        <w:rPr>
          <w:rFonts w:ascii="Arial" w:hAnsi="Arial" w:cs="Arial"/>
          <w:b/>
          <w:sz w:val="24"/>
          <w:szCs w:val="24"/>
          <w:lang w:val="en-US"/>
        </w:rPr>
        <w:t>R4-2011086</w:t>
      </w:r>
      <w:bookmarkStart w:id="2" w:name="_GoBack"/>
      <w:bookmarkEnd w:id="2"/>
    </w:p>
    <w:p w14:paraId="55489AE5" w14:textId="77777777" w:rsidR="00F714A7" w:rsidRPr="00714064" w:rsidRDefault="00F714A7" w:rsidP="00F714A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p w14:paraId="63686C3E" w14:textId="77777777" w:rsidR="00DF0231" w:rsidRPr="00F714A7" w:rsidRDefault="00DF0231" w:rsidP="00DF0231">
      <w:pPr>
        <w:pStyle w:val="a3"/>
        <w:rPr>
          <w:rFonts w:eastAsia="宋体"/>
          <w:noProof w:val="0"/>
          <w:sz w:val="24"/>
          <w:szCs w:val="24"/>
          <w:lang w:eastAsia="zh-CN"/>
        </w:rPr>
      </w:pP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68B111D5"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06B71">
        <w:rPr>
          <w:rFonts w:ascii="Arial" w:hAnsi="Arial"/>
          <w:sz w:val="24"/>
          <w:lang w:val="en-US"/>
        </w:rPr>
        <w:t>7.1.5.</w:t>
      </w:r>
      <w:r w:rsidR="000121CC">
        <w:rPr>
          <w:rFonts w:ascii="Arial" w:hAnsi="Arial"/>
          <w:sz w:val="24"/>
          <w:lang w:val="en-US"/>
        </w:rPr>
        <w:t>1</w:t>
      </w:r>
      <w:r w:rsidR="00FD27FB">
        <w:rPr>
          <w:rFonts w:ascii="Arial" w:hAnsi="Arial"/>
          <w:sz w:val="24"/>
          <w:lang w:val="en-US"/>
        </w:rPr>
        <w:t>3</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3D40B74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53A4A" w:rsidRPr="00D53A4A">
        <w:rPr>
          <w:rFonts w:ascii="Arial" w:hAnsi="Arial"/>
          <w:sz w:val="24"/>
          <w:lang w:val="en-US"/>
        </w:rPr>
        <w:t>Discussion on</w:t>
      </w:r>
      <w:r w:rsidR="00FD27FB">
        <w:rPr>
          <w:rFonts w:ascii="Arial" w:hAnsi="Arial"/>
          <w:sz w:val="24"/>
          <w:lang w:val="en-US"/>
        </w:rPr>
        <w:t xml:space="preserve"> RSSI and CO</w:t>
      </w:r>
      <w:r w:rsidR="00D53A4A" w:rsidRPr="00D53A4A">
        <w:rPr>
          <w:rFonts w:ascii="Arial" w:hAnsi="Arial"/>
          <w:sz w:val="24"/>
          <w:lang w:val="en-US"/>
        </w:rPr>
        <w:t xml:space="preserve"> </w:t>
      </w:r>
      <w:r w:rsidR="00F15C9D" w:rsidRPr="00F15C9D">
        <w:rPr>
          <w:rFonts w:ascii="Arial" w:hAnsi="Arial" w:hint="eastAsia"/>
          <w:sz w:val="24"/>
          <w:lang w:val="en-US"/>
        </w:rPr>
        <w:t>measurement</w:t>
      </w:r>
      <w:r w:rsidR="00D53A4A" w:rsidRPr="00D53A4A">
        <w:rPr>
          <w:rFonts w:ascii="Arial" w:hAnsi="Arial"/>
          <w:sz w:val="24"/>
          <w:lang w:val="en-US"/>
        </w:rPr>
        <w:t xml:space="preserve"> 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79853C55"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F714A7">
        <w:rPr>
          <w:rFonts w:eastAsiaTheme="minorEastAsia"/>
          <w:lang w:val="en-US" w:eastAsia="zh-CN"/>
        </w:rPr>
        <w:t>5e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E775B2">
        <w:rPr>
          <w:rFonts w:eastAsiaTheme="minorEastAsia"/>
          <w:lang w:val="en-US" w:eastAsia="zh-CN"/>
        </w:rPr>
        <w:t xml:space="preserve"> for </w:t>
      </w:r>
      <w:r w:rsidR="00FD27FB">
        <w:rPr>
          <w:rFonts w:eastAsiaTheme="minorEastAsia"/>
          <w:lang w:val="en-US" w:eastAsia="zh-CN"/>
        </w:rPr>
        <w:t xml:space="preserve">RSSI and CO </w:t>
      </w:r>
      <w:r w:rsidR="00F15C9D">
        <w:rPr>
          <w:rFonts w:eastAsiaTheme="minorEastAsia" w:hint="eastAsia"/>
          <w:lang w:val="en-US" w:eastAsia="zh-CN"/>
        </w:rPr>
        <w:t>measurement</w:t>
      </w:r>
      <w:r w:rsidR="00D53A4A">
        <w:rPr>
          <w:rFonts w:eastAsiaTheme="minorEastAsia"/>
          <w:lang w:val="en-US" w:eastAsia="zh-CN"/>
        </w:rPr>
        <w:t xml:space="preserve"> in NR-U</w:t>
      </w:r>
      <w:r w:rsidR="00E775B2">
        <w:rPr>
          <w:rFonts w:eastAsiaTheme="minorEastAsia"/>
          <w:lang w:val="en-US" w:eastAsia="zh-CN"/>
        </w:rPr>
        <w:t xml:space="preserve"> were discussed</w:t>
      </w:r>
      <w:r w:rsidR="00D53A4A">
        <w:rPr>
          <w:rFonts w:eastAsiaTheme="minorEastAsia"/>
          <w:lang w:val="en-US" w:eastAsia="zh-CN"/>
        </w:rPr>
        <w:t xml:space="preserve"> with agreements captured in</w:t>
      </w:r>
      <w:r w:rsidR="00FD345B">
        <w:rPr>
          <w:rFonts w:eastAsiaTheme="minorEastAsia"/>
          <w:lang w:val="en-US" w:eastAsia="zh-CN"/>
        </w:rPr>
        <w:t xml:space="preserve"> [1]</w:t>
      </w:r>
      <w:r w:rsidR="00E775B2">
        <w:rPr>
          <w:rFonts w:eastAsiaTheme="minorEastAsia"/>
          <w:lang w:val="en-US" w:eastAsia="zh-CN"/>
        </w:rPr>
        <w:t>. In this paper, we further present our views on the remaining issue</w:t>
      </w:r>
      <w:r w:rsidR="00D53A4A">
        <w:rPr>
          <w:rFonts w:eastAsiaTheme="minorEastAsia"/>
          <w:lang w:val="en-US" w:eastAsia="zh-CN"/>
        </w:rPr>
        <w:t>s</w:t>
      </w:r>
      <w:r w:rsidR="00E775B2">
        <w:rPr>
          <w:rFonts w:eastAsiaTheme="minorEastAsia"/>
          <w:lang w:val="en-US" w:eastAsia="zh-CN"/>
        </w:rPr>
        <w:t>.</w:t>
      </w:r>
      <w:r w:rsidR="007200C7">
        <w:rPr>
          <w:rFonts w:eastAsiaTheme="minorEastAsia"/>
          <w:lang w:val="en-US" w:eastAsia="zh-CN"/>
        </w:rPr>
        <w:t xml:space="preserve"> </w:t>
      </w:r>
    </w:p>
    <w:p w14:paraId="315A6EAB" w14:textId="77777777" w:rsidR="008215C5" w:rsidRDefault="008215C5" w:rsidP="008215C5">
      <w:pPr>
        <w:rPr>
          <w:rFonts w:eastAsiaTheme="minorEastAsia"/>
          <w:lang w:val="en-US" w:eastAsia="zh-CN"/>
        </w:rPr>
      </w:pPr>
      <w:r>
        <w:rPr>
          <w:rFonts w:eastAsiaTheme="minorEastAsia" w:hint="eastAsia"/>
          <w:lang w:val="en-US" w:eastAsia="zh-CN"/>
        </w:rPr>
        <w:t xml:space="preserve">Following the </w:t>
      </w:r>
      <w:r>
        <w:rPr>
          <w:rFonts w:eastAsiaTheme="minorEastAsia"/>
          <w:lang w:val="en-US" w:eastAsia="zh-CN"/>
        </w:rPr>
        <w:t xml:space="preserve">guidance </w:t>
      </w:r>
      <w:r>
        <w:rPr>
          <w:rFonts w:eastAsiaTheme="minorEastAsia" w:hint="eastAsia"/>
          <w:lang w:val="en-US" w:eastAsia="zh-CN"/>
        </w:rPr>
        <w:t>of RP#88e</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the RSSI related requirements are considered as stretch goals. As the RSSI and CO measurement are important for unlicensed spectrum, we present our views about the remaining issues and possible way forward and try to conclude it in the remaining RAN4 meeting.</w:t>
      </w:r>
    </w:p>
    <w:p w14:paraId="75546EC2" w14:textId="77777777" w:rsidR="008215C5" w:rsidRDefault="008215C5" w:rsidP="008215C5">
      <w:pPr>
        <w:rPr>
          <w:rFonts w:eastAsiaTheme="minorEastAsia"/>
          <w:lang w:val="en-US" w:eastAsia="zh-CN"/>
        </w:rPr>
      </w:pPr>
      <w:r>
        <w:rPr>
          <w:rFonts w:eastAsiaTheme="minorEastAsia"/>
          <w:lang w:val="en-US" w:eastAsia="zh-CN"/>
        </w:rPr>
        <w:t>Based on the discussion in the last RAN4#95e meeting, the agreements and remaining issues are listed as follows:</w:t>
      </w:r>
    </w:p>
    <w:tbl>
      <w:tblPr>
        <w:tblStyle w:val="a7"/>
        <w:tblW w:w="0" w:type="auto"/>
        <w:tblLook w:val="04A0" w:firstRow="1" w:lastRow="0" w:firstColumn="1" w:lastColumn="0" w:noHBand="0" w:noVBand="1"/>
      </w:tblPr>
      <w:tblGrid>
        <w:gridCol w:w="9562"/>
      </w:tblGrid>
      <w:tr w:rsidR="008215C5" w14:paraId="6E9C5FED" w14:textId="77777777" w:rsidTr="009008C5">
        <w:tc>
          <w:tcPr>
            <w:tcW w:w="9562" w:type="dxa"/>
          </w:tcPr>
          <w:p w14:paraId="432A041C"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b/>
                <w:bCs/>
                <w:i/>
                <w:iCs/>
                <w:sz w:val="22"/>
                <w:szCs w:val="22"/>
                <w:lang w:val="en-US" w:eastAsia="zh-CN"/>
              </w:rPr>
              <w:t>Issue 3-1-1: Intra-frequency and inter-frequency RSSI definition</w:t>
            </w:r>
          </w:p>
          <w:p w14:paraId="3DEC74EC"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eastAsia="zh-CN"/>
              </w:rPr>
              <w:t>An intra-frequency RSSI measurement is defined when:</w:t>
            </w:r>
          </w:p>
          <w:p w14:paraId="334E57E7"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eastAsia="zh-CN"/>
              </w:rPr>
              <w:t xml:space="preserve">RSSI channel BW is contained within the channel/carrier BW of the UE. </w:t>
            </w:r>
          </w:p>
          <w:p w14:paraId="5F8F0E69"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eastAsia="zh-CN"/>
              </w:rPr>
              <w:t>Further study whether to include SCS conditions into the definition and how to handle RSSI measurements under assumption of different SCS in RSSI, active BWP, etc.</w:t>
            </w:r>
          </w:p>
          <w:p w14:paraId="0E28B5A7"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sz w:val="22"/>
                <w:szCs w:val="22"/>
                <w:lang w:val="da-DK" w:eastAsia="zh-CN"/>
              </w:rPr>
              <w:t>Options discussed in RAN4 95:</w:t>
            </w:r>
          </w:p>
          <w:p w14:paraId="4ACD8389"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t>Option 2a:  RMTC configured SCS is the same as the SCS of active BWP</w:t>
            </w:r>
          </w:p>
          <w:p w14:paraId="493BFDA1"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t>Option 2b: the SCS of the RSSI measurement is the same as the SCS of an intra-frequency SSB or CSI-RS</w:t>
            </w:r>
          </w:p>
          <w:p w14:paraId="1D7DE1AE"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t>Option 2c: No additional condition is needed.</w:t>
            </w:r>
          </w:p>
          <w:p w14:paraId="0147A209"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t>Option 2d: the SCS configured for the RSSI measurement is the same as the SCS of a serving cell, where the SCS of a serving cell is FFS.</w:t>
            </w:r>
          </w:p>
          <w:p w14:paraId="341FF43C"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eastAsia="zh-CN"/>
              </w:rPr>
              <w:t>RAN4 requirements will be defined for all RMTC configurations.</w:t>
            </w:r>
          </w:p>
          <w:p w14:paraId="48E967C8"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b/>
                <w:bCs/>
                <w:i/>
                <w:iCs/>
                <w:sz w:val="22"/>
                <w:szCs w:val="22"/>
                <w:lang w:val="en-US" w:eastAsia="zh-CN"/>
              </w:rPr>
              <w:t>Issue 3-2-1: CSSF definition</w:t>
            </w:r>
          </w:p>
          <w:p w14:paraId="3D3F3BA9"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t>At least for CSSF within measurement gaps, CSSF needs to be adapted for NR-U to account for RSSI measurements in RMTC in addition to other NR-U measurements in SMTC.</w:t>
            </w:r>
          </w:p>
          <w:p w14:paraId="3DE09604"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t>FFS: whether CSSF needs to be adapted for CSSF outside measurement gaps.</w:t>
            </w:r>
          </w:p>
          <w:p w14:paraId="6BE7E633"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b/>
                <w:bCs/>
                <w:i/>
                <w:iCs/>
                <w:sz w:val="22"/>
                <w:szCs w:val="22"/>
                <w:lang w:val="en-US" w:eastAsia="zh-CN"/>
              </w:rPr>
              <w:t>Issue 3-1-2: Need of measurement Gaps during RSSI measurements</w:t>
            </w:r>
          </w:p>
          <w:p w14:paraId="3A772F0F"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val="en-US" w:eastAsia="zh-CN"/>
              </w:rPr>
              <w:t>Measurement gaps are needed at least when:</w:t>
            </w:r>
          </w:p>
          <w:p w14:paraId="09552819"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t xml:space="preserve">RSSI BW </w:t>
            </w:r>
            <w:r w:rsidRPr="00383836">
              <w:rPr>
                <w:rFonts w:eastAsia="宋体"/>
                <w:i/>
                <w:iCs/>
                <w:sz w:val="22"/>
                <w:szCs w:val="22"/>
                <w:u w:val="single"/>
                <w:lang w:val="en-US" w:eastAsia="zh-CN"/>
              </w:rPr>
              <w:t>is not fully within</w:t>
            </w:r>
            <w:r w:rsidRPr="00383836">
              <w:rPr>
                <w:rFonts w:eastAsia="宋体"/>
                <w:i/>
                <w:iCs/>
                <w:sz w:val="22"/>
                <w:szCs w:val="22"/>
                <w:lang w:val="en-US" w:eastAsia="zh-CN"/>
              </w:rPr>
              <w:t xml:space="preserve"> the active BWP of the UE.</w:t>
            </w:r>
          </w:p>
          <w:p w14:paraId="22EFEBCD"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val="en-US" w:eastAsia="zh-CN"/>
              </w:rPr>
              <w:t>o</w:t>
            </w:r>
            <w:r w:rsidRPr="00383836">
              <w:rPr>
                <w:rFonts w:eastAsia="宋体"/>
                <w:i/>
                <w:iCs/>
                <w:sz w:val="22"/>
                <w:szCs w:val="22"/>
                <w:lang w:val="en-US" w:eastAsia="zh-CN"/>
              </w:rPr>
              <w:tab/>
              <w:t>FFS: if another condition is needed.</w:t>
            </w:r>
          </w:p>
          <w:p w14:paraId="6935CB19"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b/>
                <w:bCs/>
                <w:i/>
                <w:iCs/>
                <w:sz w:val="22"/>
                <w:szCs w:val="22"/>
                <w:lang w:val="en-US" w:eastAsia="zh-CN"/>
              </w:rPr>
              <w:t>Issue 3-3-1: RSSI Reporting criteria</w:t>
            </w:r>
          </w:p>
          <w:p w14:paraId="4FBD5DB1"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val="en-US" w:eastAsia="zh-CN"/>
              </w:rPr>
              <w:t xml:space="preserve">With </w:t>
            </w:r>
            <w:proofErr w:type="spellStart"/>
            <w:r w:rsidRPr="00383836">
              <w:rPr>
                <w:rFonts w:eastAsia="宋体"/>
                <w:i/>
                <w:iCs/>
                <w:sz w:val="22"/>
                <w:szCs w:val="22"/>
                <w:lang w:val="en-US" w:eastAsia="zh-CN"/>
              </w:rPr>
              <w:t>Ecat</w:t>
            </w:r>
            <w:proofErr w:type="spellEnd"/>
            <w:r w:rsidRPr="00383836">
              <w:rPr>
                <w:rFonts w:eastAsia="宋体"/>
                <w:i/>
                <w:iCs/>
                <w:sz w:val="22"/>
                <w:szCs w:val="22"/>
                <w:lang w:val="en-US" w:eastAsia="zh-CN"/>
              </w:rPr>
              <w:t>=1, 1 report for RSSI and channel occupancy measurements is capable of 1 RSSI measurement and 1 channel occupancy measurement over a channel [TS 37.213] with CCA.</w:t>
            </w:r>
          </w:p>
          <w:p w14:paraId="2EC02073" w14:textId="77777777" w:rsidR="008215C5" w:rsidRDefault="008215C5" w:rsidP="009008C5">
            <w:pPr>
              <w:overflowPunct w:val="0"/>
              <w:spacing w:after="0"/>
              <w:rPr>
                <w:rFonts w:eastAsia="宋体"/>
                <w:sz w:val="22"/>
                <w:szCs w:val="22"/>
                <w:lang w:val="en-US" w:eastAsia="zh-CN"/>
              </w:rPr>
            </w:pPr>
          </w:p>
          <w:p w14:paraId="1BA9AAC1" w14:textId="77777777" w:rsidR="008215C5" w:rsidRPr="00383836" w:rsidRDefault="008215C5" w:rsidP="009008C5">
            <w:pPr>
              <w:overflowPunct w:val="0"/>
              <w:spacing w:after="0"/>
              <w:rPr>
                <w:rFonts w:eastAsia="宋体"/>
                <w:sz w:val="22"/>
                <w:szCs w:val="22"/>
                <w:lang w:val="en-US" w:eastAsia="zh-CN"/>
              </w:rPr>
            </w:pPr>
            <w:r w:rsidRPr="00383836">
              <w:rPr>
                <w:rFonts w:eastAsia="宋体"/>
                <w:sz w:val="22"/>
                <w:szCs w:val="22"/>
                <w:lang w:val="en-US" w:eastAsia="zh-CN"/>
              </w:rPr>
              <w:t>Open issues FFS:</w:t>
            </w:r>
          </w:p>
          <w:p w14:paraId="570872D2"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b/>
                <w:bCs/>
                <w:i/>
                <w:iCs/>
                <w:sz w:val="22"/>
                <w:szCs w:val="22"/>
                <w:lang w:val="en-US" w:eastAsia="zh-CN"/>
              </w:rPr>
              <w:t>Issue 2-4-6: Scheduling restriction during RSSI/CO measurements</w:t>
            </w:r>
          </w:p>
          <w:p w14:paraId="7A29D1C7"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val="en-US" w:eastAsia="zh-CN"/>
              </w:rPr>
              <w:t xml:space="preserve">Candidate Options: </w:t>
            </w:r>
          </w:p>
          <w:p w14:paraId="3161CA49"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t xml:space="preserve">Option 1: Define scheduling restriction during RSSI/CO measurements and differentiate the cases where </w:t>
            </w:r>
            <w:proofErr w:type="spellStart"/>
            <w:r w:rsidRPr="00383836">
              <w:rPr>
                <w:rFonts w:eastAsia="宋体"/>
                <w:i/>
                <w:iCs/>
                <w:sz w:val="22"/>
                <w:szCs w:val="22"/>
                <w:lang w:val="en-US" w:eastAsia="zh-CN"/>
              </w:rPr>
              <w:t>deriveSSB_IndexFromCell</w:t>
            </w:r>
            <w:proofErr w:type="spellEnd"/>
            <w:r w:rsidRPr="00383836">
              <w:rPr>
                <w:rFonts w:eastAsia="宋体"/>
                <w:i/>
                <w:iCs/>
                <w:sz w:val="22"/>
                <w:szCs w:val="22"/>
                <w:lang w:val="en-US" w:eastAsia="zh-CN"/>
              </w:rPr>
              <w:t xml:space="preserve"> is enabled or not for the definition of scheduling restrictions during RSSI/CO measurements.</w:t>
            </w:r>
          </w:p>
          <w:p w14:paraId="0F9A2A44"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lastRenderedPageBreak/>
              <w:t xml:space="preserve">Option 2: Define scheduling restriction during RSSI/CO measurements and  do not define differentiation between the cases in which </w:t>
            </w:r>
            <w:proofErr w:type="spellStart"/>
            <w:r w:rsidRPr="00383836">
              <w:rPr>
                <w:rFonts w:eastAsia="宋体"/>
                <w:i/>
                <w:iCs/>
                <w:sz w:val="22"/>
                <w:szCs w:val="22"/>
                <w:lang w:val="en-US" w:eastAsia="zh-CN"/>
              </w:rPr>
              <w:t>deriveSSB_IndexFromCell</w:t>
            </w:r>
            <w:proofErr w:type="spellEnd"/>
            <w:r w:rsidRPr="00383836">
              <w:rPr>
                <w:rFonts w:eastAsia="宋体"/>
                <w:i/>
                <w:iCs/>
                <w:sz w:val="22"/>
                <w:szCs w:val="22"/>
                <w:lang w:val="en-US" w:eastAsia="zh-CN"/>
              </w:rPr>
              <w:t xml:space="preserve"> is enabled or not for the definition of scheduling restrictions during RSSI/CO measurements</w:t>
            </w:r>
          </w:p>
          <w:p w14:paraId="28541AB7"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t>Option 3: No need to define scheduling restrictions for RSSI measurements in NR-U.</w:t>
            </w:r>
          </w:p>
          <w:p w14:paraId="3D91B82C"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b/>
                <w:bCs/>
                <w:i/>
                <w:iCs/>
                <w:sz w:val="22"/>
                <w:szCs w:val="22"/>
                <w:lang w:val="en-US" w:eastAsia="zh-CN"/>
              </w:rPr>
              <w:t xml:space="preserve">Issue 3-2-2: RSSI measurement period </w:t>
            </w:r>
          </w:p>
          <w:p w14:paraId="1A5333B9"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eastAsia="zh-CN"/>
              </w:rPr>
              <w:t xml:space="preserve">The RSSI and CO measurement period </w:t>
            </w:r>
            <w:r w:rsidRPr="00383836">
              <w:rPr>
                <w:rFonts w:eastAsia="宋体"/>
                <w:i/>
                <w:iCs/>
                <w:sz w:val="22"/>
                <w:szCs w:val="22"/>
                <w:u w:val="single"/>
                <w:lang w:eastAsia="zh-CN"/>
              </w:rPr>
              <w:t>depends at least</w:t>
            </w:r>
            <w:r w:rsidRPr="00383836">
              <w:rPr>
                <w:rFonts w:eastAsia="宋体"/>
                <w:i/>
                <w:iCs/>
                <w:sz w:val="22"/>
                <w:szCs w:val="22"/>
                <w:lang w:eastAsia="zh-CN"/>
              </w:rPr>
              <w:t xml:space="preserve"> on:</w:t>
            </w:r>
          </w:p>
          <w:p w14:paraId="04F3FB7B"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eastAsia="zh-CN"/>
              </w:rPr>
              <w:t>max(</w:t>
            </w:r>
            <w:proofErr w:type="spellStart"/>
            <w:r w:rsidRPr="00383836">
              <w:rPr>
                <w:rFonts w:eastAsia="宋体"/>
                <w:i/>
                <w:iCs/>
                <w:sz w:val="22"/>
                <w:szCs w:val="22"/>
                <w:lang w:eastAsia="zh-CN"/>
              </w:rPr>
              <w:t>reportInterval</w:t>
            </w:r>
            <w:proofErr w:type="spellEnd"/>
            <w:r w:rsidRPr="00383836">
              <w:rPr>
                <w:rFonts w:eastAsia="宋体"/>
                <w:i/>
                <w:iCs/>
                <w:sz w:val="22"/>
                <w:szCs w:val="22"/>
                <w:lang w:eastAsia="zh-CN"/>
              </w:rPr>
              <w:t xml:space="preserve">, </w:t>
            </w:r>
            <w:proofErr w:type="spellStart"/>
            <w:r w:rsidRPr="00383836">
              <w:rPr>
                <w:rFonts w:eastAsia="宋体"/>
                <w:i/>
                <w:iCs/>
                <w:sz w:val="22"/>
                <w:szCs w:val="22"/>
                <w:lang w:eastAsia="zh-CN"/>
              </w:rPr>
              <w:t>rmtc</w:t>
            </w:r>
            <w:proofErr w:type="spellEnd"/>
            <w:r w:rsidRPr="00383836">
              <w:rPr>
                <w:rFonts w:eastAsia="宋体"/>
                <w:i/>
                <w:iCs/>
                <w:sz w:val="22"/>
                <w:szCs w:val="22"/>
                <w:lang w:eastAsia="zh-CN"/>
              </w:rPr>
              <w:t>-Period) in non-DRX when measurement gaps are not required,</w:t>
            </w:r>
          </w:p>
          <w:p w14:paraId="1F0344CC"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eastAsia="zh-CN"/>
              </w:rPr>
              <w:t>max(</w:t>
            </w:r>
            <w:proofErr w:type="spellStart"/>
            <w:r w:rsidRPr="00383836">
              <w:rPr>
                <w:rFonts w:eastAsia="宋体"/>
                <w:i/>
                <w:iCs/>
                <w:sz w:val="22"/>
                <w:szCs w:val="22"/>
                <w:lang w:eastAsia="zh-CN"/>
              </w:rPr>
              <w:t>reportInterval</w:t>
            </w:r>
            <w:proofErr w:type="spellEnd"/>
            <w:r w:rsidRPr="00383836">
              <w:rPr>
                <w:rFonts w:eastAsia="宋体"/>
                <w:i/>
                <w:iCs/>
                <w:sz w:val="22"/>
                <w:szCs w:val="22"/>
                <w:lang w:eastAsia="zh-CN"/>
              </w:rPr>
              <w:t xml:space="preserve">, </w:t>
            </w:r>
            <w:proofErr w:type="spellStart"/>
            <w:r w:rsidRPr="00383836">
              <w:rPr>
                <w:rFonts w:eastAsia="宋体"/>
                <w:i/>
                <w:iCs/>
                <w:sz w:val="22"/>
                <w:szCs w:val="22"/>
                <w:lang w:eastAsia="zh-CN"/>
              </w:rPr>
              <w:t>rmtc</w:t>
            </w:r>
            <w:proofErr w:type="spellEnd"/>
            <w:r w:rsidRPr="00383836">
              <w:rPr>
                <w:rFonts w:eastAsia="宋体"/>
                <w:i/>
                <w:iCs/>
                <w:sz w:val="22"/>
                <w:szCs w:val="22"/>
                <w:lang w:eastAsia="zh-CN"/>
              </w:rPr>
              <w:t>-Period, DRX) in DRX when measurement gaps are not required, or</w:t>
            </w:r>
          </w:p>
          <w:p w14:paraId="5B7318E7"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eastAsia="zh-CN"/>
              </w:rPr>
              <w:t>max(</w:t>
            </w:r>
            <w:proofErr w:type="spellStart"/>
            <w:r w:rsidRPr="00383836">
              <w:rPr>
                <w:rFonts w:eastAsia="宋体"/>
                <w:i/>
                <w:iCs/>
                <w:sz w:val="22"/>
                <w:szCs w:val="22"/>
                <w:lang w:eastAsia="zh-CN"/>
              </w:rPr>
              <w:t>reportInterval</w:t>
            </w:r>
            <w:proofErr w:type="spellEnd"/>
            <w:r w:rsidRPr="00383836">
              <w:rPr>
                <w:rFonts w:eastAsia="宋体"/>
                <w:i/>
                <w:iCs/>
                <w:sz w:val="22"/>
                <w:szCs w:val="22"/>
                <w:lang w:eastAsia="zh-CN"/>
              </w:rPr>
              <w:t xml:space="preserve">, </w:t>
            </w:r>
            <w:proofErr w:type="spellStart"/>
            <w:r w:rsidRPr="00383836">
              <w:rPr>
                <w:rFonts w:eastAsia="宋体"/>
                <w:i/>
                <w:iCs/>
                <w:sz w:val="22"/>
                <w:szCs w:val="22"/>
                <w:lang w:eastAsia="zh-CN"/>
              </w:rPr>
              <w:t>rmtc</w:t>
            </w:r>
            <w:proofErr w:type="spellEnd"/>
            <w:r w:rsidRPr="00383836">
              <w:rPr>
                <w:rFonts w:eastAsia="宋体"/>
                <w:i/>
                <w:iCs/>
                <w:sz w:val="22"/>
                <w:szCs w:val="22"/>
                <w:lang w:eastAsia="zh-CN"/>
              </w:rPr>
              <w:t>-Period, MGRP and gap sharing) in DRX when measurement gaps are required.</w:t>
            </w:r>
          </w:p>
          <w:p w14:paraId="698F4B1B"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val="en-US" w:eastAsia="zh-CN"/>
              </w:rPr>
              <w:t xml:space="preserve">For RSSI measurement within measurement gap, measurement period is scaled with </w:t>
            </w:r>
            <w:proofErr w:type="spellStart"/>
            <w:r w:rsidRPr="00383836">
              <w:rPr>
                <w:rFonts w:eastAsia="宋体"/>
                <w:i/>
                <w:iCs/>
                <w:sz w:val="22"/>
                <w:szCs w:val="22"/>
                <w:lang w:val="en-US" w:eastAsia="zh-CN"/>
              </w:rPr>
              <w:t>CSSFwithin_gap,i</w:t>
            </w:r>
            <w:proofErr w:type="spellEnd"/>
          </w:p>
          <w:p w14:paraId="394127F2"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val="en-US" w:eastAsia="zh-CN"/>
              </w:rPr>
              <w:t xml:space="preserve">For RSSI measurement outside measurement gap, measurement period is scaled with </w:t>
            </w:r>
            <w:proofErr w:type="spellStart"/>
            <w:r w:rsidRPr="00383836">
              <w:rPr>
                <w:rFonts w:eastAsia="宋体"/>
                <w:i/>
                <w:iCs/>
                <w:sz w:val="22"/>
                <w:szCs w:val="22"/>
                <w:lang w:val="en-US" w:eastAsia="zh-CN"/>
              </w:rPr>
              <w:t>CSSFoutside_gap,i</w:t>
            </w:r>
            <w:proofErr w:type="spellEnd"/>
          </w:p>
          <w:p w14:paraId="13A6404A"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val="en-US" w:eastAsia="zh-CN"/>
              </w:rPr>
              <w:t xml:space="preserve">FFS: For UE not capable of wideband operation in NR-U, RSSI measurement period scales with the number of MOs not requiring measurement gap according to </w:t>
            </w:r>
            <w:proofErr w:type="spellStart"/>
            <w:r w:rsidRPr="00383836">
              <w:rPr>
                <w:rFonts w:eastAsia="宋体"/>
                <w:i/>
                <w:iCs/>
                <w:sz w:val="22"/>
                <w:szCs w:val="22"/>
                <w:lang w:val="en-US" w:eastAsia="zh-CN"/>
              </w:rPr>
              <w:t>CSSFoutside_gap,I</w:t>
            </w:r>
            <w:proofErr w:type="spellEnd"/>
            <w:r w:rsidRPr="00383836">
              <w:rPr>
                <w:rFonts w:eastAsia="宋体"/>
                <w:i/>
                <w:iCs/>
                <w:sz w:val="22"/>
                <w:szCs w:val="22"/>
                <w:lang w:val="en-US" w:eastAsia="zh-CN"/>
              </w:rPr>
              <w:t>, CCA</w:t>
            </w:r>
          </w:p>
          <w:p w14:paraId="6BFD1466"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val="en-US" w:eastAsia="zh-CN"/>
              </w:rPr>
              <w:t>FFS: Whether the scaling factor of 1.5 shall be used if DRX ≤  320ms</w:t>
            </w:r>
          </w:p>
          <w:p w14:paraId="67046BC3"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b/>
                <w:bCs/>
                <w:i/>
                <w:iCs/>
                <w:sz w:val="22"/>
                <w:szCs w:val="22"/>
                <w:lang w:val="en-US" w:eastAsia="zh-CN"/>
              </w:rPr>
              <w:t>Issue 3-4-1: RSSI measurement bandwidth</w:t>
            </w:r>
          </w:p>
          <w:p w14:paraId="2FA70875" w14:textId="77777777" w:rsidR="008215C5" w:rsidRPr="00383836" w:rsidRDefault="008215C5" w:rsidP="008215C5">
            <w:pPr>
              <w:numPr>
                <w:ilvl w:val="0"/>
                <w:numId w:val="32"/>
              </w:numPr>
              <w:overflowPunct w:val="0"/>
              <w:spacing w:after="0"/>
              <w:rPr>
                <w:rFonts w:eastAsia="宋体"/>
                <w:sz w:val="22"/>
                <w:szCs w:val="22"/>
                <w:lang w:val="en-US" w:eastAsia="zh-CN"/>
              </w:rPr>
            </w:pPr>
            <w:r w:rsidRPr="00383836">
              <w:rPr>
                <w:rFonts w:eastAsia="宋体"/>
                <w:i/>
                <w:iCs/>
                <w:sz w:val="22"/>
                <w:szCs w:val="22"/>
                <w:lang w:val="en-US" w:eastAsia="zh-CN"/>
              </w:rPr>
              <w:t>Candidate options:</w:t>
            </w:r>
          </w:p>
          <w:p w14:paraId="35FC4A92"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t>Option 1:  RSSI measurement bandwidth is the LBT bandwidth (which is already decided by RAN1 and specified in TS 38.215).</w:t>
            </w:r>
          </w:p>
          <w:p w14:paraId="2AC58341" w14:textId="77777777" w:rsidR="008215C5" w:rsidRPr="00383836" w:rsidRDefault="008215C5" w:rsidP="008215C5">
            <w:pPr>
              <w:numPr>
                <w:ilvl w:val="1"/>
                <w:numId w:val="32"/>
              </w:numPr>
              <w:overflowPunct w:val="0"/>
              <w:spacing w:after="0"/>
              <w:rPr>
                <w:rFonts w:eastAsia="宋体"/>
                <w:sz w:val="22"/>
                <w:szCs w:val="22"/>
                <w:lang w:val="en-US" w:eastAsia="zh-CN"/>
              </w:rPr>
            </w:pPr>
            <w:r w:rsidRPr="00383836">
              <w:rPr>
                <w:rFonts w:eastAsia="宋体"/>
                <w:i/>
                <w:iCs/>
                <w:sz w:val="22"/>
                <w:szCs w:val="22"/>
                <w:lang w:val="en-US" w:eastAsia="zh-CN"/>
              </w:rPr>
              <w:t>Option 2: RAN4 discuss this in the performance requirements.</w:t>
            </w:r>
          </w:p>
          <w:p w14:paraId="764921A3" w14:textId="77777777" w:rsidR="008215C5" w:rsidRPr="00383836" w:rsidRDefault="008215C5" w:rsidP="009008C5">
            <w:pPr>
              <w:overflowPunct w:val="0"/>
              <w:spacing w:after="0"/>
              <w:rPr>
                <w:rFonts w:ascii="宋体" w:eastAsia="宋体" w:hAnsi="宋体" w:cs="宋体"/>
                <w:sz w:val="22"/>
                <w:szCs w:val="22"/>
                <w:lang w:val="en-US" w:eastAsia="zh-CN"/>
              </w:rPr>
            </w:pPr>
          </w:p>
        </w:tc>
      </w:tr>
    </w:tbl>
    <w:p w14:paraId="0018EEBA" w14:textId="77777777" w:rsidR="008215C5" w:rsidRDefault="008215C5" w:rsidP="008215C5">
      <w:pPr>
        <w:rPr>
          <w:rFonts w:eastAsiaTheme="minorEastAsia"/>
          <w:lang w:val="en-US" w:eastAsia="zh-CN"/>
        </w:rPr>
      </w:pPr>
    </w:p>
    <w:p w14:paraId="578B1123" w14:textId="74C9001D" w:rsidR="008215C5" w:rsidRDefault="008215C5" w:rsidP="008215C5">
      <w:pPr>
        <w:rPr>
          <w:rFonts w:eastAsiaTheme="minorEastAsia" w:cs="v4.2.0"/>
          <w:lang w:val="en-US" w:eastAsia="zh-CN"/>
        </w:rPr>
      </w:pPr>
      <w:r w:rsidRPr="00383836">
        <w:rPr>
          <w:rFonts w:eastAsiaTheme="minorEastAsia" w:cs="v4.2.0" w:hint="eastAsia"/>
          <w:lang w:val="en-US" w:eastAsia="zh-CN"/>
        </w:rPr>
        <w:t>F</w:t>
      </w:r>
      <w:r w:rsidRPr="00383836">
        <w:rPr>
          <w:rFonts w:eastAsiaTheme="minorEastAsia" w:cs="v4.2.0"/>
          <w:lang w:val="en-US" w:eastAsia="zh-CN"/>
        </w:rPr>
        <w:t>or the definition of intra and inter-frequency RSSI measurement</w:t>
      </w:r>
      <w:r>
        <w:rPr>
          <w:rFonts w:eastAsiaTheme="minorEastAsia" w:cs="v4.2.0"/>
          <w:lang w:val="en-US" w:eastAsia="zh-CN"/>
        </w:rPr>
        <w:t xml:space="preserve">, it was agreed that the </w:t>
      </w:r>
      <w:r w:rsidRPr="00383836">
        <w:rPr>
          <w:rFonts w:eastAsiaTheme="minorEastAsia" w:cs="v4.2.0"/>
          <w:lang w:val="en-US" w:eastAsia="zh-CN"/>
        </w:rPr>
        <w:t>RSSI channel BW is contained within the channel/carrier BW of the UE.</w:t>
      </w:r>
      <w:r>
        <w:rPr>
          <w:rFonts w:eastAsiaTheme="minorEastAsia" w:cs="v4.2.0"/>
          <w:lang w:val="en-US" w:eastAsia="zh-CN"/>
        </w:rPr>
        <w:t xml:space="preserve"> As for the SCS conditions, there is no consensus during the last RAN4 meeting. Based</w:t>
      </w:r>
      <w:r w:rsidR="00260DBC">
        <w:rPr>
          <w:rFonts w:eastAsiaTheme="minorEastAsia" w:cs="v4.2.0"/>
          <w:lang w:val="en-US" w:eastAsia="zh-CN"/>
        </w:rPr>
        <w:t xml:space="preserve"> on the LS from RAN 1 [4], it</w:t>
      </w:r>
      <w:r>
        <w:rPr>
          <w:rFonts w:eastAsiaTheme="minorEastAsia" w:cs="v4.2.0"/>
          <w:lang w:val="en-US" w:eastAsia="zh-CN"/>
        </w:rPr>
        <w:t xml:space="preserve"> could be observed that for RSSI measurement confined within the active BWP, UE shall using the SCS of the active BWP, where the non-integer number of symbols case could be avoided (e.g. ref-SCS 30 KHz and SCS of active BWP is 15 KHz)</w:t>
      </w:r>
      <w:r>
        <w:rPr>
          <w:rFonts w:eastAsiaTheme="minorEastAsia" w:cs="v4.2.0" w:hint="eastAsia"/>
          <w:lang w:val="en-US" w:eastAsia="zh-CN"/>
        </w:rPr>
        <w:t>.</w:t>
      </w:r>
    </w:p>
    <w:p w14:paraId="0D1D5512" w14:textId="13F097B8" w:rsidR="008215C5" w:rsidRPr="00383836" w:rsidRDefault="008215C5" w:rsidP="008215C5">
      <w:pPr>
        <w:rPr>
          <w:rFonts w:eastAsiaTheme="minorEastAsia" w:cs="v4.2.0"/>
          <w:b/>
          <w:lang w:val="en-US" w:eastAsia="zh-CN"/>
        </w:rPr>
      </w:pPr>
      <w:r w:rsidRPr="00383836">
        <w:rPr>
          <w:rFonts w:eastAsiaTheme="minorEastAsia" w:cs="v4.2.0"/>
          <w:b/>
          <w:lang w:val="en-US" w:eastAsia="zh-CN"/>
        </w:rPr>
        <w:t xml:space="preserve">Observation </w:t>
      </w:r>
      <w:r w:rsidR="00260DBC">
        <w:rPr>
          <w:rFonts w:eastAsiaTheme="minorEastAsia" w:cs="v4.2.0"/>
          <w:b/>
          <w:lang w:val="en-US" w:eastAsia="zh-CN"/>
        </w:rPr>
        <w:t>1</w:t>
      </w:r>
      <w:r w:rsidRPr="00383836">
        <w:rPr>
          <w:rFonts w:eastAsiaTheme="minorEastAsia" w:cs="v4.2.0"/>
          <w:b/>
          <w:lang w:val="en-US" w:eastAsia="zh-CN"/>
        </w:rPr>
        <w:t>: UE shall use the same SCS as active DL</w:t>
      </w:r>
      <w:r w:rsidRPr="00383836">
        <w:rPr>
          <w:rFonts w:eastAsiaTheme="minorEastAsia" w:cs="v4.2.0" w:hint="eastAsia"/>
          <w:b/>
          <w:lang w:val="en-US" w:eastAsia="zh-CN"/>
        </w:rPr>
        <w:t xml:space="preserve"> </w:t>
      </w:r>
      <w:r w:rsidRPr="00383836">
        <w:rPr>
          <w:rFonts w:eastAsiaTheme="minorEastAsia" w:cs="v4.2.0"/>
          <w:b/>
          <w:lang w:val="en-US" w:eastAsia="zh-CN"/>
        </w:rPr>
        <w:t>BWP when the RSSI measurement is confined with in the active DL BWP.</w:t>
      </w:r>
    </w:p>
    <w:tbl>
      <w:tblPr>
        <w:tblStyle w:val="a7"/>
        <w:tblW w:w="0" w:type="auto"/>
        <w:tblLook w:val="04A0" w:firstRow="1" w:lastRow="0" w:firstColumn="1" w:lastColumn="0" w:noHBand="0" w:noVBand="1"/>
      </w:tblPr>
      <w:tblGrid>
        <w:gridCol w:w="9562"/>
      </w:tblGrid>
      <w:tr w:rsidR="008215C5" w14:paraId="78A53927" w14:textId="77777777" w:rsidTr="009008C5">
        <w:tc>
          <w:tcPr>
            <w:tcW w:w="9562" w:type="dxa"/>
          </w:tcPr>
          <w:p w14:paraId="39553D20" w14:textId="77777777" w:rsidR="008215C5" w:rsidRDefault="008215C5" w:rsidP="009008C5">
            <w:pPr>
              <w:spacing w:line="252" w:lineRule="auto"/>
              <w:rPr>
                <w:rFonts w:eastAsia="Gulim"/>
                <w:highlight w:val="green"/>
                <w:lang w:val="en-US" w:eastAsia="x-none"/>
              </w:rPr>
            </w:pPr>
            <w:r>
              <w:rPr>
                <w:highlight w:val="green"/>
                <w:lang w:eastAsia="x-none"/>
              </w:rPr>
              <w:t>Agreement:</w:t>
            </w:r>
          </w:p>
          <w:p w14:paraId="1616C733" w14:textId="77777777" w:rsidR="008215C5" w:rsidRDefault="008215C5" w:rsidP="009008C5">
            <w:pPr>
              <w:rPr>
                <w:rFonts w:eastAsia="Malgun Gothic"/>
                <w:sz w:val="24"/>
                <w:szCs w:val="24"/>
              </w:rPr>
            </w:pPr>
            <w:r>
              <w:t xml:space="preserve">The set of values for the parameter </w:t>
            </w:r>
            <w:r>
              <w:rPr>
                <w:i/>
                <w:iCs/>
              </w:rPr>
              <w:t>measDuration-r16</w:t>
            </w:r>
            <w:r>
              <w:t xml:space="preserve"> is {sym1, sym14or12, sym28or24, sym42or36, sym70or60} which is in units of the reference numerology configured by </w:t>
            </w:r>
            <w:r>
              <w:rPr>
                <w:i/>
                <w:iCs/>
              </w:rPr>
              <w:t>ref-SCS-CP-r16</w:t>
            </w:r>
          </w:p>
          <w:p w14:paraId="02E4A973" w14:textId="77777777" w:rsidR="008215C5" w:rsidRDefault="008215C5" w:rsidP="008215C5">
            <w:pPr>
              <w:numPr>
                <w:ilvl w:val="0"/>
                <w:numId w:val="33"/>
              </w:numPr>
              <w:spacing w:after="0" w:line="252" w:lineRule="auto"/>
              <w:ind w:left="360"/>
              <w:rPr>
                <w:lang w:eastAsia="ko-KR"/>
              </w:rPr>
            </w:pPr>
            <w:r>
              <w:rPr>
                <w:rFonts w:hint="eastAsia"/>
              </w:rPr>
              <w:t>“</w:t>
            </w:r>
            <w:r>
              <w:t>sym14or12</w:t>
            </w:r>
            <w:r>
              <w:rPr>
                <w:rFonts w:hint="eastAsia"/>
              </w:rPr>
              <w:t>”</w:t>
            </w:r>
            <w:r>
              <w:t xml:space="preserve"> refers to 14 symbols of the reference numerology for NCP and 12 symbols for ECP, respectively, and so on</w:t>
            </w:r>
          </w:p>
          <w:p w14:paraId="194563EA" w14:textId="77777777" w:rsidR="008215C5" w:rsidRDefault="008215C5" w:rsidP="008215C5">
            <w:pPr>
              <w:numPr>
                <w:ilvl w:val="0"/>
                <w:numId w:val="33"/>
              </w:numPr>
              <w:spacing w:after="0" w:line="252" w:lineRule="auto"/>
              <w:ind w:left="360"/>
            </w:pPr>
            <w:r>
              <w:t>Notes (Can be captured in specifications as needed):</w:t>
            </w:r>
          </w:p>
          <w:p w14:paraId="1616D843" w14:textId="77777777" w:rsidR="008215C5" w:rsidRDefault="008215C5" w:rsidP="008215C5">
            <w:pPr>
              <w:numPr>
                <w:ilvl w:val="1"/>
                <w:numId w:val="33"/>
              </w:numPr>
              <w:spacing w:after="0" w:line="252" w:lineRule="auto"/>
              <w:ind w:left="1080"/>
            </w:pPr>
            <w:r>
              <w:t xml:space="preserve">The UE derives the RSSI measurement duration from a combination of </w:t>
            </w:r>
            <w:r>
              <w:rPr>
                <w:i/>
                <w:iCs/>
              </w:rPr>
              <w:t>measDuration-r16</w:t>
            </w:r>
            <w:r>
              <w:t xml:space="preserve"> and </w:t>
            </w:r>
            <w:r>
              <w:rPr>
                <w:i/>
                <w:iCs/>
              </w:rPr>
              <w:t>ref-SCS-CP-r16</w:t>
            </w:r>
          </w:p>
          <w:p w14:paraId="05733B11" w14:textId="77777777" w:rsidR="008215C5" w:rsidRDefault="008215C5" w:rsidP="008215C5">
            <w:pPr>
              <w:numPr>
                <w:ilvl w:val="1"/>
                <w:numId w:val="33"/>
              </w:numPr>
              <w:spacing w:after="0" w:line="252" w:lineRule="auto"/>
              <w:ind w:left="1080"/>
            </w:pPr>
            <w: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30AD9B8C" w14:textId="77777777" w:rsidR="008215C5" w:rsidRDefault="008215C5" w:rsidP="008215C5">
            <w:pPr>
              <w:numPr>
                <w:ilvl w:val="1"/>
                <w:numId w:val="33"/>
              </w:numPr>
              <w:spacing w:after="0" w:line="252" w:lineRule="auto"/>
              <w:ind w:left="1080"/>
            </w:pPr>
            <w:r>
              <w:t>For RSSI measurements within the active DL BWP, the UE does not expect a non-integer number of symbol(s) with respect to the numerology of the active DL BWP.</w:t>
            </w:r>
          </w:p>
          <w:p w14:paraId="0F350F52" w14:textId="77777777" w:rsidR="008215C5" w:rsidRDefault="008215C5" w:rsidP="008215C5">
            <w:pPr>
              <w:numPr>
                <w:ilvl w:val="0"/>
                <w:numId w:val="33"/>
              </w:numPr>
              <w:spacing w:after="0" w:line="252" w:lineRule="auto"/>
              <w:ind w:left="360"/>
            </w:pPr>
            <w:r>
              <w:t>Inform RAN2 of this decision and cc RAN4</w:t>
            </w:r>
          </w:p>
          <w:p w14:paraId="01997EE1" w14:textId="77777777" w:rsidR="008215C5" w:rsidRPr="00383836" w:rsidRDefault="008215C5" w:rsidP="009008C5">
            <w:pPr>
              <w:rPr>
                <w:rFonts w:eastAsiaTheme="minorEastAsia" w:cs="v4.2.0"/>
                <w:lang w:eastAsia="zh-CN"/>
              </w:rPr>
            </w:pPr>
          </w:p>
        </w:tc>
      </w:tr>
    </w:tbl>
    <w:p w14:paraId="758E8EF1" w14:textId="77777777" w:rsidR="008215C5" w:rsidRDefault="008215C5" w:rsidP="008215C5">
      <w:pPr>
        <w:rPr>
          <w:rFonts w:eastAsiaTheme="minorEastAsia" w:cs="v4.2.0"/>
          <w:lang w:val="en-US" w:eastAsia="zh-CN"/>
        </w:rPr>
      </w:pPr>
    </w:p>
    <w:p w14:paraId="790EB001" w14:textId="77777777" w:rsidR="008215C5" w:rsidRDefault="008215C5" w:rsidP="008215C5">
      <w:pPr>
        <w:rPr>
          <w:rFonts w:eastAsiaTheme="minorEastAsia" w:cs="v4.2.0"/>
          <w:lang w:val="en-US" w:eastAsia="zh-CN"/>
        </w:rPr>
      </w:pPr>
      <w:r>
        <w:rPr>
          <w:rFonts w:eastAsiaTheme="minorEastAsia" w:cs="v4.2.0" w:hint="eastAsia"/>
          <w:lang w:val="en-US" w:eastAsia="zh-CN"/>
        </w:rPr>
        <w:t>F</w:t>
      </w:r>
      <w:r>
        <w:rPr>
          <w:rFonts w:eastAsiaTheme="minorEastAsia" w:cs="v4.2.0"/>
          <w:lang w:val="en-US" w:eastAsia="zh-CN"/>
        </w:rPr>
        <w:t>or the case when the RSSI measurement is not confined within the active DL BWP, it is up to UE implementation to choose the SCS for measurement. As the L1 filtering of RSSI measurement is limited to 1 symbol of the configured reference SCS, the non-integer number of symbols shall also be avoided. Thus, UE shall use the SCS equal or larger than the configured reference SCS for RSSI measurement.</w:t>
      </w:r>
    </w:p>
    <w:p w14:paraId="43830B54" w14:textId="65129D5B" w:rsidR="008215C5" w:rsidRPr="00383836" w:rsidRDefault="008215C5" w:rsidP="008215C5">
      <w:pPr>
        <w:rPr>
          <w:rFonts w:eastAsiaTheme="minorEastAsia" w:cs="v4.2.0"/>
          <w:b/>
          <w:lang w:val="en-US" w:eastAsia="zh-CN"/>
        </w:rPr>
      </w:pPr>
      <w:r w:rsidRPr="00383836">
        <w:rPr>
          <w:rFonts w:eastAsiaTheme="minorEastAsia" w:cs="v4.2.0"/>
          <w:b/>
          <w:lang w:val="en-US" w:eastAsia="zh-CN"/>
        </w:rPr>
        <w:lastRenderedPageBreak/>
        <w:t xml:space="preserve">Observation </w:t>
      </w:r>
      <w:r w:rsidR="00260DBC">
        <w:rPr>
          <w:rFonts w:eastAsiaTheme="minorEastAsia" w:cs="v4.2.0"/>
          <w:b/>
          <w:lang w:val="en-US" w:eastAsia="zh-CN"/>
        </w:rPr>
        <w:t>2</w:t>
      </w:r>
      <w:r w:rsidRPr="00383836">
        <w:rPr>
          <w:rFonts w:eastAsiaTheme="minorEastAsia" w:cs="v4.2.0"/>
          <w:b/>
          <w:lang w:val="en-US" w:eastAsia="zh-CN"/>
        </w:rPr>
        <w:t xml:space="preserve">: </w:t>
      </w:r>
      <w:r w:rsidRPr="00383836">
        <w:rPr>
          <w:rFonts w:eastAsiaTheme="minorEastAsia" w:cs="v4.2.0" w:hint="eastAsia"/>
          <w:b/>
          <w:lang w:val="en-US" w:eastAsia="zh-CN"/>
        </w:rPr>
        <w:t>F</w:t>
      </w:r>
      <w:r w:rsidRPr="00383836">
        <w:rPr>
          <w:rFonts w:eastAsiaTheme="minorEastAsia" w:cs="v4.2.0"/>
          <w:b/>
          <w:lang w:val="en-US" w:eastAsia="zh-CN"/>
        </w:rPr>
        <w:t>or the case when the RSSI measurement is not confined within the active DL BWP, UE shall use the SCS equal or larger than the configured reference SCS for RSSI measurement.</w:t>
      </w:r>
    </w:p>
    <w:p w14:paraId="15565DD3" w14:textId="77777777" w:rsidR="008215C5" w:rsidRDefault="008215C5" w:rsidP="008215C5">
      <w:pPr>
        <w:rPr>
          <w:rFonts w:eastAsiaTheme="minorEastAsia" w:cs="v4.2.0"/>
          <w:lang w:val="en-US" w:eastAsia="zh-CN"/>
        </w:rPr>
      </w:pPr>
      <w:r>
        <w:rPr>
          <w:rFonts w:eastAsiaTheme="minorEastAsia" w:cs="v4.2.0" w:hint="eastAsia"/>
          <w:lang w:val="en-US" w:eastAsia="zh-CN"/>
        </w:rPr>
        <w:t>B</w:t>
      </w:r>
      <w:r>
        <w:rPr>
          <w:rFonts w:eastAsiaTheme="minorEastAsia" w:cs="v4.2.0"/>
          <w:lang w:val="en-US" w:eastAsia="zh-CN"/>
        </w:rPr>
        <w:t>ased on the observation above, SCS condition is not needed for the definition of intra-frequency measurement.</w:t>
      </w:r>
    </w:p>
    <w:p w14:paraId="2D5A25FF" w14:textId="22D5CB06" w:rsidR="008215C5" w:rsidRPr="00383836" w:rsidRDefault="008215C5" w:rsidP="008215C5">
      <w:pPr>
        <w:rPr>
          <w:rFonts w:eastAsiaTheme="minorEastAsia" w:cs="v4.2.0"/>
          <w:b/>
          <w:lang w:val="en-US" w:eastAsia="zh-CN"/>
        </w:rPr>
      </w:pPr>
      <w:r w:rsidRPr="00383836">
        <w:rPr>
          <w:rFonts w:eastAsiaTheme="minorEastAsia" w:cs="v4.2.0"/>
          <w:b/>
          <w:lang w:val="en-US" w:eastAsia="zh-CN"/>
        </w:rPr>
        <w:t xml:space="preserve">Proposal </w:t>
      </w:r>
      <w:r w:rsidR="00260DBC">
        <w:rPr>
          <w:rFonts w:eastAsiaTheme="minorEastAsia" w:cs="v4.2.0"/>
          <w:b/>
          <w:lang w:val="en-US" w:eastAsia="zh-CN"/>
        </w:rPr>
        <w:t>1</w:t>
      </w:r>
      <w:r w:rsidRPr="00383836">
        <w:rPr>
          <w:rFonts w:eastAsiaTheme="minorEastAsia" w:cs="v4.2.0"/>
          <w:b/>
          <w:lang w:val="en-US" w:eastAsia="zh-CN"/>
        </w:rPr>
        <w:t>: SCS condition is not needed for the definition of intra-frequency measurement.</w:t>
      </w:r>
    </w:p>
    <w:p w14:paraId="76705FE8" w14:textId="77777777" w:rsidR="008215C5" w:rsidRDefault="008215C5" w:rsidP="008215C5">
      <w:pPr>
        <w:rPr>
          <w:rFonts w:eastAsiaTheme="minorEastAsia" w:cs="v4.2.0"/>
          <w:lang w:val="en-US" w:eastAsia="zh-CN"/>
        </w:rPr>
      </w:pPr>
      <w:r>
        <w:rPr>
          <w:rFonts w:eastAsiaTheme="minorEastAsia" w:cs="v4.2.0"/>
          <w:lang w:val="en-US" w:eastAsia="zh-CN"/>
        </w:rPr>
        <w:t>Based on the analysis above, for the measurement within the active DL BWP, the RSSI measurement shall be performed without gap.</w:t>
      </w:r>
    </w:p>
    <w:p w14:paraId="501C30EE" w14:textId="1E02E31B" w:rsidR="008215C5" w:rsidRPr="00383836" w:rsidRDefault="008215C5" w:rsidP="008215C5">
      <w:pPr>
        <w:rPr>
          <w:rFonts w:eastAsiaTheme="minorEastAsia" w:cs="v4.2.0"/>
          <w:b/>
          <w:lang w:val="en-US" w:eastAsia="zh-CN"/>
        </w:rPr>
      </w:pPr>
      <w:r w:rsidRPr="00383836">
        <w:rPr>
          <w:rFonts w:eastAsiaTheme="minorEastAsia" w:cs="v4.2.0"/>
          <w:b/>
          <w:lang w:val="en-US" w:eastAsia="zh-CN"/>
        </w:rPr>
        <w:t xml:space="preserve">Proposal </w:t>
      </w:r>
      <w:r w:rsidR="00260DBC">
        <w:rPr>
          <w:rFonts w:eastAsiaTheme="minorEastAsia" w:cs="v4.2.0"/>
          <w:b/>
          <w:lang w:val="en-US" w:eastAsia="zh-CN"/>
        </w:rPr>
        <w:t>2</w:t>
      </w:r>
      <w:r w:rsidRPr="00383836">
        <w:rPr>
          <w:rFonts w:eastAsiaTheme="minorEastAsia" w:cs="v4.2.0"/>
          <w:b/>
          <w:lang w:val="en-US" w:eastAsia="zh-CN"/>
        </w:rPr>
        <w:t xml:space="preserve">: Gap is only needed when the RSSI measurement BW is not fully </w:t>
      </w:r>
      <w:r w:rsidR="00260DBC">
        <w:rPr>
          <w:rFonts w:eastAsiaTheme="minorEastAsia" w:cs="v4.2.0"/>
          <w:b/>
          <w:lang w:val="en-US" w:eastAsia="zh-CN"/>
        </w:rPr>
        <w:t xml:space="preserve">confined </w:t>
      </w:r>
      <w:r w:rsidRPr="00383836">
        <w:rPr>
          <w:rFonts w:eastAsiaTheme="minorEastAsia" w:cs="v4.2.0"/>
          <w:b/>
          <w:lang w:val="en-US" w:eastAsia="zh-CN"/>
        </w:rPr>
        <w:t>within the active DL BWP.</w:t>
      </w:r>
    </w:p>
    <w:p w14:paraId="648DF8CB" w14:textId="77777777" w:rsidR="008215C5" w:rsidRDefault="008215C5" w:rsidP="008215C5">
      <w:pPr>
        <w:rPr>
          <w:rFonts w:eastAsiaTheme="minorEastAsia" w:cs="v4.2.0"/>
          <w:lang w:val="en-US" w:eastAsia="zh-CN"/>
        </w:rPr>
      </w:pPr>
      <w:r>
        <w:rPr>
          <w:rFonts w:eastAsiaTheme="minorEastAsia" w:cs="v4.2.0" w:hint="eastAsia"/>
          <w:lang w:val="en-US" w:eastAsia="zh-CN"/>
        </w:rPr>
        <w:t>For</w:t>
      </w:r>
      <w:r>
        <w:rPr>
          <w:rFonts w:eastAsiaTheme="minorEastAsia" w:cs="v4.2.0"/>
          <w:lang w:val="en-US" w:eastAsia="zh-CN"/>
        </w:rPr>
        <w:t xml:space="preserve"> the measurement bandwidth, which has also been discussed for several meetings. As agreed in RAN4#94-e-bis meeting that UE shall not normalize RSSI measurement for reporting purpose, from our understanding, the measurement BW shall be defined as the LBT BW. If UE is allowed to choose the measurement BW smaller than the LBT BW, the measurement results on different BW will lead to ambiguity to </w:t>
      </w:r>
      <w:proofErr w:type="spellStart"/>
      <w:r>
        <w:rPr>
          <w:rFonts w:eastAsiaTheme="minorEastAsia" w:cs="v4.2.0"/>
          <w:lang w:val="en-US" w:eastAsia="zh-CN"/>
        </w:rPr>
        <w:t>gNB</w:t>
      </w:r>
      <w:proofErr w:type="spellEnd"/>
      <w:r>
        <w:rPr>
          <w:rFonts w:eastAsiaTheme="minorEastAsia" w:cs="v4.2.0"/>
          <w:lang w:val="en-US" w:eastAsia="zh-CN"/>
        </w:rPr>
        <w:t xml:space="preserve">. For example, if UE performs the RSSI measurement on BW much smaller than the LBT BW, the RSSI measurement results could lead to misunderstanding to </w:t>
      </w:r>
      <w:proofErr w:type="spellStart"/>
      <w:r>
        <w:rPr>
          <w:rFonts w:eastAsiaTheme="minorEastAsia" w:cs="v4.2.0"/>
          <w:lang w:val="en-US" w:eastAsia="zh-CN"/>
        </w:rPr>
        <w:t>gNB</w:t>
      </w:r>
      <w:proofErr w:type="spellEnd"/>
      <w:r>
        <w:rPr>
          <w:rFonts w:eastAsiaTheme="minorEastAsia" w:cs="v4.2.0"/>
          <w:lang w:val="en-US" w:eastAsia="zh-CN"/>
        </w:rPr>
        <w:t xml:space="preserve"> that the UE is in low strength level. </w:t>
      </w:r>
    </w:p>
    <w:p w14:paraId="358E77E3" w14:textId="7C2017A7" w:rsidR="008215C5" w:rsidRDefault="008215C5" w:rsidP="008215C5">
      <w:pPr>
        <w:rPr>
          <w:rFonts w:eastAsiaTheme="minorEastAsia" w:cs="v4.2.0"/>
          <w:b/>
          <w:lang w:val="en-US" w:eastAsia="zh-CN"/>
        </w:rPr>
      </w:pPr>
      <w:r w:rsidRPr="00ED47FA">
        <w:rPr>
          <w:rFonts w:eastAsiaTheme="minorEastAsia" w:cs="v4.2.0"/>
          <w:b/>
          <w:lang w:val="en-US" w:eastAsia="zh-CN"/>
        </w:rPr>
        <w:t xml:space="preserve">Proposal </w:t>
      </w:r>
      <w:r w:rsidR="00260DBC">
        <w:rPr>
          <w:rFonts w:eastAsiaTheme="minorEastAsia" w:cs="v4.2.0"/>
          <w:b/>
          <w:lang w:val="en-US" w:eastAsia="zh-CN"/>
        </w:rPr>
        <w:t>3</w:t>
      </w:r>
      <w:r w:rsidRPr="00ED47FA">
        <w:rPr>
          <w:rFonts w:eastAsiaTheme="minorEastAsia" w:cs="v4.2.0"/>
          <w:b/>
          <w:lang w:val="en-US" w:eastAsia="zh-CN"/>
        </w:rPr>
        <w:t>: The RSSI measurement is LBT bandwidth.</w:t>
      </w:r>
    </w:p>
    <w:p w14:paraId="359A07C6" w14:textId="77777777" w:rsidR="008215C5" w:rsidRDefault="008215C5" w:rsidP="008215C5">
      <w:pPr>
        <w:rPr>
          <w:rFonts w:eastAsiaTheme="minorEastAsia" w:cs="v4.2.0"/>
          <w:lang w:val="en-US" w:eastAsia="zh-CN"/>
        </w:rPr>
      </w:pPr>
      <w:r w:rsidRPr="00800290">
        <w:rPr>
          <w:rFonts w:eastAsiaTheme="minorEastAsia" w:cs="v4.2.0"/>
          <w:lang w:val="en-US" w:eastAsia="zh-CN"/>
        </w:rPr>
        <w:t xml:space="preserve">For the </w:t>
      </w:r>
      <w:r>
        <w:rPr>
          <w:rFonts w:eastAsiaTheme="minorEastAsia" w:cs="v4.2.0"/>
          <w:lang w:val="en-US" w:eastAsia="zh-CN"/>
        </w:rPr>
        <w:t xml:space="preserve">scheduling restriction during RSSI/CO measurement, one of the open issues is whether to differentiate the cases where </w:t>
      </w:r>
      <w:proofErr w:type="spellStart"/>
      <w:r w:rsidRPr="00800290">
        <w:rPr>
          <w:rFonts w:eastAsiaTheme="minorEastAsia" w:cs="v4.2.0"/>
          <w:i/>
          <w:lang w:val="en-US" w:eastAsia="zh-CN"/>
        </w:rPr>
        <w:t>deriveSSB_IndexFromCell</w:t>
      </w:r>
      <w:proofErr w:type="spellEnd"/>
      <w:r w:rsidRPr="00800290">
        <w:rPr>
          <w:rFonts w:eastAsiaTheme="minorEastAsia" w:cs="v4.2.0"/>
          <w:lang w:val="en-US" w:eastAsia="zh-CN"/>
        </w:rPr>
        <w:t xml:space="preserve"> is enabled or not</w:t>
      </w:r>
      <w:r>
        <w:rPr>
          <w:rFonts w:eastAsiaTheme="minorEastAsia" w:cs="v4.2.0"/>
          <w:lang w:val="en-US" w:eastAsia="zh-CN"/>
        </w:rPr>
        <w:t xml:space="preserve">. From our understanding, there is no need to consider the </w:t>
      </w:r>
      <w:proofErr w:type="spellStart"/>
      <w:r w:rsidRPr="00800290">
        <w:rPr>
          <w:rFonts w:eastAsiaTheme="minorEastAsia" w:cs="v4.2.0"/>
          <w:i/>
          <w:lang w:val="en-US" w:eastAsia="zh-CN"/>
        </w:rPr>
        <w:t>deriveSSB_IndexFromCell</w:t>
      </w:r>
      <w:proofErr w:type="spellEnd"/>
      <w:r>
        <w:rPr>
          <w:rFonts w:eastAsiaTheme="minorEastAsia" w:cs="v4.2.0"/>
          <w:lang w:val="en-US" w:eastAsia="zh-CN"/>
        </w:rPr>
        <w:t xml:space="preserve"> as the RSSI/CO is not based on any reference signals.</w:t>
      </w:r>
    </w:p>
    <w:p w14:paraId="7128F544" w14:textId="6B7A007B" w:rsidR="008215C5" w:rsidRPr="009749D9" w:rsidRDefault="008215C5" w:rsidP="008215C5">
      <w:pPr>
        <w:rPr>
          <w:rFonts w:eastAsiaTheme="minorEastAsia" w:cs="v4.2.0"/>
          <w:b/>
          <w:lang w:val="en-US" w:eastAsia="zh-CN"/>
        </w:rPr>
      </w:pPr>
      <w:r w:rsidRPr="00800290">
        <w:rPr>
          <w:rFonts w:eastAsiaTheme="minorEastAsia" w:cs="v4.2.0"/>
          <w:b/>
          <w:lang w:val="en-US" w:eastAsia="zh-CN"/>
        </w:rPr>
        <w:t xml:space="preserve">Proposal </w:t>
      </w:r>
      <w:r w:rsidR="00260DBC">
        <w:rPr>
          <w:rFonts w:eastAsiaTheme="minorEastAsia" w:cs="v4.2.0"/>
          <w:b/>
          <w:lang w:val="en-US" w:eastAsia="zh-CN"/>
        </w:rPr>
        <w:t>4</w:t>
      </w:r>
      <w:r w:rsidRPr="00800290">
        <w:rPr>
          <w:rFonts w:eastAsiaTheme="minorEastAsia" w:cs="v4.2.0"/>
          <w:b/>
          <w:lang w:val="en-US" w:eastAsia="zh-CN"/>
        </w:rPr>
        <w:t>: Define scheduling restriction during RSSI/CO measurements and do not differentiat</w:t>
      </w:r>
      <w:r>
        <w:rPr>
          <w:rFonts w:eastAsiaTheme="minorEastAsia" w:cs="v4.2.0" w:hint="eastAsia"/>
          <w:b/>
          <w:lang w:val="en-US" w:eastAsia="zh-CN"/>
        </w:rPr>
        <w:t>e</w:t>
      </w:r>
      <w:r w:rsidRPr="00800290">
        <w:rPr>
          <w:rFonts w:eastAsiaTheme="minorEastAsia" w:cs="v4.2.0"/>
          <w:b/>
          <w:lang w:val="en-US" w:eastAsia="zh-CN"/>
        </w:rPr>
        <w:t xml:space="preserve"> the cases in which </w:t>
      </w:r>
      <w:proofErr w:type="spellStart"/>
      <w:r w:rsidRPr="00800290">
        <w:rPr>
          <w:rFonts w:eastAsiaTheme="minorEastAsia" w:cs="v4.2.0"/>
          <w:b/>
          <w:i/>
          <w:lang w:val="en-US" w:eastAsia="zh-CN"/>
        </w:rPr>
        <w:t>deriveSSB_IndexFromCell</w:t>
      </w:r>
      <w:proofErr w:type="spellEnd"/>
      <w:r w:rsidRPr="00800290">
        <w:rPr>
          <w:rFonts w:eastAsiaTheme="minorEastAsia" w:cs="v4.2.0"/>
          <w:b/>
          <w:lang w:val="en-US" w:eastAsia="zh-CN"/>
        </w:rPr>
        <w:t xml:space="preserve"> is enabled or not for the definition of scheduling</w:t>
      </w:r>
      <w:r>
        <w:rPr>
          <w:rFonts w:eastAsiaTheme="minorEastAsia" w:cs="v4.2.0"/>
          <w:b/>
          <w:lang w:val="en-US" w:eastAsia="zh-CN"/>
        </w:rPr>
        <w:t xml:space="preserve"> restriction.</w:t>
      </w:r>
    </w:p>
    <w:p w14:paraId="773047E2" w14:textId="77777777" w:rsidR="008215C5" w:rsidRPr="008215C5" w:rsidRDefault="008215C5" w:rsidP="008215C5">
      <w:pPr>
        <w:rPr>
          <w:rFonts w:eastAsiaTheme="minorEastAsia"/>
          <w:lang w:val="en-US" w:eastAsia="zh-CN"/>
        </w:rPr>
      </w:pPr>
    </w:p>
    <w:p w14:paraId="6FE304D3" w14:textId="77777777" w:rsidR="00DF0231" w:rsidRPr="002D2977" w:rsidRDefault="00DF0231" w:rsidP="00DF0231">
      <w:pPr>
        <w:pStyle w:val="1"/>
        <w:numPr>
          <w:ilvl w:val="0"/>
          <w:numId w:val="1"/>
        </w:numPr>
        <w:rPr>
          <w:lang w:val="en-US"/>
        </w:rPr>
      </w:pPr>
      <w:r w:rsidRPr="002D2977">
        <w:rPr>
          <w:lang w:val="en-US"/>
        </w:rPr>
        <w:t>Conclusions</w:t>
      </w:r>
    </w:p>
    <w:p w14:paraId="3BD18F29" w14:textId="13535C40" w:rsidR="008215C5" w:rsidRDefault="008215C5" w:rsidP="008215C5">
      <w:pPr>
        <w:rPr>
          <w:rFonts w:eastAsiaTheme="minorEastAsia" w:cs="v4.2.0"/>
          <w:b/>
          <w:lang w:val="en-US" w:eastAsia="zh-CN"/>
        </w:rPr>
      </w:pPr>
      <w:r w:rsidRPr="009749D9">
        <w:rPr>
          <w:rFonts w:eastAsiaTheme="minorEastAsia" w:cs="v4.2.0"/>
          <w:b/>
          <w:lang w:val="en-US" w:eastAsia="zh-CN"/>
        </w:rPr>
        <w:t xml:space="preserve">Observation </w:t>
      </w:r>
      <w:r w:rsidR="00260DBC">
        <w:rPr>
          <w:rFonts w:eastAsiaTheme="minorEastAsia" w:cs="v4.2.0"/>
          <w:b/>
          <w:lang w:val="en-US" w:eastAsia="zh-CN"/>
        </w:rPr>
        <w:t>1</w:t>
      </w:r>
      <w:r w:rsidRPr="009749D9">
        <w:rPr>
          <w:rFonts w:eastAsiaTheme="minorEastAsia" w:cs="v4.2.0"/>
          <w:b/>
          <w:lang w:val="en-US" w:eastAsia="zh-CN"/>
        </w:rPr>
        <w:t>: UE shall use the same SCS as active DL BWP when the RSSI measurement is confined with in the active DL BWP.</w:t>
      </w:r>
    </w:p>
    <w:p w14:paraId="716DE72A" w14:textId="1F6E4EC9" w:rsidR="008215C5" w:rsidRPr="00383836" w:rsidRDefault="008215C5" w:rsidP="008215C5">
      <w:pPr>
        <w:rPr>
          <w:rFonts w:eastAsiaTheme="minorEastAsia" w:cs="v4.2.0"/>
          <w:b/>
          <w:lang w:val="en-US" w:eastAsia="zh-CN"/>
        </w:rPr>
      </w:pPr>
      <w:r w:rsidRPr="00383836">
        <w:rPr>
          <w:rFonts w:eastAsiaTheme="minorEastAsia" w:cs="v4.2.0"/>
          <w:b/>
          <w:lang w:val="en-US" w:eastAsia="zh-CN"/>
        </w:rPr>
        <w:t xml:space="preserve">Observation </w:t>
      </w:r>
      <w:r w:rsidR="00260DBC">
        <w:rPr>
          <w:rFonts w:eastAsiaTheme="minorEastAsia" w:cs="v4.2.0"/>
          <w:b/>
          <w:lang w:val="en-US" w:eastAsia="zh-CN"/>
        </w:rPr>
        <w:t>2</w:t>
      </w:r>
      <w:r w:rsidRPr="00383836">
        <w:rPr>
          <w:rFonts w:eastAsiaTheme="minorEastAsia" w:cs="v4.2.0"/>
          <w:b/>
          <w:lang w:val="en-US" w:eastAsia="zh-CN"/>
        </w:rPr>
        <w:t xml:space="preserve">: </w:t>
      </w:r>
      <w:r w:rsidRPr="00383836">
        <w:rPr>
          <w:rFonts w:eastAsiaTheme="minorEastAsia" w:cs="v4.2.0" w:hint="eastAsia"/>
          <w:b/>
          <w:lang w:val="en-US" w:eastAsia="zh-CN"/>
        </w:rPr>
        <w:t>F</w:t>
      </w:r>
      <w:r w:rsidRPr="00383836">
        <w:rPr>
          <w:rFonts w:eastAsiaTheme="minorEastAsia" w:cs="v4.2.0"/>
          <w:b/>
          <w:lang w:val="en-US" w:eastAsia="zh-CN"/>
        </w:rPr>
        <w:t>or the case when the RSSI measurement is not confined within the active DL BWP, UE shall use the SCS equal or larger than the configured reference SCS for RSSI measurement.</w:t>
      </w:r>
    </w:p>
    <w:p w14:paraId="204A3D35" w14:textId="2430CDC4" w:rsidR="008215C5" w:rsidRPr="00383836" w:rsidRDefault="008215C5" w:rsidP="008215C5">
      <w:pPr>
        <w:rPr>
          <w:rFonts w:eastAsiaTheme="minorEastAsia" w:cs="v4.2.0"/>
          <w:b/>
          <w:lang w:val="en-US" w:eastAsia="zh-CN"/>
        </w:rPr>
      </w:pPr>
      <w:r w:rsidRPr="00383836">
        <w:rPr>
          <w:rFonts w:eastAsiaTheme="minorEastAsia" w:cs="v4.2.0"/>
          <w:b/>
          <w:lang w:val="en-US" w:eastAsia="zh-CN"/>
        </w:rPr>
        <w:t xml:space="preserve">Proposal </w:t>
      </w:r>
      <w:r w:rsidR="00260DBC">
        <w:rPr>
          <w:rFonts w:eastAsiaTheme="minorEastAsia" w:cs="v4.2.0"/>
          <w:b/>
          <w:lang w:val="en-US" w:eastAsia="zh-CN"/>
        </w:rPr>
        <w:t>1</w:t>
      </w:r>
      <w:r w:rsidRPr="00383836">
        <w:rPr>
          <w:rFonts w:eastAsiaTheme="minorEastAsia" w:cs="v4.2.0"/>
          <w:b/>
          <w:lang w:val="en-US" w:eastAsia="zh-CN"/>
        </w:rPr>
        <w:t>: SCS condition is not needed for the definition of intra-frequency measurement.</w:t>
      </w:r>
    </w:p>
    <w:p w14:paraId="5B1AD2F9" w14:textId="4D2D6C28" w:rsidR="008215C5" w:rsidRPr="00383836" w:rsidRDefault="008215C5" w:rsidP="008215C5">
      <w:pPr>
        <w:rPr>
          <w:rFonts w:eastAsiaTheme="minorEastAsia" w:cs="v4.2.0"/>
          <w:b/>
          <w:lang w:val="en-US" w:eastAsia="zh-CN"/>
        </w:rPr>
      </w:pPr>
      <w:r w:rsidRPr="00383836">
        <w:rPr>
          <w:rFonts w:eastAsiaTheme="minorEastAsia" w:cs="v4.2.0"/>
          <w:b/>
          <w:lang w:val="en-US" w:eastAsia="zh-CN"/>
        </w:rPr>
        <w:t>Proposal</w:t>
      </w:r>
      <w:r w:rsidR="00260DBC">
        <w:rPr>
          <w:rFonts w:eastAsiaTheme="minorEastAsia" w:cs="v4.2.0"/>
          <w:b/>
          <w:lang w:val="en-US" w:eastAsia="zh-CN"/>
        </w:rPr>
        <w:t xml:space="preserve"> 2</w:t>
      </w:r>
      <w:r w:rsidRPr="00383836">
        <w:rPr>
          <w:rFonts w:eastAsiaTheme="minorEastAsia" w:cs="v4.2.0"/>
          <w:b/>
          <w:lang w:val="en-US" w:eastAsia="zh-CN"/>
        </w:rPr>
        <w:t>: Gap is only needed when the RSSI measurement BW is not fully within the active DL BWP.</w:t>
      </w:r>
    </w:p>
    <w:p w14:paraId="2F1C878E" w14:textId="7329E984" w:rsidR="008215C5" w:rsidRDefault="008215C5" w:rsidP="008215C5">
      <w:pPr>
        <w:rPr>
          <w:rFonts w:eastAsiaTheme="minorEastAsia" w:cs="v4.2.0"/>
          <w:b/>
          <w:lang w:val="en-US" w:eastAsia="zh-CN"/>
        </w:rPr>
      </w:pPr>
      <w:r w:rsidRPr="00ED47FA">
        <w:rPr>
          <w:rFonts w:eastAsiaTheme="minorEastAsia" w:cs="v4.2.0"/>
          <w:b/>
          <w:lang w:val="en-US" w:eastAsia="zh-CN"/>
        </w:rPr>
        <w:t xml:space="preserve">Proposal </w:t>
      </w:r>
      <w:r w:rsidR="00260DBC">
        <w:rPr>
          <w:rFonts w:eastAsiaTheme="minorEastAsia" w:cs="v4.2.0"/>
          <w:b/>
          <w:lang w:val="en-US" w:eastAsia="zh-CN"/>
        </w:rPr>
        <w:t>3</w:t>
      </w:r>
      <w:r w:rsidRPr="00ED47FA">
        <w:rPr>
          <w:rFonts w:eastAsiaTheme="minorEastAsia" w:cs="v4.2.0"/>
          <w:b/>
          <w:lang w:val="en-US" w:eastAsia="zh-CN"/>
        </w:rPr>
        <w:t>: The RSSI measurement is LBT bandwidth.</w:t>
      </w:r>
    </w:p>
    <w:p w14:paraId="4640E431" w14:textId="3128320F" w:rsidR="008215C5" w:rsidRPr="00792E08" w:rsidRDefault="008215C5" w:rsidP="00B71C35">
      <w:pPr>
        <w:rPr>
          <w:rFonts w:eastAsiaTheme="minorEastAsia" w:cs="v4.2.0"/>
          <w:b/>
          <w:lang w:val="en-US" w:eastAsia="zh-CN"/>
        </w:rPr>
      </w:pPr>
      <w:r w:rsidRPr="00800290">
        <w:rPr>
          <w:rFonts w:eastAsiaTheme="minorEastAsia" w:cs="v4.2.0"/>
          <w:b/>
          <w:lang w:val="en-US" w:eastAsia="zh-CN"/>
        </w:rPr>
        <w:t xml:space="preserve">Proposal </w:t>
      </w:r>
      <w:r w:rsidR="00260DBC">
        <w:rPr>
          <w:rFonts w:eastAsiaTheme="minorEastAsia" w:cs="v4.2.0"/>
          <w:b/>
          <w:lang w:val="en-US" w:eastAsia="zh-CN"/>
        </w:rPr>
        <w:t>4</w:t>
      </w:r>
      <w:r w:rsidRPr="00800290">
        <w:rPr>
          <w:rFonts w:eastAsiaTheme="minorEastAsia" w:cs="v4.2.0"/>
          <w:b/>
          <w:lang w:val="en-US" w:eastAsia="zh-CN"/>
        </w:rPr>
        <w:t>: Define scheduling restriction during RSSI/CO measurements and do not differentiat</w:t>
      </w:r>
      <w:r>
        <w:rPr>
          <w:rFonts w:eastAsiaTheme="minorEastAsia" w:cs="v4.2.0" w:hint="eastAsia"/>
          <w:b/>
          <w:lang w:val="en-US" w:eastAsia="zh-CN"/>
        </w:rPr>
        <w:t>e</w:t>
      </w:r>
      <w:r w:rsidRPr="00800290">
        <w:rPr>
          <w:rFonts w:eastAsiaTheme="minorEastAsia" w:cs="v4.2.0"/>
          <w:b/>
          <w:lang w:val="en-US" w:eastAsia="zh-CN"/>
        </w:rPr>
        <w:t xml:space="preserve"> the cases in which </w:t>
      </w:r>
      <w:proofErr w:type="spellStart"/>
      <w:r w:rsidRPr="00800290">
        <w:rPr>
          <w:rFonts w:eastAsiaTheme="minorEastAsia" w:cs="v4.2.0"/>
          <w:b/>
          <w:i/>
          <w:lang w:val="en-US" w:eastAsia="zh-CN"/>
        </w:rPr>
        <w:t>deriveSSB_IndexFromCell</w:t>
      </w:r>
      <w:proofErr w:type="spellEnd"/>
      <w:r w:rsidRPr="00800290">
        <w:rPr>
          <w:rFonts w:eastAsiaTheme="minorEastAsia" w:cs="v4.2.0"/>
          <w:b/>
          <w:lang w:val="en-US" w:eastAsia="zh-CN"/>
        </w:rPr>
        <w:t xml:space="preserve"> is enabled or not for the definition of scheduling</w:t>
      </w:r>
      <w:r>
        <w:rPr>
          <w:rFonts w:eastAsiaTheme="minorEastAsia" w:cs="v4.2.0"/>
          <w:b/>
          <w:lang w:val="en-US" w:eastAsia="zh-CN"/>
        </w:rPr>
        <w:t xml:space="preserve"> restriction.</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464D0A63" w14:textId="27A49CAF" w:rsidR="00DF0231" w:rsidRDefault="00DF0231" w:rsidP="00DF0231">
      <w:r w:rsidRPr="002D2977">
        <w:rPr>
          <w:lang w:val="en-US"/>
        </w:rPr>
        <w:t xml:space="preserve">[1] </w:t>
      </w:r>
      <w:r w:rsidR="00D53A4A" w:rsidRPr="00D53A4A">
        <w:t>R4-2008552</w:t>
      </w:r>
      <w:r w:rsidRPr="002D2977">
        <w:rPr>
          <w:lang w:val="en-US"/>
        </w:rPr>
        <w:t xml:space="preserve"> “</w:t>
      </w:r>
      <w:r w:rsidR="00F15C9D" w:rsidRPr="00F15C9D">
        <w:t>WF on NR-U RRM (Part 3)</w:t>
      </w:r>
      <w:r w:rsidRPr="002D2977">
        <w:rPr>
          <w:lang w:val="en-US"/>
        </w:rPr>
        <w:t>”</w:t>
      </w:r>
      <w:r w:rsidR="0087326D">
        <w:rPr>
          <w:lang w:val="en-US"/>
        </w:rPr>
        <w:t xml:space="preserve">, </w:t>
      </w:r>
      <w:r w:rsidR="00F15C9D" w:rsidRPr="00F15C9D">
        <w:t>Nokia, Nokia Shanghai Bell</w:t>
      </w:r>
    </w:p>
    <w:p w14:paraId="14945CD2" w14:textId="05B40F99" w:rsidR="007D0DF7" w:rsidRDefault="008215C5">
      <w:pPr>
        <w:rPr>
          <w:rFonts w:eastAsiaTheme="minorEastAsia" w:cs="v4.2.0"/>
          <w:lang w:val="en-US" w:eastAsia="zh-CN"/>
        </w:rPr>
      </w:pPr>
      <w:r>
        <w:rPr>
          <w:rFonts w:eastAsiaTheme="minorEastAsia" w:cs="v4.2.0"/>
          <w:lang w:val="en-US" w:eastAsia="zh-CN"/>
        </w:rPr>
        <w:t xml:space="preserve">[2] </w:t>
      </w:r>
      <w:r w:rsidRPr="00D46664">
        <w:rPr>
          <w:rFonts w:eastAsiaTheme="minorEastAsia" w:cs="v4.2.0"/>
          <w:lang w:val="en-US" w:eastAsia="zh-CN"/>
        </w:rPr>
        <w:t>RP-201387</w:t>
      </w:r>
    </w:p>
    <w:p w14:paraId="662AD126" w14:textId="69BAC9A0" w:rsidR="008215C5" w:rsidRPr="00383836" w:rsidRDefault="008C6E85" w:rsidP="008215C5">
      <w:r>
        <w:rPr>
          <w:rFonts w:eastAsiaTheme="minorEastAsia" w:cs="v4.2.0"/>
          <w:lang w:val="en-US" w:eastAsia="zh-CN"/>
        </w:rPr>
        <w:t>[3</w:t>
      </w:r>
      <w:r w:rsidR="008215C5">
        <w:rPr>
          <w:rFonts w:eastAsiaTheme="minorEastAsia" w:cs="v4.2.0"/>
          <w:lang w:val="en-US" w:eastAsia="zh-CN"/>
        </w:rPr>
        <w:t xml:space="preserve">] </w:t>
      </w:r>
      <w:r w:rsidR="008215C5" w:rsidRPr="00383836">
        <w:rPr>
          <w:rFonts w:eastAsiaTheme="minorEastAsia" w:cs="v4.2.0"/>
          <w:lang w:val="en-US" w:eastAsia="zh-CN"/>
        </w:rPr>
        <w:t>R1-2004915</w:t>
      </w:r>
      <w:r w:rsidR="008215C5">
        <w:rPr>
          <w:rFonts w:eastAsiaTheme="minorEastAsia" w:cs="v4.2.0"/>
          <w:lang w:val="en-US" w:eastAsia="zh-CN"/>
        </w:rPr>
        <w:t xml:space="preserve"> </w:t>
      </w:r>
      <w:r w:rsidR="008215C5" w:rsidRPr="00383836">
        <w:rPr>
          <w:rFonts w:eastAsiaTheme="minorEastAsia" w:cs="v4.2.0"/>
          <w:lang w:val="en-US" w:eastAsia="zh-CN"/>
        </w:rPr>
        <w:t>LS to RAN2 on NR-U RSSI Measurement Duration</w:t>
      </w:r>
    </w:p>
    <w:p w14:paraId="67C723CA" w14:textId="543E636F" w:rsidR="008215C5" w:rsidRPr="008215C5" w:rsidRDefault="008215C5"/>
    <w:sectPr w:rsidR="008215C5" w:rsidRPr="008215C5"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DF3D7" w14:textId="77777777" w:rsidR="00043CC8" w:rsidRDefault="00043CC8">
      <w:pPr>
        <w:spacing w:after="0"/>
      </w:pPr>
      <w:r>
        <w:separator/>
      </w:r>
    </w:p>
  </w:endnote>
  <w:endnote w:type="continuationSeparator" w:id="0">
    <w:p w14:paraId="1436571A" w14:textId="77777777" w:rsidR="00043CC8" w:rsidRDefault="00043C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9B226D" w:rsidRDefault="009B226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9B226D" w:rsidRDefault="009B226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9B226D" w:rsidRDefault="009B226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C4C59">
      <w:rPr>
        <w:rStyle w:val="a5"/>
      </w:rPr>
      <w:t>3</w:t>
    </w:r>
    <w:r>
      <w:rPr>
        <w:rStyle w:val="a5"/>
      </w:rPr>
      <w:fldChar w:fldCharType="end"/>
    </w:r>
  </w:p>
  <w:p w14:paraId="4C6D8748" w14:textId="77777777" w:rsidR="009B226D" w:rsidRDefault="009B226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62D63" w14:textId="77777777" w:rsidR="00043CC8" w:rsidRDefault="00043CC8">
      <w:pPr>
        <w:spacing w:after="0"/>
      </w:pPr>
      <w:r>
        <w:separator/>
      </w:r>
    </w:p>
  </w:footnote>
  <w:footnote w:type="continuationSeparator" w:id="0">
    <w:p w14:paraId="3FF5A414" w14:textId="77777777" w:rsidR="00043CC8" w:rsidRDefault="00043C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540F"/>
    <w:multiLevelType w:val="hybridMultilevel"/>
    <w:tmpl w:val="FE68705E"/>
    <w:lvl w:ilvl="0" w:tplc="2C26083C">
      <w:start w:val="1"/>
      <w:numFmt w:val="bullet"/>
      <w:lvlText w:val="•"/>
      <w:lvlJc w:val="left"/>
      <w:pPr>
        <w:tabs>
          <w:tab w:val="num" w:pos="720"/>
        </w:tabs>
        <w:ind w:left="720" w:hanging="360"/>
      </w:pPr>
      <w:rPr>
        <w:rFonts w:ascii="Arial" w:hAnsi="Arial" w:hint="default"/>
      </w:rPr>
    </w:lvl>
    <w:lvl w:ilvl="1" w:tplc="5300B306">
      <w:numFmt w:val="bullet"/>
      <w:lvlText w:val="•"/>
      <w:lvlJc w:val="left"/>
      <w:pPr>
        <w:tabs>
          <w:tab w:val="num" w:pos="1440"/>
        </w:tabs>
        <w:ind w:left="1440" w:hanging="360"/>
      </w:pPr>
      <w:rPr>
        <w:rFonts w:ascii="Arial" w:hAnsi="Arial" w:hint="default"/>
      </w:rPr>
    </w:lvl>
    <w:lvl w:ilvl="2" w:tplc="6ED8C74A" w:tentative="1">
      <w:start w:val="1"/>
      <w:numFmt w:val="bullet"/>
      <w:lvlText w:val="•"/>
      <w:lvlJc w:val="left"/>
      <w:pPr>
        <w:tabs>
          <w:tab w:val="num" w:pos="2160"/>
        </w:tabs>
        <w:ind w:left="2160" w:hanging="360"/>
      </w:pPr>
      <w:rPr>
        <w:rFonts w:ascii="Arial" w:hAnsi="Arial" w:hint="default"/>
      </w:rPr>
    </w:lvl>
    <w:lvl w:ilvl="3" w:tplc="DE9240A8" w:tentative="1">
      <w:start w:val="1"/>
      <w:numFmt w:val="bullet"/>
      <w:lvlText w:val="•"/>
      <w:lvlJc w:val="left"/>
      <w:pPr>
        <w:tabs>
          <w:tab w:val="num" w:pos="2880"/>
        </w:tabs>
        <w:ind w:left="2880" w:hanging="360"/>
      </w:pPr>
      <w:rPr>
        <w:rFonts w:ascii="Arial" w:hAnsi="Arial" w:hint="default"/>
      </w:rPr>
    </w:lvl>
    <w:lvl w:ilvl="4" w:tplc="CC4C0E72" w:tentative="1">
      <w:start w:val="1"/>
      <w:numFmt w:val="bullet"/>
      <w:lvlText w:val="•"/>
      <w:lvlJc w:val="left"/>
      <w:pPr>
        <w:tabs>
          <w:tab w:val="num" w:pos="3600"/>
        </w:tabs>
        <w:ind w:left="3600" w:hanging="360"/>
      </w:pPr>
      <w:rPr>
        <w:rFonts w:ascii="Arial" w:hAnsi="Arial" w:hint="default"/>
      </w:rPr>
    </w:lvl>
    <w:lvl w:ilvl="5" w:tplc="7C2AC976" w:tentative="1">
      <w:start w:val="1"/>
      <w:numFmt w:val="bullet"/>
      <w:lvlText w:val="•"/>
      <w:lvlJc w:val="left"/>
      <w:pPr>
        <w:tabs>
          <w:tab w:val="num" w:pos="4320"/>
        </w:tabs>
        <w:ind w:left="4320" w:hanging="360"/>
      </w:pPr>
      <w:rPr>
        <w:rFonts w:ascii="Arial" w:hAnsi="Arial" w:hint="default"/>
      </w:rPr>
    </w:lvl>
    <w:lvl w:ilvl="6" w:tplc="67D60544" w:tentative="1">
      <w:start w:val="1"/>
      <w:numFmt w:val="bullet"/>
      <w:lvlText w:val="•"/>
      <w:lvlJc w:val="left"/>
      <w:pPr>
        <w:tabs>
          <w:tab w:val="num" w:pos="5040"/>
        </w:tabs>
        <w:ind w:left="5040" w:hanging="360"/>
      </w:pPr>
      <w:rPr>
        <w:rFonts w:ascii="Arial" w:hAnsi="Arial" w:hint="default"/>
      </w:rPr>
    </w:lvl>
    <w:lvl w:ilvl="7" w:tplc="71321D08" w:tentative="1">
      <w:start w:val="1"/>
      <w:numFmt w:val="bullet"/>
      <w:lvlText w:val="•"/>
      <w:lvlJc w:val="left"/>
      <w:pPr>
        <w:tabs>
          <w:tab w:val="num" w:pos="5760"/>
        </w:tabs>
        <w:ind w:left="5760" w:hanging="360"/>
      </w:pPr>
      <w:rPr>
        <w:rFonts w:ascii="Arial" w:hAnsi="Arial" w:hint="default"/>
      </w:rPr>
    </w:lvl>
    <w:lvl w:ilvl="8" w:tplc="22DE1CA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5723B3"/>
    <w:multiLevelType w:val="hybridMultilevel"/>
    <w:tmpl w:val="882A24FE"/>
    <w:lvl w:ilvl="0" w:tplc="977AAD1E">
      <w:start w:val="1"/>
      <w:numFmt w:val="bullet"/>
      <w:lvlText w:val="•"/>
      <w:lvlJc w:val="left"/>
      <w:pPr>
        <w:tabs>
          <w:tab w:val="num" w:pos="720"/>
        </w:tabs>
        <w:ind w:left="720" w:hanging="360"/>
      </w:pPr>
      <w:rPr>
        <w:rFonts w:ascii="Arial" w:hAnsi="Arial" w:hint="default"/>
      </w:rPr>
    </w:lvl>
    <w:lvl w:ilvl="1" w:tplc="EBA478BA">
      <w:numFmt w:val="bullet"/>
      <w:lvlText w:val="•"/>
      <w:lvlJc w:val="left"/>
      <w:pPr>
        <w:tabs>
          <w:tab w:val="num" w:pos="1440"/>
        </w:tabs>
        <w:ind w:left="1440" w:hanging="360"/>
      </w:pPr>
      <w:rPr>
        <w:rFonts w:ascii="Arial" w:hAnsi="Arial" w:hint="default"/>
      </w:rPr>
    </w:lvl>
    <w:lvl w:ilvl="2" w:tplc="100ABD80" w:tentative="1">
      <w:start w:val="1"/>
      <w:numFmt w:val="bullet"/>
      <w:lvlText w:val="•"/>
      <w:lvlJc w:val="left"/>
      <w:pPr>
        <w:tabs>
          <w:tab w:val="num" w:pos="2160"/>
        </w:tabs>
        <w:ind w:left="2160" w:hanging="360"/>
      </w:pPr>
      <w:rPr>
        <w:rFonts w:ascii="Arial" w:hAnsi="Arial" w:hint="default"/>
      </w:rPr>
    </w:lvl>
    <w:lvl w:ilvl="3" w:tplc="75442170" w:tentative="1">
      <w:start w:val="1"/>
      <w:numFmt w:val="bullet"/>
      <w:lvlText w:val="•"/>
      <w:lvlJc w:val="left"/>
      <w:pPr>
        <w:tabs>
          <w:tab w:val="num" w:pos="2880"/>
        </w:tabs>
        <w:ind w:left="2880" w:hanging="360"/>
      </w:pPr>
      <w:rPr>
        <w:rFonts w:ascii="Arial" w:hAnsi="Arial" w:hint="default"/>
      </w:rPr>
    </w:lvl>
    <w:lvl w:ilvl="4" w:tplc="3BCEC778" w:tentative="1">
      <w:start w:val="1"/>
      <w:numFmt w:val="bullet"/>
      <w:lvlText w:val="•"/>
      <w:lvlJc w:val="left"/>
      <w:pPr>
        <w:tabs>
          <w:tab w:val="num" w:pos="3600"/>
        </w:tabs>
        <w:ind w:left="3600" w:hanging="360"/>
      </w:pPr>
      <w:rPr>
        <w:rFonts w:ascii="Arial" w:hAnsi="Arial" w:hint="default"/>
      </w:rPr>
    </w:lvl>
    <w:lvl w:ilvl="5" w:tplc="B9265FFC" w:tentative="1">
      <w:start w:val="1"/>
      <w:numFmt w:val="bullet"/>
      <w:lvlText w:val="•"/>
      <w:lvlJc w:val="left"/>
      <w:pPr>
        <w:tabs>
          <w:tab w:val="num" w:pos="4320"/>
        </w:tabs>
        <w:ind w:left="4320" w:hanging="360"/>
      </w:pPr>
      <w:rPr>
        <w:rFonts w:ascii="Arial" w:hAnsi="Arial" w:hint="default"/>
      </w:rPr>
    </w:lvl>
    <w:lvl w:ilvl="6" w:tplc="AAD65AA0" w:tentative="1">
      <w:start w:val="1"/>
      <w:numFmt w:val="bullet"/>
      <w:lvlText w:val="•"/>
      <w:lvlJc w:val="left"/>
      <w:pPr>
        <w:tabs>
          <w:tab w:val="num" w:pos="5040"/>
        </w:tabs>
        <w:ind w:left="5040" w:hanging="360"/>
      </w:pPr>
      <w:rPr>
        <w:rFonts w:ascii="Arial" w:hAnsi="Arial" w:hint="default"/>
      </w:rPr>
    </w:lvl>
    <w:lvl w:ilvl="7" w:tplc="18CC90FC" w:tentative="1">
      <w:start w:val="1"/>
      <w:numFmt w:val="bullet"/>
      <w:lvlText w:val="•"/>
      <w:lvlJc w:val="left"/>
      <w:pPr>
        <w:tabs>
          <w:tab w:val="num" w:pos="5760"/>
        </w:tabs>
        <w:ind w:left="5760" w:hanging="360"/>
      </w:pPr>
      <w:rPr>
        <w:rFonts w:ascii="Arial" w:hAnsi="Arial" w:hint="default"/>
      </w:rPr>
    </w:lvl>
    <w:lvl w:ilvl="8" w:tplc="8F52A9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95726E"/>
    <w:multiLevelType w:val="hybridMultilevel"/>
    <w:tmpl w:val="6E201BAA"/>
    <w:lvl w:ilvl="0" w:tplc="D1E00DFE">
      <w:start w:val="1"/>
      <w:numFmt w:val="bullet"/>
      <w:lvlText w:val="•"/>
      <w:lvlJc w:val="left"/>
      <w:pPr>
        <w:tabs>
          <w:tab w:val="num" w:pos="720"/>
        </w:tabs>
        <w:ind w:left="720" w:hanging="360"/>
      </w:pPr>
      <w:rPr>
        <w:rFonts w:ascii="Arial" w:hAnsi="Arial" w:hint="default"/>
      </w:rPr>
    </w:lvl>
    <w:lvl w:ilvl="1" w:tplc="3C96A55E">
      <w:numFmt w:val="bullet"/>
      <w:lvlText w:val="•"/>
      <w:lvlJc w:val="left"/>
      <w:pPr>
        <w:tabs>
          <w:tab w:val="num" w:pos="1440"/>
        </w:tabs>
        <w:ind w:left="1440" w:hanging="360"/>
      </w:pPr>
      <w:rPr>
        <w:rFonts w:ascii="Arial" w:hAnsi="Arial" w:hint="default"/>
      </w:rPr>
    </w:lvl>
    <w:lvl w:ilvl="2" w:tplc="8216E9B8" w:tentative="1">
      <w:start w:val="1"/>
      <w:numFmt w:val="bullet"/>
      <w:lvlText w:val="•"/>
      <w:lvlJc w:val="left"/>
      <w:pPr>
        <w:tabs>
          <w:tab w:val="num" w:pos="2160"/>
        </w:tabs>
        <w:ind w:left="2160" w:hanging="360"/>
      </w:pPr>
      <w:rPr>
        <w:rFonts w:ascii="Arial" w:hAnsi="Arial" w:hint="default"/>
      </w:rPr>
    </w:lvl>
    <w:lvl w:ilvl="3" w:tplc="B81A5D90" w:tentative="1">
      <w:start w:val="1"/>
      <w:numFmt w:val="bullet"/>
      <w:lvlText w:val="•"/>
      <w:lvlJc w:val="left"/>
      <w:pPr>
        <w:tabs>
          <w:tab w:val="num" w:pos="2880"/>
        </w:tabs>
        <w:ind w:left="2880" w:hanging="360"/>
      </w:pPr>
      <w:rPr>
        <w:rFonts w:ascii="Arial" w:hAnsi="Arial" w:hint="default"/>
      </w:rPr>
    </w:lvl>
    <w:lvl w:ilvl="4" w:tplc="DCB47824" w:tentative="1">
      <w:start w:val="1"/>
      <w:numFmt w:val="bullet"/>
      <w:lvlText w:val="•"/>
      <w:lvlJc w:val="left"/>
      <w:pPr>
        <w:tabs>
          <w:tab w:val="num" w:pos="3600"/>
        </w:tabs>
        <w:ind w:left="3600" w:hanging="360"/>
      </w:pPr>
      <w:rPr>
        <w:rFonts w:ascii="Arial" w:hAnsi="Arial" w:hint="default"/>
      </w:rPr>
    </w:lvl>
    <w:lvl w:ilvl="5" w:tplc="6090E500" w:tentative="1">
      <w:start w:val="1"/>
      <w:numFmt w:val="bullet"/>
      <w:lvlText w:val="•"/>
      <w:lvlJc w:val="left"/>
      <w:pPr>
        <w:tabs>
          <w:tab w:val="num" w:pos="4320"/>
        </w:tabs>
        <w:ind w:left="4320" w:hanging="360"/>
      </w:pPr>
      <w:rPr>
        <w:rFonts w:ascii="Arial" w:hAnsi="Arial" w:hint="default"/>
      </w:rPr>
    </w:lvl>
    <w:lvl w:ilvl="6" w:tplc="C61478B4" w:tentative="1">
      <w:start w:val="1"/>
      <w:numFmt w:val="bullet"/>
      <w:lvlText w:val="•"/>
      <w:lvlJc w:val="left"/>
      <w:pPr>
        <w:tabs>
          <w:tab w:val="num" w:pos="5040"/>
        </w:tabs>
        <w:ind w:left="5040" w:hanging="360"/>
      </w:pPr>
      <w:rPr>
        <w:rFonts w:ascii="Arial" w:hAnsi="Arial" w:hint="default"/>
      </w:rPr>
    </w:lvl>
    <w:lvl w:ilvl="7" w:tplc="0270F18C" w:tentative="1">
      <w:start w:val="1"/>
      <w:numFmt w:val="bullet"/>
      <w:lvlText w:val="•"/>
      <w:lvlJc w:val="left"/>
      <w:pPr>
        <w:tabs>
          <w:tab w:val="num" w:pos="5760"/>
        </w:tabs>
        <w:ind w:left="5760" w:hanging="360"/>
      </w:pPr>
      <w:rPr>
        <w:rFonts w:ascii="Arial" w:hAnsi="Arial" w:hint="default"/>
      </w:rPr>
    </w:lvl>
    <w:lvl w:ilvl="8" w:tplc="4A12E5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583E16"/>
    <w:multiLevelType w:val="hybridMultilevel"/>
    <w:tmpl w:val="15FCE462"/>
    <w:lvl w:ilvl="0" w:tplc="197291A2">
      <w:start w:val="1"/>
      <w:numFmt w:val="bullet"/>
      <w:lvlText w:val="•"/>
      <w:lvlJc w:val="left"/>
      <w:pPr>
        <w:tabs>
          <w:tab w:val="num" w:pos="720"/>
        </w:tabs>
        <w:ind w:left="720" w:hanging="360"/>
      </w:pPr>
      <w:rPr>
        <w:rFonts w:ascii="Arial" w:hAnsi="Arial" w:hint="default"/>
      </w:rPr>
    </w:lvl>
    <w:lvl w:ilvl="1" w:tplc="5E8C97F2">
      <w:numFmt w:val="bullet"/>
      <w:lvlText w:val="•"/>
      <w:lvlJc w:val="left"/>
      <w:pPr>
        <w:tabs>
          <w:tab w:val="num" w:pos="1440"/>
        </w:tabs>
        <w:ind w:left="1440" w:hanging="360"/>
      </w:pPr>
      <w:rPr>
        <w:rFonts w:ascii="Arial" w:hAnsi="Arial" w:hint="default"/>
      </w:rPr>
    </w:lvl>
    <w:lvl w:ilvl="2" w:tplc="AB5A38B8" w:tentative="1">
      <w:start w:val="1"/>
      <w:numFmt w:val="bullet"/>
      <w:lvlText w:val="•"/>
      <w:lvlJc w:val="left"/>
      <w:pPr>
        <w:tabs>
          <w:tab w:val="num" w:pos="2160"/>
        </w:tabs>
        <w:ind w:left="2160" w:hanging="360"/>
      </w:pPr>
      <w:rPr>
        <w:rFonts w:ascii="Arial" w:hAnsi="Arial" w:hint="default"/>
      </w:rPr>
    </w:lvl>
    <w:lvl w:ilvl="3" w:tplc="4356AFC6" w:tentative="1">
      <w:start w:val="1"/>
      <w:numFmt w:val="bullet"/>
      <w:lvlText w:val="•"/>
      <w:lvlJc w:val="left"/>
      <w:pPr>
        <w:tabs>
          <w:tab w:val="num" w:pos="2880"/>
        </w:tabs>
        <w:ind w:left="2880" w:hanging="360"/>
      </w:pPr>
      <w:rPr>
        <w:rFonts w:ascii="Arial" w:hAnsi="Arial" w:hint="default"/>
      </w:rPr>
    </w:lvl>
    <w:lvl w:ilvl="4" w:tplc="D35AB0DE" w:tentative="1">
      <w:start w:val="1"/>
      <w:numFmt w:val="bullet"/>
      <w:lvlText w:val="•"/>
      <w:lvlJc w:val="left"/>
      <w:pPr>
        <w:tabs>
          <w:tab w:val="num" w:pos="3600"/>
        </w:tabs>
        <w:ind w:left="3600" w:hanging="360"/>
      </w:pPr>
      <w:rPr>
        <w:rFonts w:ascii="Arial" w:hAnsi="Arial" w:hint="default"/>
      </w:rPr>
    </w:lvl>
    <w:lvl w:ilvl="5" w:tplc="D15E796E" w:tentative="1">
      <w:start w:val="1"/>
      <w:numFmt w:val="bullet"/>
      <w:lvlText w:val="•"/>
      <w:lvlJc w:val="left"/>
      <w:pPr>
        <w:tabs>
          <w:tab w:val="num" w:pos="4320"/>
        </w:tabs>
        <w:ind w:left="4320" w:hanging="360"/>
      </w:pPr>
      <w:rPr>
        <w:rFonts w:ascii="Arial" w:hAnsi="Arial" w:hint="default"/>
      </w:rPr>
    </w:lvl>
    <w:lvl w:ilvl="6" w:tplc="D4C04F24" w:tentative="1">
      <w:start w:val="1"/>
      <w:numFmt w:val="bullet"/>
      <w:lvlText w:val="•"/>
      <w:lvlJc w:val="left"/>
      <w:pPr>
        <w:tabs>
          <w:tab w:val="num" w:pos="5040"/>
        </w:tabs>
        <w:ind w:left="5040" w:hanging="360"/>
      </w:pPr>
      <w:rPr>
        <w:rFonts w:ascii="Arial" w:hAnsi="Arial" w:hint="default"/>
      </w:rPr>
    </w:lvl>
    <w:lvl w:ilvl="7" w:tplc="67C4595A" w:tentative="1">
      <w:start w:val="1"/>
      <w:numFmt w:val="bullet"/>
      <w:lvlText w:val="•"/>
      <w:lvlJc w:val="left"/>
      <w:pPr>
        <w:tabs>
          <w:tab w:val="num" w:pos="5760"/>
        </w:tabs>
        <w:ind w:left="5760" w:hanging="360"/>
      </w:pPr>
      <w:rPr>
        <w:rFonts w:ascii="Arial" w:hAnsi="Arial" w:hint="default"/>
      </w:rPr>
    </w:lvl>
    <w:lvl w:ilvl="8" w:tplc="49001B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393FE7"/>
    <w:multiLevelType w:val="hybridMultilevel"/>
    <w:tmpl w:val="720EE5DC"/>
    <w:lvl w:ilvl="0" w:tplc="E2AA3BC4">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E20082"/>
    <w:multiLevelType w:val="hybridMultilevel"/>
    <w:tmpl w:val="59048744"/>
    <w:lvl w:ilvl="0" w:tplc="E5187200">
      <w:start w:val="1"/>
      <w:numFmt w:val="bullet"/>
      <w:lvlText w:val="•"/>
      <w:lvlJc w:val="left"/>
      <w:pPr>
        <w:tabs>
          <w:tab w:val="num" w:pos="720"/>
        </w:tabs>
        <w:ind w:left="720" w:hanging="360"/>
      </w:pPr>
      <w:rPr>
        <w:rFonts w:ascii="Arial" w:hAnsi="Arial" w:hint="default"/>
      </w:rPr>
    </w:lvl>
    <w:lvl w:ilvl="1" w:tplc="0736FEDE">
      <w:numFmt w:val="bullet"/>
      <w:lvlText w:val="•"/>
      <w:lvlJc w:val="left"/>
      <w:pPr>
        <w:tabs>
          <w:tab w:val="num" w:pos="1440"/>
        </w:tabs>
        <w:ind w:left="1440" w:hanging="360"/>
      </w:pPr>
      <w:rPr>
        <w:rFonts w:ascii="Arial" w:hAnsi="Arial" w:hint="default"/>
      </w:rPr>
    </w:lvl>
    <w:lvl w:ilvl="2" w:tplc="3912EA0C" w:tentative="1">
      <w:start w:val="1"/>
      <w:numFmt w:val="bullet"/>
      <w:lvlText w:val="•"/>
      <w:lvlJc w:val="left"/>
      <w:pPr>
        <w:tabs>
          <w:tab w:val="num" w:pos="2160"/>
        </w:tabs>
        <w:ind w:left="2160" w:hanging="360"/>
      </w:pPr>
      <w:rPr>
        <w:rFonts w:ascii="Arial" w:hAnsi="Arial" w:hint="default"/>
      </w:rPr>
    </w:lvl>
    <w:lvl w:ilvl="3" w:tplc="581CBFEC" w:tentative="1">
      <w:start w:val="1"/>
      <w:numFmt w:val="bullet"/>
      <w:lvlText w:val="•"/>
      <w:lvlJc w:val="left"/>
      <w:pPr>
        <w:tabs>
          <w:tab w:val="num" w:pos="2880"/>
        </w:tabs>
        <w:ind w:left="2880" w:hanging="360"/>
      </w:pPr>
      <w:rPr>
        <w:rFonts w:ascii="Arial" w:hAnsi="Arial" w:hint="default"/>
      </w:rPr>
    </w:lvl>
    <w:lvl w:ilvl="4" w:tplc="71E852D8" w:tentative="1">
      <w:start w:val="1"/>
      <w:numFmt w:val="bullet"/>
      <w:lvlText w:val="•"/>
      <w:lvlJc w:val="left"/>
      <w:pPr>
        <w:tabs>
          <w:tab w:val="num" w:pos="3600"/>
        </w:tabs>
        <w:ind w:left="3600" w:hanging="360"/>
      </w:pPr>
      <w:rPr>
        <w:rFonts w:ascii="Arial" w:hAnsi="Arial" w:hint="default"/>
      </w:rPr>
    </w:lvl>
    <w:lvl w:ilvl="5" w:tplc="8006D3A0" w:tentative="1">
      <w:start w:val="1"/>
      <w:numFmt w:val="bullet"/>
      <w:lvlText w:val="•"/>
      <w:lvlJc w:val="left"/>
      <w:pPr>
        <w:tabs>
          <w:tab w:val="num" w:pos="4320"/>
        </w:tabs>
        <w:ind w:left="4320" w:hanging="360"/>
      </w:pPr>
      <w:rPr>
        <w:rFonts w:ascii="Arial" w:hAnsi="Arial" w:hint="default"/>
      </w:rPr>
    </w:lvl>
    <w:lvl w:ilvl="6" w:tplc="4CAA9A1E" w:tentative="1">
      <w:start w:val="1"/>
      <w:numFmt w:val="bullet"/>
      <w:lvlText w:val="•"/>
      <w:lvlJc w:val="left"/>
      <w:pPr>
        <w:tabs>
          <w:tab w:val="num" w:pos="5040"/>
        </w:tabs>
        <w:ind w:left="5040" w:hanging="360"/>
      </w:pPr>
      <w:rPr>
        <w:rFonts w:ascii="Arial" w:hAnsi="Arial" w:hint="default"/>
      </w:rPr>
    </w:lvl>
    <w:lvl w:ilvl="7" w:tplc="0BF06970" w:tentative="1">
      <w:start w:val="1"/>
      <w:numFmt w:val="bullet"/>
      <w:lvlText w:val="•"/>
      <w:lvlJc w:val="left"/>
      <w:pPr>
        <w:tabs>
          <w:tab w:val="num" w:pos="5760"/>
        </w:tabs>
        <w:ind w:left="5760" w:hanging="360"/>
      </w:pPr>
      <w:rPr>
        <w:rFonts w:ascii="Arial" w:hAnsi="Arial" w:hint="default"/>
      </w:rPr>
    </w:lvl>
    <w:lvl w:ilvl="8" w:tplc="5D8ACF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9F6EBE"/>
    <w:multiLevelType w:val="hybridMultilevel"/>
    <w:tmpl w:val="CECA99F6"/>
    <w:lvl w:ilvl="0" w:tplc="26BA14C2">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07025F"/>
    <w:multiLevelType w:val="hybridMultilevel"/>
    <w:tmpl w:val="694870F8"/>
    <w:lvl w:ilvl="0" w:tplc="34620E36">
      <w:start w:val="1"/>
      <w:numFmt w:val="bullet"/>
      <w:lvlText w:val="•"/>
      <w:lvlJc w:val="left"/>
      <w:pPr>
        <w:tabs>
          <w:tab w:val="num" w:pos="720"/>
        </w:tabs>
        <w:ind w:left="720" w:hanging="360"/>
      </w:pPr>
      <w:rPr>
        <w:rFonts w:ascii="Arial" w:hAnsi="Arial" w:hint="default"/>
      </w:rPr>
    </w:lvl>
    <w:lvl w:ilvl="1" w:tplc="948AE2A8">
      <w:start w:val="1"/>
      <w:numFmt w:val="bullet"/>
      <w:lvlText w:val="•"/>
      <w:lvlJc w:val="left"/>
      <w:pPr>
        <w:tabs>
          <w:tab w:val="num" w:pos="1440"/>
        </w:tabs>
        <w:ind w:left="1440" w:hanging="360"/>
      </w:pPr>
      <w:rPr>
        <w:rFonts w:ascii="Arial" w:hAnsi="Arial" w:hint="default"/>
      </w:rPr>
    </w:lvl>
    <w:lvl w:ilvl="2" w:tplc="FDEAC772" w:tentative="1">
      <w:start w:val="1"/>
      <w:numFmt w:val="bullet"/>
      <w:lvlText w:val="•"/>
      <w:lvlJc w:val="left"/>
      <w:pPr>
        <w:tabs>
          <w:tab w:val="num" w:pos="2160"/>
        </w:tabs>
        <w:ind w:left="2160" w:hanging="360"/>
      </w:pPr>
      <w:rPr>
        <w:rFonts w:ascii="Arial" w:hAnsi="Arial" w:hint="default"/>
      </w:rPr>
    </w:lvl>
    <w:lvl w:ilvl="3" w:tplc="1ED05E0C" w:tentative="1">
      <w:start w:val="1"/>
      <w:numFmt w:val="bullet"/>
      <w:lvlText w:val="•"/>
      <w:lvlJc w:val="left"/>
      <w:pPr>
        <w:tabs>
          <w:tab w:val="num" w:pos="2880"/>
        </w:tabs>
        <w:ind w:left="2880" w:hanging="360"/>
      </w:pPr>
      <w:rPr>
        <w:rFonts w:ascii="Arial" w:hAnsi="Arial" w:hint="default"/>
      </w:rPr>
    </w:lvl>
    <w:lvl w:ilvl="4" w:tplc="6D1EAB58" w:tentative="1">
      <w:start w:val="1"/>
      <w:numFmt w:val="bullet"/>
      <w:lvlText w:val="•"/>
      <w:lvlJc w:val="left"/>
      <w:pPr>
        <w:tabs>
          <w:tab w:val="num" w:pos="3600"/>
        </w:tabs>
        <w:ind w:left="3600" w:hanging="360"/>
      </w:pPr>
      <w:rPr>
        <w:rFonts w:ascii="Arial" w:hAnsi="Arial" w:hint="default"/>
      </w:rPr>
    </w:lvl>
    <w:lvl w:ilvl="5" w:tplc="BC022024" w:tentative="1">
      <w:start w:val="1"/>
      <w:numFmt w:val="bullet"/>
      <w:lvlText w:val="•"/>
      <w:lvlJc w:val="left"/>
      <w:pPr>
        <w:tabs>
          <w:tab w:val="num" w:pos="4320"/>
        </w:tabs>
        <w:ind w:left="4320" w:hanging="360"/>
      </w:pPr>
      <w:rPr>
        <w:rFonts w:ascii="Arial" w:hAnsi="Arial" w:hint="default"/>
      </w:rPr>
    </w:lvl>
    <w:lvl w:ilvl="6" w:tplc="6806365A" w:tentative="1">
      <w:start w:val="1"/>
      <w:numFmt w:val="bullet"/>
      <w:lvlText w:val="•"/>
      <w:lvlJc w:val="left"/>
      <w:pPr>
        <w:tabs>
          <w:tab w:val="num" w:pos="5040"/>
        </w:tabs>
        <w:ind w:left="5040" w:hanging="360"/>
      </w:pPr>
      <w:rPr>
        <w:rFonts w:ascii="Arial" w:hAnsi="Arial" w:hint="default"/>
      </w:rPr>
    </w:lvl>
    <w:lvl w:ilvl="7" w:tplc="68144120" w:tentative="1">
      <w:start w:val="1"/>
      <w:numFmt w:val="bullet"/>
      <w:lvlText w:val="•"/>
      <w:lvlJc w:val="left"/>
      <w:pPr>
        <w:tabs>
          <w:tab w:val="num" w:pos="5760"/>
        </w:tabs>
        <w:ind w:left="5760" w:hanging="360"/>
      </w:pPr>
      <w:rPr>
        <w:rFonts w:ascii="Arial" w:hAnsi="Arial" w:hint="default"/>
      </w:rPr>
    </w:lvl>
    <w:lvl w:ilvl="8" w:tplc="F4D64B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114FB8"/>
    <w:multiLevelType w:val="hybridMultilevel"/>
    <w:tmpl w:val="089A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4F95092"/>
    <w:multiLevelType w:val="hybridMultilevel"/>
    <w:tmpl w:val="67CA2B16"/>
    <w:lvl w:ilvl="0" w:tplc="683C1C52">
      <w:start w:val="1"/>
      <w:numFmt w:val="bullet"/>
      <w:lvlText w:val="•"/>
      <w:lvlJc w:val="left"/>
      <w:pPr>
        <w:tabs>
          <w:tab w:val="num" w:pos="720"/>
        </w:tabs>
        <w:ind w:left="720" w:hanging="360"/>
      </w:pPr>
      <w:rPr>
        <w:rFonts w:ascii="Arial" w:hAnsi="Arial" w:hint="default"/>
      </w:rPr>
    </w:lvl>
    <w:lvl w:ilvl="1" w:tplc="CFF449FC">
      <w:numFmt w:val="bullet"/>
      <w:lvlText w:val="•"/>
      <w:lvlJc w:val="left"/>
      <w:pPr>
        <w:tabs>
          <w:tab w:val="num" w:pos="1440"/>
        </w:tabs>
        <w:ind w:left="1440" w:hanging="360"/>
      </w:pPr>
      <w:rPr>
        <w:rFonts w:ascii="Arial" w:hAnsi="Arial" w:hint="default"/>
      </w:rPr>
    </w:lvl>
    <w:lvl w:ilvl="2" w:tplc="C0E0EB36" w:tentative="1">
      <w:start w:val="1"/>
      <w:numFmt w:val="bullet"/>
      <w:lvlText w:val="•"/>
      <w:lvlJc w:val="left"/>
      <w:pPr>
        <w:tabs>
          <w:tab w:val="num" w:pos="2160"/>
        </w:tabs>
        <w:ind w:left="2160" w:hanging="360"/>
      </w:pPr>
      <w:rPr>
        <w:rFonts w:ascii="Arial" w:hAnsi="Arial" w:hint="default"/>
      </w:rPr>
    </w:lvl>
    <w:lvl w:ilvl="3" w:tplc="01A43B7E" w:tentative="1">
      <w:start w:val="1"/>
      <w:numFmt w:val="bullet"/>
      <w:lvlText w:val="•"/>
      <w:lvlJc w:val="left"/>
      <w:pPr>
        <w:tabs>
          <w:tab w:val="num" w:pos="2880"/>
        </w:tabs>
        <w:ind w:left="2880" w:hanging="360"/>
      </w:pPr>
      <w:rPr>
        <w:rFonts w:ascii="Arial" w:hAnsi="Arial" w:hint="default"/>
      </w:rPr>
    </w:lvl>
    <w:lvl w:ilvl="4" w:tplc="9FDE9D92" w:tentative="1">
      <w:start w:val="1"/>
      <w:numFmt w:val="bullet"/>
      <w:lvlText w:val="•"/>
      <w:lvlJc w:val="left"/>
      <w:pPr>
        <w:tabs>
          <w:tab w:val="num" w:pos="3600"/>
        </w:tabs>
        <w:ind w:left="3600" w:hanging="360"/>
      </w:pPr>
      <w:rPr>
        <w:rFonts w:ascii="Arial" w:hAnsi="Arial" w:hint="default"/>
      </w:rPr>
    </w:lvl>
    <w:lvl w:ilvl="5" w:tplc="6694BF38" w:tentative="1">
      <w:start w:val="1"/>
      <w:numFmt w:val="bullet"/>
      <w:lvlText w:val="•"/>
      <w:lvlJc w:val="left"/>
      <w:pPr>
        <w:tabs>
          <w:tab w:val="num" w:pos="4320"/>
        </w:tabs>
        <w:ind w:left="4320" w:hanging="360"/>
      </w:pPr>
      <w:rPr>
        <w:rFonts w:ascii="Arial" w:hAnsi="Arial" w:hint="default"/>
      </w:rPr>
    </w:lvl>
    <w:lvl w:ilvl="6" w:tplc="6AAE3108" w:tentative="1">
      <w:start w:val="1"/>
      <w:numFmt w:val="bullet"/>
      <w:lvlText w:val="•"/>
      <w:lvlJc w:val="left"/>
      <w:pPr>
        <w:tabs>
          <w:tab w:val="num" w:pos="5040"/>
        </w:tabs>
        <w:ind w:left="5040" w:hanging="360"/>
      </w:pPr>
      <w:rPr>
        <w:rFonts w:ascii="Arial" w:hAnsi="Arial" w:hint="default"/>
      </w:rPr>
    </w:lvl>
    <w:lvl w:ilvl="7" w:tplc="4F90A9D2" w:tentative="1">
      <w:start w:val="1"/>
      <w:numFmt w:val="bullet"/>
      <w:lvlText w:val="•"/>
      <w:lvlJc w:val="left"/>
      <w:pPr>
        <w:tabs>
          <w:tab w:val="num" w:pos="5760"/>
        </w:tabs>
        <w:ind w:left="5760" w:hanging="360"/>
      </w:pPr>
      <w:rPr>
        <w:rFonts w:ascii="Arial" w:hAnsi="Arial" w:hint="default"/>
      </w:rPr>
    </w:lvl>
    <w:lvl w:ilvl="8" w:tplc="8716E9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31" w15:restartNumberingAfterBreak="0">
    <w:nsid w:val="7A8F11ED"/>
    <w:multiLevelType w:val="hybridMultilevel"/>
    <w:tmpl w:val="B97C4E7C"/>
    <w:lvl w:ilvl="0" w:tplc="39E445F8">
      <w:start w:val="1"/>
      <w:numFmt w:val="bullet"/>
      <w:lvlText w:val="•"/>
      <w:lvlJc w:val="left"/>
      <w:pPr>
        <w:tabs>
          <w:tab w:val="num" w:pos="720"/>
        </w:tabs>
        <w:ind w:left="720" w:hanging="360"/>
      </w:pPr>
      <w:rPr>
        <w:rFonts w:ascii="Arial" w:hAnsi="Arial" w:hint="default"/>
      </w:rPr>
    </w:lvl>
    <w:lvl w:ilvl="1" w:tplc="9BC44E8C" w:tentative="1">
      <w:start w:val="1"/>
      <w:numFmt w:val="bullet"/>
      <w:lvlText w:val="•"/>
      <w:lvlJc w:val="left"/>
      <w:pPr>
        <w:tabs>
          <w:tab w:val="num" w:pos="1440"/>
        </w:tabs>
        <w:ind w:left="1440" w:hanging="360"/>
      </w:pPr>
      <w:rPr>
        <w:rFonts w:ascii="Arial" w:hAnsi="Arial" w:hint="default"/>
      </w:rPr>
    </w:lvl>
    <w:lvl w:ilvl="2" w:tplc="E8B86F2E" w:tentative="1">
      <w:start w:val="1"/>
      <w:numFmt w:val="bullet"/>
      <w:lvlText w:val="•"/>
      <w:lvlJc w:val="left"/>
      <w:pPr>
        <w:tabs>
          <w:tab w:val="num" w:pos="2160"/>
        </w:tabs>
        <w:ind w:left="2160" w:hanging="360"/>
      </w:pPr>
      <w:rPr>
        <w:rFonts w:ascii="Arial" w:hAnsi="Arial" w:hint="default"/>
      </w:rPr>
    </w:lvl>
    <w:lvl w:ilvl="3" w:tplc="B00EB57E" w:tentative="1">
      <w:start w:val="1"/>
      <w:numFmt w:val="bullet"/>
      <w:lvlText w:val="•"/>
      <w:lvlJc w:val="left"/>
      <w:pPr>
        <w:tabs>
          <w:tab w:val="num" w:pos="2880"/>
        </w:tabs>
        <w:ind w:left="2880" w:hanging="360"/>
      </w:pPr>
      <w:rPr>
        <w:rFonts w:ascii="Arial" w:hAnsi="Arial" w:hint="default"/>
      </w:rPr>
    </w:lvl>
    <w:lvl w:ilvl="4" w:tplc="116E1630" w:tentative="1">
      <w:start w:val="1"/>
      <w:numFmt w:val="bullet"/>
      <w:lvlText w:val="•"/>
      <w:lvlJc w:val="left"/>
      <w:pPr>
        <w:tabs>
          <w:tab w:val="num" w:pos="3600"/>
        </w:tabs>
        <w:ind w:left="3600" w:hanging="360"/>
      </w:pPr>
      <w:rPr>
        <w:rFonts w:ascii="Arial" w:hAnsi="Arial" w:hint="default"/>
      </w:rPr>
    </w:lvl>
    <w:lvl w:ilvl="5" w:tplc="707CAA9A" w:tentative="1">
      <w:start w:val="1"/>
      <w:numFmt w:val="bullet"/>
      <w:lvlText w:val="•"/>
      <w:lvlJc w:val="left"/>
      <w:pPr>
        <w:tabs>
          <w:tab w:val="num" w:pos="4320"/>
        </w:tabs>
        <w:ind w:left="4320" w:hanging="360"/>
      </w:pPr>
      <w:rPr>
        <w:rFonts w:ascii="Arial" w:hAnsi="Arial" w:hint="default"/>
      </w:rPr>
    </w:lvl>
    <w:lvl w:ilvl="6" w:tplc="796EFA08" w:tentative="1">
      <w:start w:val="1"/>
      <w:numFmt w:val="bullet"/>
      <w:lvlText w:val="•"/>
      <w:lvlJc w:val="left"/>
      <w:pPr>
        <w:tabs>
          <w:tab w:val="num" w:pos="5040"/>
        </w:tabs>
        <w:ind w:left="5040" w:hanging="360"/>
      </w:pPr>
      <w:rPr>
        <w:rFonts w:ascii="Arial" w:hAnsi="Arial" w:hint="default"/>
      </w:rPr>
    </w:lvl>
    <w:lvl w:ilvl="7" w:tplc="C7D865C6" w:tentative="1">
      <w:start w:val="1"/>
      <w:numFmt w:val="bullet"/>
      <w:lvlText w:val="•"/>
      <w:lvlJc w:val="left"/>
      <w:pPr>
        <w:tabs>
          <w:tab w:val="num" w:pos="5760"/>
        </w:tabs>
        <w:ind w:left="5760" w:hanging="360"/>
      </w:pPr>
      <w:rPr>
        <w:rFonts w:ascii="Arial" w:hAnsi="Arial" w:hint="default"/>
      </w:rPr>
    </w:lvl>
    <w:lvl w:ilvl="8" w:tplc="BF42ED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8A12F1"/>
    <w:multiLevelType w:val="hybridMultilevel"/>
    <w:tmpl w:val="A9826A6C"/>
    <w:lvl w:ilvl="0" w:tplc="0F4C1DFE">
      <w:start w:val="1"/>
      <w:numFmt w:val="bullet"/>
      <w:lvlText w:val="•"/>
      <w:lvlJc w:val="left"/>
      <w:pPr>
        <w:tabs>
          <w:tab w:val="num" w:pos="720"/>
        </w:tabs>
        <w:ind w:left="720" w:hanging="360"/>
      </w:pPr>
      <w:rPr>
        <w:rFonts w:ascii="Arial" w:hAnsi="Arial" w:hint="default"/>
      </w:rPr>
    </w:lvl>
    <w:lvl w:ilvl="1" w:tplc="1CB49C70" w:tentative="1">
      <w:start w:val="1"/>
      <w:numFmt w:val="bullet"/>
      <w:lvlText w:val="•"/>
      <w:lvlJc w:val="left"/>
      <w:pPr>
        <w:tabs>
          <w:tab w:val="num" w:pos="1440"/>
        </w:tabs>
        <w:ind w:left="1440" w:hanging="360"/>
      </w:pPr>
      <w:rPr>
        <w:rFonts w:ascii="Arial" w:hAnsi="Arial" w:hint="default"/>
      </w:rPr>
    </w:lvl>
    <w:lvl w:ilvl="2" w:tplc="0AB2C85E" w:tentative="1">
      <w:start w:val="1"/>
      <w:numFmt w:val="bullet"/>
      <w:lvlText w:val="•"/>
      <w:lvlJc w:val="left"/>
      <w:pPr>
        <w:tabs>
          <w:tab w:val="num" w:pos="2160"/>
        </w:tabs>
        <w:ind w:left="2160" w:hanging="360"/>
      </w:pPr>
      <w:rPr>
        <w:rFonts w:ascii="Arial" w:hAnsi="Arial" w:hint="default"/>
      </w:rPr>
    </w:lvl>
    <w:lvl w:ilvl="3" w:tplc="69208C14" w:tentative="1">
      <w:start w:val="1"/>
      <w:numFmt w:val="bullet"/>
      <w:lvlText w:val="•"/>
      <w:lvlJc w:val="left"/>
      <w:pPr>
        <w:tabs>
          <w:tab w:val="num" w:pos="2880"/>
        </w:tabs>
        <w:ind w:left="2880" w:hanging="360"/>
      </w:pPr>
      <w:rPr>
        <w:rFonts w:ascii="Arial" w:hAnsi="Arial" w:hint="default"/>
      </w:rPr>
    </w:lvl>
    <w:lvl w:ilvl="4" w:tplc="59B4BFD0" w:tentative="1">
      <w:start w:val="1"/>
      <w:numFmt w:val="bullet"/>
      <w:lvlText w:val="•"/>
      <w:lvlJc w:val="left"/>
      <w:pPr>
        <w:tabs>
          <w:tab w:val="num" w:pos="3600"/>
        </w:tabs>
        <w:ind w:left="3600" w:hanging="360"/>
      </w:pPr>
      <w:rPr>
        <w:rFonts w:ascii="Arial" w:hAnsi="Arial" w:hint="default"/>
      </w:rPr>
    </w:lvl>
    <w:lvl w:ilvl="5" w:tplc="3AA2A9EC" w:tentative="1">
      <w:start w:val="1"/>
      <w:numFmt w:val="bullet"/>
      <w:lvlText w:val="•"/>
      <w:lvlJc w:val="left"/>
      <w:pPr>
        <w:tabs>
          <w:tab w:val="num" w:pos="4320"/>
        </w:tabs>
        <w:ind w:left="4320" w:hanging="360"/>
      </w:pPr>
      <w:rPr>
        <w:rFonts w:ascii="Arial" w:hAnsi="Arial" w:hint="default"/>
      </w:rPr>
    </w:lvl>
    <w:lvl w:ilvl="6" w:tplc="6A22FAE6" w:tentative="1">
      <w:start w:val="1"/>
      <w:numFmt w:val="bullet"/>
      <w:lvlText w:val="•"/>
      <w:lvlJc w:val="left"/>
      <w:pPr>
        <w:tabs>
          <w:tab w:val="num" w:pos="5040"/>
        </w:tabs>
        <w:ind w:left="5040" w:hanging="360"/>
      </w:pPr>
      <w:rPr>
        <w:rFonts w:ascii="Arial" w:hAnsi="Arial" w:hint="default"/>
      </w:rPr>
    </w:lvl>
    <w:lvl w:ilvl="7" w:tplc="CE341B24" w:tentative="1">
      <w:start w:val="1"/>
      <w:numFmt w:val="bullet"/>
      <w:lvlText w:val="•"/>
      <w:lvlJc w:val="left"/>
      <w:pPr>
        <w:tabs>
          <w:tab w:val="num" w:pos="5760"/>
        </w:tabs>
        <w:ind w:left="5760" w:hanging="360"/>
      </w:pPr>
      <w:rPr>
        <w:rFonts w:ascii="Arial" w:hAnsi="Arial" w:hint="default"/>
      </w:rPr>
    </w:lvl>
    <w:lvl w:ilvl="8" w:tplc="8AA43A5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
  </w:num>
  <w:num w:numId="3">
    <w:abstractNumId w:val="26"/>
  </w:num>
  <w:num w:numId="4">
    <w:abstractNumId w:val="30"/>
  </w:num>
  <w:num w:numId="5">
    <w:abstractNumId w:val="20"/>
  </w:num>
  <w:num w:numId="6">
    <w:abstractNumId w:val="5"/>
  </w:num>
  <w:num w:numId="7">
    <w:abstractNumId w:val="17"/>
  </w:num>
  <w:num w:numId="8">
    <w:abstractNumId w:val="2"/>
  </w:num>
  <w:num w:numId="9">
    <w:abstractNumId w:val="4"/>
  </w:num>
  <w:num w:numId="10">
    <w:abstractNumId w:val="3"/>
  </w:num>
  <w:num w:numId="11">
    <w:abstractNumId w:val="9"/>
  </w:num>
  <w:num w:numId="12">
    <w:abstractNumId w:val="12"/>
  </w:num>
  <w:num w:numId="13">
    <w:abstractNumId w:val="11"/>
  </w:num>
  <w:num w:numId="14">
    <w:abstractNumId w:val="6"/>
  </w:num>
  <w:num w:numId="15">
    <w:abstractNumId w:val="24"/>
  </w:num>
  <w:num w:numId="16">
    <w:abstractNumId w:val="14"/>
  </w:num>
  <w:num w:numId="17">
    <w:abstractNumId w:val="13"/>
  </w:num>
  <w:num w:numId="18">
    <w:abstractNumId w:val="19"/>
  </w:num>
  <w:num w:numId="19">
    <w:abstractNumId w:val="28"/>
  </w:num>
  <w:num w:numId="20">
    <w:abstractNumId w:val="22"/>
  </w:num>
  <w:num w:numId="21">
    <w:abstractNumId w:val="29"/>
  </w:num>
  <w:num w:numId="22">
    <w:abstractNumId w:val="23"/>
  </w:num>
  <w:num w:numId="23">
    <w:abstractNumId w:val="31"/>
  </w:num>
  <w:num w:numId="24">
    <w:abstractNumId w:val="32"/>
  </w:num>
  <w:num w:numId="25">
    <w:abstractNumId w:val="0"/>
  </w:num>
  <w:num w:numId="26">
    <w:abstractNumId w:val="7"/>
  </w:num>
  <w:num w:numId="27">
    <w:abstractNumId w:val="27"/>
  </w:num>
  <w:num w:numId="28">
    <w:abstractNumId w:val="18"/>
  </w:num>
  <w:num w:numId="29">
    <w:abstractNumId w:val="8"/>
  </w:num>
  <w:num w:numId="30">
    <w:abstractNumId w:val="21"/>
  </w:num>
  <w:num w:numId="31">
    <w:abstractNumId w:val="16"/>
  </w:num>
  <w:num w:numId="32">
    <w:abstractNumId w:val="10"/>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21CC"/>
    <w:rsid w:val="000131D4"/>
    <w:rsid w:val="00043CC8"/>
    <w:rsid w:val="0004558E"/>
    <w:rsid w:val="00063E08"/>
    <w:rsid w:val="00067B89"/>
    <w:rsid w:val="000A1878"/>
    <w:rsid w:val="000A2ED7"/>
    <w:rsid w:val="000A4BCB"/>
    <w:rsid w:val="000A7A19"/>
    <w:rsid w:val="000C154C"/>
    <w:rsid w:val="000D2930"/>
    <w:rsid w:val="000E0A8A"/>
    <w:rsid w:val="000E2C03"/>
    <w:rsid w:val="0010016B"/>
    <w:rsid w:val="00100360"/>
    <w:rsid w:val="00106B71"/>
    <w:rsid w:val="001270A1"/>
    <w:rsid w:val="00164F56"/>
    <w:rsid w:val="0017747E"/>
    <w:rsid w:val="001E7174"/>
    <w:rsid w:val="001F437B"/>
    <w:rsid w:val="0020033A"/>
    <w:rsid w:val="002221AC"/>
    <w:rsid w:val="00222AF7"/>
    <w:rsid w:val="002328DD"/>
    <w:rsid w:val="002339ED"/>
    <w:rsid w:val="00245810"/>
    <w:rsid w:val="00254006"/>
    <w:rsid w:val="00254F38"/>
    <w:rsid w:val="00260DBC"/>
    <w:rsid w:val="002736F0"/>
    <w:rsid w:val="00282D3C"/>
    <w:rsid w:val="00294B79"/>
    <w:rsid w:val="002A5E54"/>
    <w:rsid w:val="002B3EF2"/>
    <w:rsid w:val="002B45C3"/>
    <w:rsid w:val="002E668C"/>
    <w:rsid w:val="002F579F"/>
    <w:rsid w:val="0030638F"/>
    <w:rsid w:val="00311CF9"/>
    <w:rsid w:val="003139FE"/>
    <w:rsid w:val="00336939"/>
    <w:rsid w:val="00356FB6"/>
    <w:rsid w:val="00362718"/>
    <w:rsid w:val="0036592F"/>
    <w:rsid w:val="003664ED"/>
    <w:rsid w:val="00374A00"/>
    <w:rsid w:val="003A5E2B"/>
    <w:rsid w:val="003D794D"/>
    <w:rsid w:val="003E683D"/>
    <w:rsid w:val="003F0451"/>
    <w:rsid w:val="003F762D"/>
    <w:rsid w:val="00406366"/>
    <w:rsid w:val="00430F24"/>
    <w:rsid w:val="00432636"/>
    <w:rsid w:val="00435EBD"/>
    <w:rsid w:val="00451B80"/>
    <w:rsid w:val="00461C12"/>
    <w:rsid w:val="00466D02"/>
    <w:rsid w:val="00477263"/>
    <w:rsid w:val="0049501A"/>
    <w:rsid w:val="004A2C40"/>
    <w:rsid w:val="004A678E"/>
    <w:rsid w:val="004A7CF2"/>
    <w:rsid w:val="004C4868"/>
    <w:rsid w:val="004E21D1"/>
    <w:rsid w:val="004F0167"/>
    <w:rsid w:val="005020DF"/>
    <w:rsid w:val="00507437"/>
    <w:rsid w:val="0051050C"/>
    <w:rsid w:val="00520DD2"/>
    <w:rsid w:val="005235DB"/>
    <w:rsid w:val="0052623A"/>
    <w:rsid w:val="00530EB0"/>
    <w:rsid w:val="005375AA"/>
    <w:rsid w:val="00545EC2"/>
    <w:rsid w:val="0054734A"/>
    <w:rsid w:val="005A456B"/>
    <w:rsid w:val="005E4CCD"/>
    <w:rsid w:val="005F5231"/>
    <w:rsid w:val="006A79AC"/>
    <w:rsid w:val="006D43CD"/>
    <w:rsid w:val="006F27CD"/>
    <w:rsid w:val="00701598"/>
    <w:rsid w:val="00702FA5"/>
    <w:rsid w:val="00712608"/>
    <w:rsid w:val="00714064"/>
    <w:rsid w:val="007200C7"/>
    <w:rsid w:val="00723883"/>
    <w:rsid w:val="00732D90"/>
    <w:rsid w:val="00736D84"/>
    <w:rsid w:val="0077159B"/>
    <w:rsid w:val="007902A8"/>
    <w:rsid w:val="00792E08"/>
    <w:rsid w:val="007A37DA"/>
    <w:rsid w:val="007B7142"/>
    <w:rsid w:val="007C04D0"/>
    <w:rsid w:val="007D0DF7"/>
    <w:rsid w:val="007D3409"/>
    <w:rsid w:val="007E5F97"/>
    <w:rsid w:val="007E67EC"/>
    <w:rsid w:val="007F2E6A"/>
    <w:rsid w:val="00804945"/>
    <w:rsid w:val="00806052"/>
    <w:rsid w:val="008215C5"/>
    <w:rsid w:val="008446CE"/>
    <w:rsid w:val="0087326D"/>
    <w:rsid w:val="00873C1C"/>
    <w:rsid w:val="008766C3"/>
    <w:rsid w:val="00884051"/>
    <w:rsid w:val="0088604D"/>
    <w:rsid w:val="008921D4"/>
    <w:rsid w:val="00892EAE"/>
    <w:rsid w:val="008A1C4E"/>
    <w:rsid w:val="008A6B2A"/>
    <w:rsid w:val="008B4F73"/>
    <w:rsid w:val="008C6E85"/>
    <w:rsid w:val="008D55C5"/>
    <w:rsid w:val="008E2591"/>
    <w:rsid w:val="00907365"/>
    <w:rsid w:val="00914A03"/>
    <w:rsid w:val="0091568D"/>
    <w:rsid w:val="00915DEA"/>
    <w:rsid w:val="009450D8"/>
    <w:rsid w:val="009708D0"/>
    <w:rsid w:val="0099102E"/>
    <w:rsid w:val="009968CF"/>
    <w:rsid w:val="009A5118"/>
    <w:rsid w:val="009B226D"/>
    <w:rsid w:val="009C4B04"/>
    <w:rsid w:val="009C4E39"/>
    <w:rsid w:val="009C7D5E"/>
    <w:rsid w:val="009D03C6"/>
    <w:rsid w:val="009D12F7"/>
    <w:rsid w:val="009D2942"/>
    <w:rsid w:val="009D4189"/>
    <w:rsid w:val="009E3626"/>
    <w:rsid w:val="009E3A88"/>
    <w:rsid w:val="009E6763"/>
    <w:rsid w:val="009E6DC8"/>
    <w:rsid w:val="00A1597D"/>
    <w:rsid w:val="00A22790"/>
    <w:rsid w:val="00A26AB0"/>
    <w:rsid w:val="00A33C20"/>
    <w:rsid w:val="00A34913"/>
    <w:rsid w:val="00A35F07"/>
    <w:rsid w:val="00A42E3A"/>
    <w:rsid w:val="00AC2C97"/>
    <w:rsid w:val="00AD65F4"/>
    <w:rsid w:val="00AD69AA"/>
    <w:rsid w:val="00AE165A"/>
    <w:rsid w:val="00AE6BE0"/>
    <w:rsid w:val="00AF5966"/>
    <w:rsid w:val="00B03811"/>
    <w:rsid w:val="00B10C6E"/>
    <w:rsid w:val="00B23292"/>
    <w:rsid w:val="00B2746E"/>
    <w:rsid w:val="00B343A3"/>
    <w:rsid w:val="00B41E6D"/>
    <w:rsid w:val="00B71C35"/>
    <w:rsid w:val="00B73A82"/>
    <w:rsid w:val="00B76F4D"/>
    <w:rsid w:val="00B9001D"/>
    <w:rsid w:val="00B911CA"/>
    <w:rsid w:val="00BB2A32"/>
    <w:rsid w:val="00BC449A"/>
    <w:rsid w:val="00BC47AB"/>
    <w:rsid w:val="00BD2AB1"/>
    <w:rsid w:val="00BE1FD4"/>
    <w:rsid w:val="00BE1FEB"/>
    <w:rsid w:val="00BE677A"/>
    <w:rsid w:val="00BE6A2E"/>
    <w:rsid w:val="00BF00A7"/>
    <w:rsid w:val="00BF33D9"/>
    <w:rsid w:val="00BF62DA"/>
    <w:rsid w:val="00C11B10"/>
    <w:rsid w:val="00C166E3"/>
    <w:rsid w:val="00C31920"/>
    <w:rsid w:val="00C338CA"/>
    <w:rsid w:val="00C42942"/>
    <w:rsid w:val="00C50A0A"/>
    <w:rsid w:val="00C638D8"/>
    <w:rsid w:val="00C83525"/>
    <w:rsid w:val="00C972C5"/>
    <w:rsid w:val="00CA1729"/>
    <w:rsid w:val="00CA1DAE"/>
    <w:rsid w:val="00CE0DA0"/>
    <w:rsid w:val="00D24B94"/>
    <w:rsid w:val="00D34050"/>
    <w:rsid w:val="00D41D2D"/>
    <w:rsid w:val="00D53A4A"/>
    <w:rsid w:val="00D82643"/>
    <w:rsid w:val="00DB10D2"/>
    <w:rsid w:val="00DB1DD4"/>
    <w:rsid w:val="00DB61B3"/>
    <w:rsid w:val="00DD1DFF"/>
    <w:rsid w:val="00DF0231"/>
    <w:rsid w:val="00E04C43"/>
    <w:rsid w:val="00E06181"/>
    <w:rsid w:val="00E16D37"/>
    <w:rsid w:val="00E17F78"/>
    <w:rsid w:val="00E22D0F"/>
    <w:rsid w:val="00E4026A"/>
    <w:rsid w:val="00E5666B"/>
    <w:rsid w:val="00E577DD"/>
    <w:rsid w:val="00E72064"/>
    <w:rsid w:val="00E775B2"/>
    <w:rsid w:val="00E83537"/>
    <w:rsid w:val="00E91110"/>
    <w:rsid w:val="00E9184C"/>
    <w:rsid w:val="00EA4E79"/>
    <w:rsid w:val="00EA5149"/>
    <w:rsid w:val="00EB02DF"/>
    <w:rsid w:val="00EC4C59"/>
    <w:rsid w:val="00EE4EEA"/>
    <w:rsid w:val="00EE6F45"/>
    <w:rsid w:val="00EF1F3E"/>
    <w:rsid w:val="00EF66B2"/>
    <w:rsid w:val="00F0497C"/>
    <w:rsid w:val="00F076D1"/>
    <w:rsid w:val="00F10653"/>
    <w:rsid w:val="00F15C9D"/>
    <w:rsid w:val="00F22DF5"/>
    <w:rsid w:val="00F303F4"/>
    <w:rsid w:val="00F413E7"/>
    <w:rsid w:val="00F43475"/>
    <w:rsid w:val="00F559B5"/>
    <w:rsid w:val="00F714A7"/>
    <w:rsid w:val="00FA1D27"/>
    <w:rsid w:val="00FA4943"/>
    <w:rsid w:val="00FC0387"/>
    <w:rsid w:val="00FC0F9D"/>
    <w:rsid w:val="00FC2E44"/>
    <w:rsid w:val="00FC3492"/>
    <w:rsid w:val="00FD27FB"/>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17">
      <w:bodyDiv w:val="1"/>
      <w:marLeft w:val="0"/>
      <w:marRight w:val="0"/>
      <w:marTop w:val="0"/>
      <w:marBottom w:val="0"/>
      <w:divBdr>
        <w:top w:val="none" w:sz="0" w:space="0" w:color="auto"/>
        <w:left w:val="none" w:sz="0" w:space="0" w:color="auto"/>
        <w:bottom w:val="none" w:sz="0" w:space="0" w:color="auto"/>
        <w:right w:val="none" w:sz="0" w:space="0" w:color="auto"/>
      </w:divBdr>
      <w:divsChild>
        <w:div w:id="2089185858">
          <w:marLeft w:val="360"/>
          <w:marRight w:val="0"/>
          <w:marTop w:val="200"/>
          <w:marBottom w:val="0"/>
          <w:divBdr>
            <w:top w:val="none" w:sz="0" w:space="0" w:color="auto"/>
            <w:left w:val="none" w:sz="0" w:space="0" w:color="auto"/>
            <w:bottom w:val="none" w:sz="0" w:space="0" w:color="auto"/>
            <w:right w:val="none" w:sz="0" w:space="0" w:color="auto"/>
          </w:divBdr>
        </w:div>
        <w:div w:id="1183472512">
          <w:marLeft w:val="360"/>
          <w:marRight w:val="0"/>
          <w:marTop w:val="200"/>
          <w:marBottom w:val="0"/>
          <w:divBdr>
            <w:top w:val="none" w:sz="0" w:space="0" w:color="auto"/>
            <w:left w:val="none" w:sz="0" w:space="0" w:color="auto"/>
            <w:bottom w:val="none" w:sz="0" w:space="0" w:color="auto"/>
            <w:right w:val="none" w:sz="0" w:space="0" w:color="auto"/>
          </w:divBdr>
        </w:div>
        <w:div w:id="1484080709">
          <w:marLeft w:val="1080"/>
          <w:marRight w:val="0"/>
          <w:marTop w:val="100"/>
          <w:marBottom w:val="0"/>
          <w:divBdr>
            <w:top w:val="none" w:sz="0" w:space="0" w:color="auto"/>
            <w:left w:val="none" w:sz="0" w:space="0" w:color="auto"/>
            <w:bottom w:val="none" w:sz="0" w:space="0" w:color="auto"/>
            <w:right w:val="none" w:sz="0" w:space="0" w:color="auto"/>
          </w:divBdr>
        </w:div>
        <w:div w:id="160002846">
          <w:marLeft w:val="1080"/>
          <w:marRight w:val="0"/>
          <w:marTop w:val="100"/>
          <w:marBottom w:val="0"/>
          <w:divBdr>
            <w:top w:val="none" w:sz="0" w:space="0" w:color="auto"/>
            <w:left w:val="none" w:sz="0" w:space="0" w:color="auto"/>
            <w:bottom w:val="none" w:sz="0" w:space="0" w:color="auto"/>
            <w:right w:val="none" w:sz="0" w:space="0" w:color="auto"/>
          </w:divBdr>
        </w:div>
      </w:divsChild>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48237797">
      <w:bodyDiv w:val="1"/>
      <w:marLeft w:val="0"/>
      <w:marRight w:val="0"/>
      <w:marTop w:val="0"/>
      <w:marBottom w:val="0"/>
      <w:divBdr>
        <w:top w:val="none" w:sz="0" w:space="0" w:color="auto"/>
        <w:left w:val="none" w:sz="0" w:space="0" w:color="auto"/>
        <w:bottom w:val="none" w:sz="0" w:space="0" w:color="auto"/>
        <w:right w:val="none" w:sz="0" w:space="0" w:color="auto"/>
      </w:divBdr>
      <w:divsChild>
        <w:div w:id="921180488">
          <w:marLeft w:val="360"/>
          <w:marRight w:val="0"/>
          <w:marTop w:val="200"/>
          <w:marBottom w:val="0"/>
          <w:divBdr>
            <w:top w:val="none" w:sz="0" w:space="0" w:color="auto"/>
            <w:left w:val="none" w:sz="0" w:space="0" w:color="auto"/>
            <w:bottom w:val="none" w:sz="0" w:space="0" w:color="auto"/>
            <w:right w:val="none" w:sz="0" w:space="0" w:color="auto"/>
          </w:divBdr>
        </w:div>
        <w:div w:id="23479396">
          <w:marLeft w:val="360"/>
          <w:marRight w:val="0"/>
          <w:marTop w:val="200"/>
          <w:marBottom w:val="0"/>
          <w:divBdr>
            <w:top w:val="none" w:sz="0" w:space="0" w:color="auto"/>
            <w:left w:val="none" w:sz="0" w:space="0" w:color="auto"/>
            <w:bottom w:val="none" w:sz="0" w:space="0" w:color="auto"/>
            <w:right w:val="none" w:sz="0" w:space="0" w:color="auto"/>
          </w:divBdr>
        </w:div>
        <w:div w:id="286619523">
          <w:marLeft w:val="1080"/>
          <w:marRight w:val="0"/>
          <w:marTop w:val="100"/>
          <w:marBottom w:val="0"/>
          <w:divBdr>
            <w:top w:val="none" w:sz="0" w:space="0" w:color="auto"/>
            <w:left w:val="none" w:sz="0" w:space="0" w:color="auto"/>
            <w:bottom w:val="none" w:sz="0" w:space="0" w:color="auto"/>
            <w:right w:val="none" w:sz="0" w:space="0" w:color="auto"/>
          </w:divBdr>
        </w:div>
        <w:div w:id="935137148">
          <w:marLeft w:val="108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77867525">
      <w:bodyDiv w:val="1"/>
      <w:marLeft w:val="0"/>
      <w:marRight w:val="0"/>
      <w:marTop w:val="0"/>
      <w:marBottom w:val="0"/>
      <w:divBdr>
        <w:top w:val="none" w:sz="0" w:space="0" w:color="auto"/>
        <w:left w:val="none" w:sz="0" w:space="0" w:color="auto"/>
        <w:bottom w:val="none" w:sz="0" w:space="0" w:color="auto"/>
        <w:right w:val="none" w:sz="0" w:space="0" w:color="auto"/>
      </w:divBdr>
      <w:divsChild>
        <w:div w:id="474185603">
          <w:marLeft w:val="360"/>
          <w:marRight w:val="0"/>
          <w:marTop w:val="200"/>
          <w:marBottom w:val="0"/>
          <w:divBdr>
            <w:top w:val="none" w:sz="0" w:space="0" w:color="auto"/>
            <w:left w:val="none" w:sz="0" w:space="0" w:color="auto"/>
            <w:bottom w:val="none" w:sz="0" w:space="0" w:color="auto"/>
            <w:right w:val="none" w:sz="0" w:space="0" w:color="auto"/>
          </w:divBdr>
        </w:div>
        <w:div w:id="1851985591">
          <w:marLeft w:val="360"/>
          <w:marRight w:val="0"/>
          <w:marTop w:val="200"/>
          <w:marBottom w:val="0"/>
          <w:divBdr>
            <w:top w:val="none" w:sz="0" w:space="0" w:color="auto"/>
            <w:left w:val="none" w:sz="0" w:space="0" w:color="auto"/>
            <w:bottom w:val="none" w:sz="0" w:space="0" w:color="auto"/>
            <w:right w:val="none" w:sz="0" w:space="0" w:color="auto"/>
          </w:divBdr>
        </w:div>
      </w:divsChild>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57965768">
      <w:bodyDiv w:val="1"/>
      <w:marLeft w:val="0"/>
      <w:marRight w:val="0"/>
      <w:marTop w:val="0"/>
      <w:marBottom w:val="0"/>
      <w:divBdr>
        <w:top w:val="none" w:sz="0" w:space="0" w:color="auto"/>
        <w:left w:val="none" w:sz="0" w:space="0" w:color="auto"/>
        <w:bottom w:val="none" w:sz="0" w:space="0" w:color="auto"/>
        <w:right w:val="none" w:sz="0" w:space="0" w:color="auto"/>
      </w:divBdr>
      <w:divsChild>
        <w:div w:id="1883832401">
          <w:marLeft w:val="360"/>
          <w:marRight w:val="0"/>
          <w:marTop w:val="200"/>
          <w:marBottom w:val="0"/>
          <w:divBdr>
            <w:top w:val="none" w:sz="0" w:space="0" w:color="auto"/>
            <w:left w:val="none" w:sz="0" w:space="0" w:color="auto"/>
            <w:bottom w:val="none" w:sz="0" w:space="0" w:color="auto"/>
            <w:right w:val="none" w:sz="0" w:space="0" w:color="auto"/>
          </w:divBdr>
        </w:div>
        <w:div w:id="1701973767">
          <w:marLeft w:val="360"/>
          <w:marRight w:val="0"/>
          <w:marTop w:val="200"/>
          <w:marBottom w:val="0"/>
          <w:divBdr>
            <w:top w:val="none" w:sz="0" w:space="0" w:color="auto"/>
            <w:left w:val="none" w:sz="0" w:space="0" w:color="auto"/>
            <w:bottom w:val="none" w:sz="0" w:space="0" w:color="auto"/>
            <w:right w:val="none" w:sz="0" w:space="0" w:color="auto"/>
          </w:divBdr>
        </w:div>
        <w:div w:id="766657107">
          <w:marLeft w:val="1080"/>
          <w:marRight w:val="0"/>
          <w:marTop w:val="100"/>
          <w:marBottom w:val="0"/>
          <w:divBdr>
            <w:top w:val="none" w:sz="0" w:space="0" w:color="auto"/>
            <w:left w:val="none" w:sz="0" w:space="0" w:color="auto"/>
            <w:bottom w:val="none" w:sz="0" w:space="0" w:color="auto"/>
            <w:right w:val="none" w:sz="0" w:space="0" w:color="auto"/>
          </w:divBdr>
        </w:div>
      </w:divsChild>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3414952">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67461211">
      <w:bodyDiv w:val="1"/>
      <w:marLeft w:val="0"/>
      <w:marRight w:val="0"/>
      <w:marTop w:val="0"/>
      <w:marBottom w:val="0"/>
      <w:divBdr>
        <w:top w:val="none" w:sz="0" w:space="0" w:color="auto"/>
        <w:left w:val="none" w:sz="0" w:space="0" w:color="auto"/>
        <w:bottom w:val="none" w:sz="0" w:space="0" w:color="auto"/>
        <w:right w:val="none" w:sz="0" w:space="0" w:color="auto"/>
      </w:divBdr>
    </w:div>
    <w:div w:id="405303830">
      <w:bodyDiv w:val="1"/>
      <w:marLeft w:val="0"/>
      <w:marRight w:val="0"/>
      <w:marTop w:val="0"/>
      <w:marBottom w:val="0"/>
      <w:divBdr>
        <w:top w:val="none" w:sz="0" w:space="0" w:color="auto"/>
        <w:left w:val="none" w:sz="0" w:space="0" w:color="auto"/>
        <w:bottom w:val="none" w:sz="0" w:space="0" w:color="auto"/>
        <w:right w:val="none" w:sz="0" w:space="0" w:color="auto"/>
      </w:divBdr>
      <w:divsChild>
        <w:div w:id="987631290">
          <w:marLeft w:val="360"/>
          <w:marRight w:val="0"/>
          <w:marTop w:val="200"/>
          <w:marBottom w:val="0"/>
          <w:divBdr>
            <w:top w:val="none" w:sz="0" w:space="0" w:color="auto"/>
            <w:left w:val="none" w:sz="0" w:space="0" w:color="auto"/>
            <w:bottom w:val="none" w:sz="0" w:space="0" w:color="auto"/>
            <w:right w:val="none" w:sz="0" w:space="0" w:color="auto"/>
          </w:divBdr>
        </w:div>
        <w:div w:id="1584954090">
          <w:marLeft w:val="360"/>
          <w:marRight w:val="0"/>
          <w:marTop w:val="200"/>
          <w:marBottom w:val="0"/>
          <w:divBdr>
            <w:top w:val="none" w:sz="0" w:space="0" w:color="auto"/>
            <w:left w:val="none" w:sz="0" w:space="0" w:color="auto"/>
            <w:bottom w:val="none" w:sz="0" w:space="0" w:color="auto"/>
            <w:right w:val="none" w:sz="0" w:space="0" w:color="auto"/>
          </w:divBdr>
        </w:div>
      </w:divsChild>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35263235">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82550721">
      <w:bodyDiv w:val="1"/>
      <w:marLeft w:val="0"/>
      <w:marRight w:val="0"/>
      <w:marTop w:val="0"/>
      <w:marBottom w:val="0"/>
      <w:divBdr>
        <w:top w:val="none" w:sz="0" w:space="0" w:color="auto"/>
        <w:left w:val="none" w:sz="0" w:space="0" w:color="auto"/>
        <w:bottom w:val="none" w:sz="0" w:space="0" w:color="auto"/>
        <w:right w:val="none" w:sz="0" w:space="0" w:color="auto"/>
      </w:divBdr>
      <w:divsChild>
        <w:div w:id="1518737485">
          <w:marLeft w:val="360"/>
          <w:marRight w:val="0"/>
          <w:marTop w:val="200"/>
          <w:marBottom w:val="0"/>
          <w:divBdr>
            <w:top w:val="none" w:sz="0" w:space="0" w:color="auto"/>
            <w:left w:val="none" w:sz="0" w:space="0" w:color="auto"/>
            <w:bottom w:val="none" w:sz="0" w:space="0" w:color="auto"/>
            <w:right w:val="none" w:sz="0" w:space="0" w:color="auto"/>
          </w:divBdr>
        </w:div>
        <w:div w:id="1620795654">
          <w:marLeft w:val="360"/>
          <w:marRight w:val="0"/>
          <w:marTop w:val="200"/>
          <w:marBottom w:val="0"/>
          <w:divBdr>
            <w:top w:val="none" w:sz="0" w:space="0" w:color="auto"/>
            <w:left w:val="none" w:sz="0" w:space="0" w:color="auto"/>
            <w:bottom w:val="none" w:sz="0" w:space="0" w:color="auto"/>
            <w:right w:val="none" w:sz="0" w:space="0" w:color="auto"/>
          </w:divBdr>
        </w:div>
        <w:div w:id="2033726907">
          <w:marLeft w:val="1080"/>
          <w:marRight w:val="0"/>
          <w:marTop w:val="100"/>
          <w:marBottom w:val="0"/>
          <w:divBdr>
            <w:top w:val="none" w:sz="0" w:space="0" w:color="auto"/>
            <w:left w:val="none" w:sz="0" w:space="0" w:color="auto"/>
            <w:bottom w:val="none" w:sz="0" w:space="0" w:color="auto"/>
            <w:right w:val="none" w:sz="0" w:space="0" w:color="auto"/>
          </w:divBdr>
        </w:div>
        <w:div w:id="1684672061">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3628309">
      <w:bodyDiv w:val="1"/>
      <w:marLeft w:val="0"/>
      <w:marRight w:val="0"/>
      <w:marTop w:val="0"/>
      <w:marBottom w:val="0"/>
      <w:divBdr>
        <w:top w:val="none" w:sz="0" w:space="0" w:color="auto"/>
        <w:left w:val="none" w:sz="0" w:space="0" w:color="auto"/>
        <w:bottom w:val="none" w:sz="0" w:space="0" w:color="auto"/>
        <w:right w:val="none" w:sz="0" w:space="0" w:color="auto"/>
      </w:divBdr>
      <w:divsChild>
        <w:div w:id="1254705561">
          <w:marLeft w:val="360"/>
          <w:marRight w:val="0"/>
          <w:marTop w:val="200"/>
          <w:marBottom w:val="0"/>
          <w:divBdr>
            <w:top w:val="none" w:sz="0" w:space="0" w:color="auto"/>
            <w:left w:val="none" w:sz="0" w:space="0" w:color="auto"/>
            <w:bottom w:val="none" w:sz="0" w:space="0" w:color="auto"/>
            <w:right w:val="none" w:sz="0" w:space="0" w:color="auto"/>
          </w:divBdr>
        </w:div>
        <w:div w:id="182406374">
          <w:marLeft w:val="360"/>
          <w:marRight w:val="0"/>
          <w:marTop w:val="200"/>
          <w:marBottom w:val="0"/>
          <w:divBdr>
            <w:top w:val="none" w:sz="0" w:space="0" w:color="auto"/>
            <w:left w:val="none" w:sz="0" w:space="0" w:color="auto"/>
            <w:bottom w:val="none" w:sz="0" w:space="0" w:color="auto"/>
            <w:right w:val="none" w:sz="0" w:space="0" w:color="auto"/>
          </w:divBdr>
        </w:div>
        <w:div w:id="1362587873">
          <w:marLeft w:val="1080"/>
          <w:marRight w:val="0"/>
          <w:marTop w:val="100"/>
          <w:marBottom w:val="0"/>
          <w:divBdr>
            <w:top w:val="none" w:sz="0" w:space="0" w:color="auto"/>
            <w:left w:val="none" w:sz="0" w:space="0" w:color="auto"/>
            <w:bottom w:val="none" w:sz="0" w:space="0" w:color="auto"/>
            <w:right w:val="none" w:sz="0" w:space="0" w:color="auto"/>
          </w:divBdr>
        </w:div>
        <w:div w:id="510994139">
          <w:marLeft w:val="1080"/>
          <w:marRight w:val="0"/>
          <w:marTop w:val="100"/>
          <w:marBottom w:val="0"/>
          <w:divBdr>
            <w:top w:val="none" w:sz="0" w:space="0" w:color="auto"/>
            <w:left w:val="none" w:sz="0" w:space="0" w:color="auto"/>
            <w:bottom w:val="none" w:sz="0" w:space="0" w:color="auto"/>
            <w:right w:val="none" w:sz="0" w:space="0" w:color="auto"/>
          </w:divBdr>
        </w:div>
        <w:div w:id="2093967293">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0263998">
      <w:bodyDiv w:val="1"/>
      <w:marLeft w:val="0"/>
      <w:marRight w:val="0"/>
      <w:marTop w:val="0"/>
      <w:marBottom w:val="0"/>
      <w:divBdr>
        <w:top w:val="none" w:sz="0" w:space="0" w:color="auto"/>
        <w:left w:val="none" w:sz="0" w:space="0" w:color="auto"/>
        <w:bottom w:val="none" w:sz="0" w:space="0" w:color="auto"/>
        <w:right w:val="none" w:sz="0" w:space="0" w:color="auto"/>
      </w:divBdr>
      <w:divsChild>
        <w:div w:id="574239904">
          <w:marLeft w:val="360"/>
          <w:marRight w:val="0"/>
          <w:marTop w:val="200"/>
          <w:marBottom w:val="0"/>
          <w:divBdr>
            <w:top w:val="none" w:sz="0" w:space="0" w:color="auto"/>
            <w:left w:val="none" w:sz="0" w:space="0" w:color="auto"/>
            <w:bottom w:val="none" w:sz="0" w:space="0" w:color="auto"/>
            <w:right w:val="none" w:sz="0" w:space="0" w:color="auto"/>
          </w:divBdr>
        </w:div>
        <w:div w:id="1056466516">
          <w:marLeft w:val="360"/>
          <w:marRight w:val="0"/>
          <w:marTop w:val="200"/>
          <w:marBottom w:val="0"/>
          <w:divBdr>
            <w:top w:val="none" w:sz="0" w:space="0" w:color="auto"/>
            <w:left w:val="none" w:sz="0" w:space="0" w:color="auto"/>
            <w:bottom w:val="none" w:sz="0" w:space="0" w:color="auto"/>
            <w:right w:val="none" w:sz="0" w:space="0" w:color="auto"/>
          </w:divBdr>
        </w:div>
      </w:divsChild>
    </w:div>
    <w:div w:id="1488130538">
      <w:bodyDiv w:val="1"/>
      <w:marLeft w:val="0"/>
      <w:marRight w:val="0"/>
      <w:marTop w:val="0"/>
      <w:marBottom w:val="0"/>
      <w:divBdr>
        <w:top w:val="none" w:sz="0" w:space="0" w:color="auto"/>
        <w:left w:val="none" w:sz="0" w:space="0" w:color="auto"/>
        <w:bottom w:val="none" w:sz="0" w:space="0" w:color="auto"/>
        <w:right w:val="none" w:sz="0" w:space="0" w:color="auto"/>
      </w:divBdr>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30488721">
      <w:bodyDiv w:val="1"/>
      <w:marLeft w:val="0"/>
      <w:marRight w:val="0"/>
      <w:marTop w:val="0"/>
      <w:marBottom w:val="0"/>
      <w:divBdr>
        <w:top w:val="none" w:sz="0" w:space="0" w:color="auto"/>
        <w:left w:val="none" w:sz="0" w:space="0" w:color="auto"/>
        <w:bottom w:val="none" w:sz="0" w:space="0" w:color="auto"/>
        <w:right w:val="none" w:sz="0" w:space="0" w:color="auto"/>
      </w:divBdr>
      <w:divsChild>
        <w:div w:id="555047505">
          <w:marLeft w:val="360"/>
          <w:marRight w:val="0"/>
          <w:marTop w:val="200"/>
          <w:marBottom w:val="0"/>
          <w:divBdr>
            <w:top w:val="none" w:sz="0" w:space="0" w:color="auto"/>
            <w:left w:val="none" w:sz="0" w:space="0" w:color="auto"/>
            <w:bottom w:val="none" w:sz="0" w:space="0" w:color="auto"/>
            <w:right w:val="none" w:sz="0" w:space="0" w:color="auto"/>
          </w:divBdr>
        </w:div>
        <w:div w:id="1957061743">
          <w:marLeft w:val="1080"/>
          <w:marRight w:val="0"/>
          <w:marTop w:val="100"/>
          <w:marBottom w:val="0"/>
          <w:divBdr>
            <w:top w:val="none" w:sz="0" w:space="0" w:color="auto"/>
            <w:left w:val="none" w:sz="0" w:space="0" w:color="auto"/>
            <w:bottom w:val="none" w:sz="0" w:space="0" w:color="auto"/>
            <w:right w:val="none" w:sz="0" w:space="0" w:color="auto"/>
          </w:divBdr>
        </w:div>
        <w:div w:id="1729259419">
          <w:marLeft w:val="1080"/>
          <w:marRight w:val="0"/>
          <w:marTop w:val="1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167824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920</TotalTime>
  <Pages>1</Pages>
  <Words>1297</Words>
  <Characters>7396</Characters>
  <Application>Microsoft Office Word</Application>
  <DocSecurity>0</DocSecurity>
  <Lines>61</Lines>
  <Paragraphs>17</Paragraphs>
  <ScaleCrop>false</ScaleCrop>
  <Company>HUAWEI</Company>
  <LinksUpToDate>false</LinksUpToDate>
  <CharactersWithSpaces>8676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dcterms:created xsi:type="dcterms:W3CDTF">2020-06-28T04:14:00Z</dcterms:created>
  <dcterms:modified xsi:type="dcterms:W3CDTF">2020-08-07T14:44:00Z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(3)2LX+TUbRI0GoYSfIW422STYp2jG2ZboLOAL9exe0XOvoJAMIFo7mpTqE0se8MlPv8PN9ejuU
s3JMSe/zqiWjDYA0jiKy7I+mn3scmNsoGtkD7yNg1do2K7MriyFpgoAsi/HMtUWkIAhVJB7Y
5kUsahftrgk9oBGw9CGaqsDGJJaIptSKc0hbNTjFFtGVvObX7wuVRvxufkei0hPLcIlRAJfg
KHFlHJLdoENVBzIBSv</vt:lpwstr>
  </property>
  <property fmtid="{D5CDD505-2E9C-101B-9397-08002B2CF9AE}" pid="3" name="_2015_ms_pID_7253431">
    <vt:lpwstr>t0GcJ95vbQZqRIL/WdO9bHikutrCQo89hJWA+y8VJFl5kHpQEiGZcH
B1idIwQ3eZnovo7LIiDNkM6pN1cbH9oLIsxgSeDUYReHrQqXquIE550yDOMk05o/AfPxM3pa
k2jPaZCgJoT4Y9HX7amH85dlSUoOpjN71mp2G2D1D3vV11Y5YXs265+TfF4SW2x3u20coz0V
67XQFstVf78x6vnU6HqG0ayf+yXIDE6Bfgbn</vt:lpwstr>
  </property>
  <property fmtid="{D5CDD505-2E9C-101B-9397-08002B2CF9AE}" pid="4" name="_2015_ms_pID_7253432">
    <vt:lpwstr>l9nVgkdDp/MGV3rDb47XSg4=</vt:lpwstr>
  </property>
</Properties>
</file>