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79" w:rsidRPr="00433CAE" w:rsidRDefault="00727879" w:rsidP="00727879">
      <w:pPr>
        <w:spacing w:after="120"/>
        <w:rPr>
          <w:rFonts w:ascii="Arial" w:hAnsi="Arial" w:cs="Arial" w:hint="eastAsia"/>
          <w:b/>
          <w:color w:val="000000"/>
          <w:sz w:val="22"/>
          <w:lang w:val="pt-BR" w:eastAsia="zh-CN"/>
        </w:rPr>
      </w:pPr>
      <w:r w:rsidRPr="0042360A">
        <w:rPr>
          <w:rFonts w:ascii="Arial" w:eastAsia="MS Mincho" w:hAnsi="Arial" w:cs="Arial"/>
          <w:b/>
          <w:color w:val="000000"/>
          <w:sz w:val="22"/>
          <w:lang w:val="pt-BR"/>
        </w:rPr>
        <w:t xml:space="preserve">3GPP TSG-RAN WG4 Meeting # 96-e </w:t>
      </w:r>
      <w:r w:rsidRPr="0042360A">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sidRPr="00433CAE">
        <w:rPr>
          <w:rFonts w:ascii="Arial" w:eastAsia="MS Mincho" w:hAnsi="Arial" w:cs="Arial"/>
          <w:b/>
          <w:color w:val="000000"/>
          <w:sz w:val="22"/>
          <w:lang w:val="pt-BR"/>
        </w:rPr>
        <w:t>R4-2011552</w:t>
      </w:r>
    </w:p>
    <w:p w:rsidR="00727879"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Electronic Meeting, 17-28 Aug., 2020</w:t>
      </w:r>
    </w:p>
    <w:p w:rsidR="001E0A28" w:rsidRPr="00A82640"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C45D41">
        <w:rPr>
          <w:rFonts w:hint="eastAsia"/>
          <w:lang w:eastAsia="zh-CN"/>
        </w:rPr>
        <w:t>)</w:t>
      </w:r>
      <w:r w:rsidR="00C45D41">
        <w:rPr>
          <w:rFonts w:hint="eastAsia"/>
          <w:lang w:eastAsia="zh-CN"/>
        </w:rPr>
        <w:t>：</w:t>
      </w:r>
    </w:p>
    <w:p w:rsidR="00287CCC" w:rsidRPr="00D03C87" w:rsidRDefault="00D03C87" w:rsidP="009372BC">
      <w:pPr>
        <w:pStyle w:val="afe"/>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section 6.3.3 for on-on time mask )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718"/>
        <w:gridCol w:w="882"/>
        <w:gridCol w:w="8257"/>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rsidTr="00E0157C">
        <w:trPr>
          <w:trHeight w:val="468"/>
        </w:trPr>
        <w:tc>
          <w:tcPr>
            <w:tcW w:w="1174" w:type="dxa"/>
          </w:tcPr>
          <w:p w:rsidR="00293D91" w:rsidRPr="00954D21" w:rsidRDefault="00293D91" w:rsidP="00C07B8F">
            <w:pPr>
              <w:rPr>
                <w:rFonts w:ascii="Arial" w:eastAsia="宋体" w:hAnsi="Arial" w:cs="Arial"/>
                <w:b/>
                <w:bCs/>
                <w:color w:val="0000FF"/>
                <w:sz w:val="16"/>
                <w:szCs w:val="16"/>
                <w:u w:val="single"/>
                <w:lang w:eastAsia="zh-CN"/>
              </w:rPr>
            </w:pPr>
            <w:r w:rsidRPr="00293D91">
              <w:rPr>
                <w:rStyle w:val="ac"/>
                <w:rFonts w:ascii="Arial" w:hAnsi="Arial" w:cs="Arial"/>
                <w:b/>
                <w:bCs/>
                <w:sz w:val="16"/>
                <w:szCs w:val="16"/>
              </w:rPr>
              <w:t>R4-2010915</w:t>
            </w:r>
          </w:p>
        </w:tc>
        <w:tc>
          <w:tcPr>
            <w:tcW w:w="1115" w:type="dxa"/>
          </w:tcPr>
          <w:p w:rsidR="00293D91" w:rsidRDefault="00293D91" w:rsidP="00C07B8F">
            <w:pPr>
              <w:rPr>
                <w:rFonts w:ascii="Arial" w:eastAsia="宋体" w:hAnsi="Arial" w:cs="Arial"/>
                <w:sz w:val="16"/>
                <w:szCs w:val="16"/>
              </w:rPr>
            </w:pPr>
            <w:r w:rsidRPr="00293D91">
              <w:rPr>
                <w:rFonts w:ascii="Arial" w:hAnsi="Arial" w:cs="Arial"/>
                <w:sz w:val="16"/>
                <w:szCs w:val="16"/>
              </w:rPr>
              <w:t>Qualcomm Incorporated</w:t>
            </w:r>
          </w:p>
        </w:tc>
        <w:tc>
          <w:tcPr>
            <w:tcW w:w="7568" w:type="dxa"/>
          </w:tcPr>
          <w:p w:rsidR="00293D91" w:rsidRPr="00293D91" w:rsidRDefault="00293D91" w:rsidP="00293D91">
            <w:pPr>
              <w:jc w:val="both"/>
              <w:rPr>
                <w:rFonts w:eastAsiaTheme="minorEastAsia"/>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rsidTr="00E0157C">
        <w:trPr>
          <w:trHeight w:val="468"/>
        </w:trPr>
        <w:tc>
          <w:tcPr>
            <w:tcW w:w="1174" w:type="dxa"/>
          </w:tcPr>
          <w:p w:rsidR="00E0157C" w:rsidRPr="00954D21" w:rsidRDefault="00E0157C" w:rsidP="00C07B8F">
            <w:pPr>
              <w:rPr>
                <w:rFonts w:ascii="Arial" w:eastAsia="宋体" w:hAnsi="Arial" w:cs="Arial"/>
                <w:b/>
                <w:bCs/>
                <w:color w:val="0000FF"/>
                <w:sz w:val="16"/>
                <w:szCs w:val="16"/>
                <w:u w:val="single"/>
                <w:lang w:eastAsia="zh-CN"/>
              </w:rPr>
            </w:pPr>
            <w:r w:rsidRPr="00293D91">
              <w:rPr>
                <w:rFonts w:ascii="Arial" w:eastAsia="宋体" w:hAnsi="Arial" w:cs="Arial"/>
                <w:b/>
                <w:bCs/>
                <w:color w:val="0000FF"/>
                <w:sz w:val="16"/>
                <w:szCs w:val="16"/>
                <w:u w:val="single"/>
                <w:lang w:eastAsia="zh-CN"/>
              </w:rPr>
              <w:t>R4-2011475</w:t>
            </w:r>
          </w:p>
        </w:tc>
        <w:tc>
          <w:tcPr>
            <w:tcW w:w="1115" w:type="dxa"/>
          </w:tcPr>
          <w:p w:rsidR="00E0157C" w:rsidRDefault="00E0157C" w:rsidP="00C07B8F">
            <w:pPr>
              <w:rPr>
                <w:rFonts w:ascii="Arial" w:eastAsia="宋体" w:hAnsi="Arial" w:cs="Arial"/>
                <w:sz w:val="16"/>
                <w:szCs w:val="16"/>
              </w:rPr>
            </w:pPr>
            <w:r w:rsidRPr="00293D91">
              <w:rPr>
                <w:rFonts w:ascii="Arial" w:eastAsia="宋体" w:hAnsi="Arial" w:cs="Arial"/>
                <w:sz w:val="16"/>
                <w:szCs w:val="16"/>
              </w:rPr>
              <w:t>Huawei, HiSilicon</w:t>
            </w:r>
          </w:p>
        </w:tc>
        <w:tc>
          <w:tcPr>
            <w:tcW w:w="7568" w:type="dxa"/>
          </w:tcPr>
          <w:p w:rsidR="00E0157C" w:rsidRDefault="00E0157C" w:rsidP="00C07B8F">
            <w:pPr>
              <w:jc w:val="both"/>
              <w:rPr>
                <w:rFonts w:eastAsiaTheme="minorEastAsia"/>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rsidR="00E0157C" w:rsidRPr="008C6426" w:rsidRDefault="00E0157C" w:rsidP="00C07B8F">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4035"/>
            </w:tblGrid>
            <w:tr w:rsidR="00E0157C" w:rsidTr="00C07B8F">
              <w:tc>
                <w:tcPr>
                  <w:tcW w:w="4928" w:type="dxa"/>
                  <w:shd w:val="clear" w:color="auto" w:fill="auto"/>
                </w:tcPr>
                <w:p w:rsidR="00E0157C" w:rsidRDefault="00E0157C" w:rsidP="00C07B8F">
                  <w:r>
                    <w:lastRenderedPageBreak/>
                    <w:t xml:space="preserve">UE Supported </w:t>
                  </w:r>
                  <w:r>
                    <w:rPr>
                      <w:rFonts w:hint="eastAsia"/>
                    </w:rPr>
                    <w:t>S</w:t>
                  </w:r>
                  <w:r>
                    <w:t>CS</w:t>
                  </w:r>
                </w:p>
              </w:tc>
              <w:tc>
                <w:tcPr>
                  <w:tcW w:w="4929" w:type="dxa"/>
                  <w:shd w:val="clear" w:color="auto" w:fill="auto"/>
                </w:tcPr>
                <w:p w:rsidR="00E0157C" w:rsidRDefault="00E0157C" w:rsidP="00C07B8F">
                  <w:r>
                    <w:t xml:space="preserve">Transient period capability requirement </w:t>
                  </w:r>
                </w:p>
              </w:tc>
            </w:tr>
            <w:tr w:rsidR="00E0157C" w:rsidTr="00C07B8F">
              <w:tc>
                <w:tcPr>
                  <w:tcW w:w="4928" w:type="dxa"/>
                  <w:shd w:val="clear" w:color="auto" w:fill="auto"/>
                </w:tcPr>
                <w:p w:rsidR="00E0157C" w:rsidRDefault="00E0157C" w:rsidP="00C07B8F">
                  <w:r>
                    <w:rPr>
                      <w:rFonts w:hint="eastAsia"/>
                    </w:rPr>
                    <w:t>1</w:t>
                  </w:r>
                  <w:r>
                    <w:t>5kHz</w:t>
                  </w:r>
                </w:p>
              </w:tc>
              <w:tc>
                <w:tcPr>
                  <w:tcW w:w="4929" w:type="dxa"/>
                  <w:shd w:val="clear" w:color="auto" w:fill="auto"/>
                </w:tcPr>
                <w:p w:rsidR="00E0157C" w:rsidRDefault="00E0157C" w:rsidP="00C07B8F">
                  <w:r>
                    <w:rPr>
                      <w:rFonts w:hint="eastAsia"/>
                    </w:rPr>
                    <w:t>7</w:t>
                  </w:r>
                  <w:r>
                    <w:t>us, 10us</w:t>
                  </w:r>
                </w:p>
              </w:tc>
            </w:tr>
            <w:tr w:rsidR="00E0157C" w:rsidTr="00C07B8F">
              <w:tc>
                <w:tcPr>
                  <w:tcW w:w="4928" w:type="dxa"/>
                  <w:shd w:val="clear" w:color="auto" w:fill="auto"/>
                </w:tcPr>
                <w:p w:rsidR="00E0157C" w:rsidRDefault="00E0157C" w:rsidP="00C07B8F">
                  <w:r>
                    <w:rPr>
                      <w:rFonts w:hint="eastAsia"/>
                    </w:rPr>
                    <w:t>3</w:t>
                  </w:r>
                  <w:r>
                    <w:t>0kHz</w:t>
                  </w:r>
                </w:p>
              </w:tc>
              <w:tc>
                <w:tcPr>
                  <w:tcW w:w="4929" w:type="dxa"/>
                  <w:shd w:val="clear" w:color="auto" w:fill="auto"/>
                </w:tcPr>
                <w:p w:rsidR="00E0157C" w:rsidRDefault="00E0157C" w:rsidP="00C07B8F">
                  <w:r>
                    <w:rPr>
                      <w:rFonts w:hint="eastAsia"/>
                    </w:rPr>
                    <w:t>4</w:t>
                  </w:r>
                  <w:r>
                    <w:t>us, 10us</w:t>
                  </w:r>
                </w:p>
              </w:tc>
            </w:tr>
            <w:tr w:rsidR="00E0157C" w:rsidTr="00C07B8F">
              <w:tc>
                <w:tcPr>
                  <w:tcW w:w="4928" w:type="dxa"/>
                  <w:shd w:val="clear" w:color="auto" w:fill="auto"/>
                </w:tcPr>
                <w:p w:rsidR="00E0157C" w:rsidRDefault="00E0157C" w:rsidP="00C07B8F">
                  <w:r>
                    <w:rPr>
                      <w:rFonts w:hint="eastAsia"/>
                    </w:rPr>
                    <w:t>6</w:t>
                  </w:r>
                  <w:r>
                    <w:t>0kHz</w:t>
                  </w:r>
                </w:p>
              </w:tc>
              <w:tc>
                <w:tcPr>
                  <w:tcW w:w="4929" w:type="dxa"/>
                  <w:shd w:val="clear" w:color="auto" w:fill="auto"/>
                </w:tcPr>
                <w:p w:rsidR="00E0157C" w:rsidRDefault="00E0157C" w:rsidP="00C07B8F">
                  <w:r>
                    <w:rPr>
                      <w:rFonts w:hint="eastAsia"/>
                    </w:rPr>
                    <w:t>2</w:t>
                  </w:r>
                  <w:r>
                    <w:t>us, 10us</w:t>
                  </w:r>
                </w:p>
              </w:tc>
            </w:tr>
            <w:tr w:rsidR="00E0157C" w:rsidTr="00C07B8F">
              <w:tc>
                <w:tcPr>
                  <w:tcW w:w="4928" w:type="dxa"/>
                  <w:shd w:val="clear" w:color="auto" w:fill="auto"/>
                </w:tcPr>
                <w:p w:rsidR="00E0157C" w:rsidRDefault="00E0157C" w:rsidP="00C07B8F">
                  <w:r>
                    <w:rPr>
                      <w:rFonts w:hint="eastAsia"/>
                    </w:rPr>
                    <w:t>1</w:t>
                  </w:r>
                  <w:r>
                    <w:t>5kHz and 30kHz</w:t>
                  </w:r>
                </w:p>
              </w:tc>
              <w:tc>
                <w:tcPr>
                  <w:tcW w:w="4929" w:type="dxa"/>
                  <w:shd w:val="clear" w:color="auto" w:fill="auto"/>
                </w:tcPr>
                <w:p w:rsidR="00E0157C" w:rsidRDefault="00E0157C" w:rsidP="00C07B8F">
                  <w:r>
                    <w:rPr>
                      <w:rFonts w:hint="eastAsia"/>
                    </w:rPr>
                    <w:t>7</w:t>
                  </w:r>
                  <w:r>
                    <w:t>us ,4us and 10us</w:t>
                  </w:r>
                </w:p>
              </w:tc>
            </w:tr>
            <w:tr w:rsidR="00E0157C" w:rsidTr="00C07B8F">
              <w:tc>
                <w:tcPr>
                  <w:tcW w:w="4928" w:type="dxa"/>
                  <w:shd w:val="clear" w:color="auto" w:fill="auto"/>
                </w:tcPr>
                <w:p w:rsidR="00E0157C" w:rsidRDefault="00E0157C" w:rsidP="00C07B8F">
                  <w:r>
                    <w:rPr>
                      <w:rFonts w:hint="eastAsia"/>
                    </w:rPr>
                    <w:t>1</w:t>
                  </w:r>
                  <w:r>
                    <w:t xml:space="preserve">5kHz and 60kHz </w:t>
                  </w:r>
                </w:p>
              </w:tc>
              <w:tc>
                <w:tcPr>
                  <w:tcW w:w="4929" w:type="dxa"/>
                  <w:shd w:val="clear" w:color="auto" w:fill="auto"/>
                </w:tcPr>
                <w:p w:rsidR="00E0157C" w:rsidRDefault="00E0157C" w:rsidP="00C07B8F">
                  <w:r>
                    <w:rPr>
                      <w:rFonts w:hint="eastAsia"/>
                    </w:rPr>
                    <w:t>7</w:t>
                  </w:r>
                  <w:r>
                    <w:t>us ,2us and 10us</w:t>
                  </w:r>
                </w:p>
              </w:tc>
            </w:tr>
            <w:tr w:rsidR="00E0157C" w:rsidTr="00C07B8F">
              <w:tc>
                <w:tcPr>
                  <w:tcW w:w="4928" w:type="dxa"/>
                  <w:shd w:val="clear" w:color="auto" w:fill="auto"/>
                </w:tcPr>
                <w:p w:rsidR="00E0157C" w:rsidRDefault="00E0157C" w:rsidP="00C07B8F">
                  <w:r>
                    <w:rPr>
                      <w:rFonts w:hint="eastAsia"/>
                    </w:rPr>
                    <w:t>3</w:t>
                  </w:r>
                  <w:r>
                    <w:t>0kHz and 60kHz</w:t>
                  </w:r>
                </w:p>
              </w:tc>
              <w:tc>
                <w:tcPr>
                  <w:tcW w:w="4929" w:type="dxa"/>
                  <w:shd w:val="clear" w:color="auto" w:fill="auto"/>
                </w:tcPr>
                <w:p w:rsidR="00E0157C" w:rsidRDefault="00E0157C" w:rsidP="00C07B8F">
                  <w:r>
                    <w:rPr>
                      <w:rFonts w:hint="eastAsia"/>
                    </w:rPr>
                    <w:t>2</w:t>
                  </w:r>
                  <w:r>
                    <w:t>us, 4us and 10us</w:t>
                  </w:r>
                </w:p>
              </w:tc>
            </w:tr>
            <w:tr w:rsidR="00E0157C" w:rsidTr="00C07B8F">
              <w:tc>
                <w:tcPr>
                  <w:tcW w:w="4928" w:type="dxa"/>
                  <w:shd w:val="clear" w:color="auto" w:fill="auto"/>
                </w:tcPr>
                <w:p w:rsidR="00E0157C" w:rsidRDefault="00E0157C" w:rsidP="00C07B8F">
                  <w:r>
                    <w:rPr>
                      <w:rFonts w:hint="eastAsia"/>
                    </w:rPr>
                    <w:t>1</w:t>
                  </w:r>
                  <w:r>
                    <w:t>5kHz, 30kHz and 60kHz</w:t>
                  </w:r>
                </w:p>
              </w:tc>
              <w:tc>
                <w:tcPr>
                  <w:tcW w:w="4929" w:type="dxa"/>
                  <w:shd w:val="clear" w:color="auto" w:fill="auto"/>
                </w:tcPr>
                <w:p w:rsidR="00E0157C" w:rsidRDefault="00E0157C" w:rsidP="00C07B8F">
                  <w:r>
                    <w:rPr>
                      <w:rFonts w:hint="eastAsia"/>
                    </w:rPr>
                    <w:t>2</w:t>
                  </w:r>
                  <w:r>
                    <w:t>us,4us ,7us and 10us</w:t>
                  </w:r>
                </w:p>
              </w:tc>
            </w:tr>
          </w:tbl>
          <w:p w:rsidR="00E0157C" w:rsidRPr="00293D91" w:rsidRDefault="00E0157C" w:rsidP="00C07B8F">
            <w:pPr>
              <w:jc w:val="both"/>
              <w:rPr>
                <w:rFonts w:eastAsiaTheme="minorEastAsia"/>
                <w:b/>
                <w:bCs/>
                <w:lang w:eastAsia="zh-CN"/>
              </w:rPr>
            </w:pPr>
          </w:p>
          <w:p w:rsidR="00E0157C" w:rsidRPr="00293D91" w:rsidRDefault="00E0157C" w:rsidP="00C07B8F">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apability requirement is specified symmetrically which should be within the time window of the default 10us transient period. It can be seen as below figure:</w:t>
            </w:r>
          </w:p>
          <w:p w:rsidR="00E0157C" w:rsidRPr="00B262C1" w:rsidRDefault="00E0157C" w:rsidP="00C07B8F">
            <w:pPr>
              <w:rPr>
                <w:rFonts w:eastAsiaTheme="minorEastAsia"/>
                <w:b/>
                <w:i/>
                <w:lang w:eastAsia="zh-CN"/>
              </w:rPr>
            </w:pPr>
            <w:r>
              <w:rPr>
                <w:b/>
                <w:i/>
                <w:noProof/>
                <w:lang w:val="en-US" w:eastAsia="zh-CN"/>
              </w:rPr>
              <w:drawing>
                <wp:inline distT="0" distB="0" distL="0" distR="0">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rsidTr="00E0157C">
        <w:trPr>
          <w:trHeight w:val="468"/>
        </w:trPr>
        <w:tc>
          <w:tcPr>
            <w:tcW w:w="1174" w:type="dxa"/>
          </w:tcPr>
          <w:p w:rsidR="00954D21" w:rsidRPr="00954D21" w:rsidRDefault="00E0157C" w:rsidP="00B262C1">
            <w:pPr>
              <w:rPr>
                <w:rFonts w:ascii="Arial" w:eastAsia="宋体" w:hAnsi="Arial" w:cs="Arial"/>
                <w:b/>
                <w:bCs/>
                <w:color w:val="0000FF"/>
                <w:sz w:val="16"/>
                <w:szCs w:val="16"/>
                <w:u w:val="single"/>
                <w:lang w:eastAsia="zh-CN"/>
              </w:rPr>
            </w:pPr>
            <w:r w:rsidRPr="00E0157C">
              <w:rPr>
                <w:rFonts w:ascii="Arial" w:eastAsia="宋体" w:hAnsi="Arial" w:cs="Arial"/>
                <w:b/>
                <w:bCs/>
                <w:color w:val="0000FF"/>
                <w:sz w:val="16"/>
                <w:szCs w:val="16"/>
                <w:u w:val="single"/>
                <w:lang w:eastAsia="zh-CN"/>
              </w:rPr>
              <w:lastRenderedPageBreak/>
              <w:t>R4-2011523</w:t>
            </w:r>
          </w:p>
        </w:tc>
        <w:tc>
          <w:tcPr>
            <w:tcW w:w="1115" w:type="dxa"/>
          </w:tcPr>
          <w:p w:rsidR="00954D21" w:rsidRDefault="00E0157C">
            <w:pPr>
              <w:rPr>
                <w:rFonts w:ascii="Arial" w:eastAsia="宋体" w:hAnsi="Arial" w:cs="Arial"/>
                <w:sz w:val="16"/>
                <w:szCs w:val="16"/>
              </w:rPr>
            </w:pPr>
            <w:r w:rsidRPr="00E0157C">
              <w:rPr>
                <w:rFonts w:ascii="Arial" w:eastAsia="宋体" w:hAnsi="Arial" w:cs="Arial"/>
                <w:sz w:val="16"/>
                <w:szCs w:val="16"/>
              </w:rPr>
              <w:t>Skyworks Solutions Inc.</w:t>
            </w:r>
          </w:p>
        </w:tc>
        <w:tc>
          <w:tcPr>
            <w:tcW w:w="7568" w:type="dxa"/>
          </w:tcPr>
          <w:p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FFT_low, FFT_high measurement windows. </w:t>
            </w:r>
          </w:p>
          <w:p w:rsidR="00E0157C" w:rsidRDefault="00E0157C" w:rsidP="00E0157C">
            <w:pPr>
              <w:contextualSpacing/>
              <w:jc w:val="both"/>
              <w:rPr>
                <w:sz w:val="22"/>
              </w:rPr>
            </w:pPr>
          </w:p>
          <w:p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rsidR="00E0157C" w:rsidRDefault="00E0157C" w:rsidP="00E0157C">
            <w:pPr>
              <w:contextualSpacing/>
              <w:jc w:val="both"/>
              <w:rPr>
                <w:b/>
                <w:sz w:val="22"/>
              </w:rPr>
            </w:pPr>
          </w:p>
          <w:p w:rsidR="00E0157C" w:rsidRPr="00AF37E6" w:rsidRDefault="00E0157C" w:rsidP="00E0157C">
            <w:pPr>
              <w:contextualSpacing/>
              <w:jc w:val="both"/>
              <w:rPr>
                <w:b/>
                <w:sz w:val="22"/>
                <w:szCs w:val="22"/>
              </w:rPr>
            </w:pPr>
            <w:r w:rsidRPr="00AF37E6">
              <w:rPr>
                <w:b/>
                <w:sz w:val="22"/>
                <w:szCs w:val="22"/>
              </w:rPr>
              <w:t xml:space="preserve">Proposal 3: To align as closely as possible the UE declared ‘tp’ with the effective EVM ‘ep’ width, introduce UE ‘tp’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fldSimple w:instr=" REF _Ref47739008 \h  \* MERGEFORMAT ">
              <w:r w:rsidRPr="00AF37E6">
                <w:rPr>
                  <w:b/>
                  <w:sz w:val="22"/>
                  <w:szCs w:val="22"/>
                </w:rPr>
                <w:t xml:space="preserve">Table </w:t>
              </w:r>
              <w:r w:rsidRPr="00AF37E6">
                <w:rPr>
                  <w:b/>
                  <w:noProof/>
                  <w:sz w:val="22"/>
                  <w:szCs w:val="22"/>
                </w:rPr>
                <w:t>3</w:t>
              </w:r>
            </w:fldSimple>
            <w:r>
              <w:rPr>
                <w:b/>
                <w:sz w:val="22"/>
                <w:szCs w:val="22"/>
              </w:rPr>
              <w:t>:</w:t>
            </w:r>
          </w:p>
          <w:p w:rsidR="00E0157C" w:rsidRDefault="00E0157C" w:rsidP="00E0157C">
            <w:pPr>
              <w:contextualSpacing/>
              <w:jc w:val="both"/>
              <w:rPr>
                <w:sz w:val="22"/>
              </w:rPr>
            </w:pPr>
          </w:p>
          <w:p w:rsidR="00E0157C" w:rsidRDefault="00E0157C" w:rsidP="00E0157C">
            <w:pPr>
              <w:pStyle w:val="ab"/>
              <w:rPr>
                <w:sz w:val="22"/>
              </w:rPr>
            </w:pPr>
            <w:r>
              <w:t xml:space="preserve">Table </w:t>
            </w:r>
            <w:fldSimple w:instr=" SEQ Table \* ARABIC ">
              <w:r>
                <w:rPr>
                  <w:noProof/>
                </w:rPr>
                <w:t>3</w:t>
              </w:r>
            </w:fldSimple>
            <w:r>
              <w:t xml:space="preserve"> EVM definition set counter-proposal to verify UE 'tp'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2311"/>
              <w:gridCol w:w="774"/>
              <w:gridCol w:w="823"/>
              <w:gridCol w:w="937"/>
              <w:gridCol w:w="1189"/>
              <w:gridCol w:w="1008"/>
              <w:gridCol w:w="929"/>
              <w:gridCol w:w="1139"/>
            </w:tblGrid>
            <w:tr w:rsidR="00E0157C" w:rsidRPr="001C0CC4" w:rsidTr="00C07B8F">
              <w:trPr>
                <w:trHeight w:val="225"/>
                <w:tblHeader/>
                <w:jc w:val="center"/>
              </w:trPr>
              <w:tc>
                <w:tcPr>
                  <w:tcW w:w="4134" w:type="dxa"/>
                  <w:gridSpan w:val="3"/>
                  <w:vMerge w:val="restart"/>
                  <w:vAlign w:val="center"/>
                </w:tcPr>
                <w:p w:rsidR="00E0157C" w:rsidRPr="00BF7373" w:rsidRDefault="00E0157C" w:rsidP="00C07B8F">
                  <w:pPr>
                    <w:pStyle w:val="TAH"/>
                    <w:rPr>
                      <w:rFonts w:eastAsia="Yu Mincho" w:cs="Arial"/>
                      <w:szCs w:val="18"/>
                    </w:rPr>
                  </w:pPr>
                  <w:r>
                    <w:rPr>
                      <w:rFonts w:eastAsia="Yu Mincho" w:cs="Arial"/>
                      <w:szCs w:val="18"/>
                    </w:rPr>
                    <w:t>Counter proposal</w:t>
                  </w:r>
                </w:p>
              </w:tc>
              <w:tc>
                <w:tcPr>
                  <w:tcW w:w="6025" w:type="dxa"/>
                  <w:gridSpan w:val="6"/>
                  <w:vAlign w:val="center"/>
                </w:tcPr>
                <w:p w:rsidR="00E0157C" w:rsidRPr="00BF7373" w:rsidRDefault="00E0157C" w:rsidP="00C07B8F">
                  <w:pPr>
                    <w:pStyle w:val="TAH"/>
                    <w:keepNext w:val="0"/>
                    <w:rPr>
                      <w:rFonts w:eastAsia="Yu Mincho" w:cs="Arial"/>
                      <w:szCs w:val="18"/>
                    </w:rPr>
                  </w:pPr>
                  <w:r>
                    <w:rPr>
                      <w:rFonts w:eastAsia="Yu Mincho" w:cs="Arial"/>
                      <w:szCs w:val="18"/>
                    </w:rPr>
                    <w:t>Evaluation Results</w:t>
                  </w:r>
                </w:p>
              </w:tc>
            </w:tr>
            <w:tr w:rsidR="00E0157C" w:rsidRPr="001C0CC4" w:rsidTr="00C07B8F">
              <w:trPr>
                <w:trHeight w:val="225"/>
                <w:tblHeader/>
                <w:jc w:val="center"/>
              </w:trPr>
              <w:tc>
                <w:tcPr>
                  <w:tcW w:w="4134" w:type="dxa"/>
                  <w:gridSpan w:val="3"/>
                  <w:vMerge/>
                  <w:vAlign w:val="center"/>
                </w:tcPr>
                <w:p w:rsidR="00E0157C" w:rsidRPr="00BF7373" w:rsidRDefault="00E0157C" w:rsidP="00C07B8F">
                  <w:pPr>
                    <w:pStyle w:val="TAH"/>
                    <w:keepNext w:val="0"/>
                    <w:rPr>
                      <w:rFonts w:eastAsia="Yu Mincho" w:cs="Arial"/>
                      <w:szCs w:val="18"/>
                    </w:rPr>
                  </w:pPr>
                </w:p>
              </w:tc>
              <w:tc>
                <w:tcPr>
                  <w:tcW w:w="2949" w:type="dxa"/>
                  <w:gridSpan w:val="3"/>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Calculated EVM exclusion period boundaries (</w:t>
                  </w:r>
                  <w:r w:rsidRPr="00BF7373">
                    <w:rPr>
                      <w:rFonts w:eastAsia="Yu Mincho" w:cs="Arial"/>
                      <w:szCs w:val="18"/>
                    </w:rPr>
                    <w:sym w:font="Symbol" w:char="F06D"/>
                  </w:r>
                  <w:r w:rsidRPr="00BF7373">
                    <w:rPr>
                      <w:rFonts w:eastAsia="Yu Mincho" w:cs="Arial"/>
                      <w:szCs w:val="18"/>
                    </w:rPr>
                    <w:t>s)</w:t>
                  </w:r>
                </w:p>
              </w:tc>
              <w:tc>
                <w:tcPr>
                  <w:tcW w:w="3076" w:type="dxa"/>
                  <w:gridSpan w:val="3"/>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Measured EVM exclusion period boundaries (</w:t>
                  </w:r>
                  <w:r w:rsidRPr="00BF7373">
                    <w:rPr>
                      <w:rFonts w:eastAsia="Yu Mincho" w:cs="Arial"/>
                      <w:szCs w:val="18"/>
                    </w:rPr>
                    <w:sym w:font="Symbol" w:char="F06D"/>
                  </w:r>
                  <w:r w:rsidRPr="00BF7373">
                    <w:rPr>
                      <w:rFonts w:eastAsia="Yu Mincho" w:cs="Arial"/>
                      <w:szCs w:val="18"/>
                    </w:rPr>
                    <w:t>s)</w:t>
                  </w:r>
                </w:p>
              </w:tc>
            </w:tr>
            <w:tr w:rsidR="00E0157C" w:rsidRPr="001C0CC4" w:rsidTr="00C07B8F">
              <w:trPr>
                <w:trHeight w:val="225"/>
                <w:tblHeader/>
                <w:jc w:val="center"/>
              </w:trPr>
              <w:tc>
                <w:tcPr>
                  <w:tcW w:w="1049" w:type="dxa"/>
                  <w:vAlign w:val="center"/>
                  <w:hideMark/>
                </w:tcPr>
                <w:p w:rsidR="00E0157C" w:rsidRPr="001C0CC4" w:rsidRDefault="00E0157C" w:rsidP="00C07B8F">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rsidR="00E0157C" w:rsidRPr="00BF7373" w:rsidRDefault="00E0157C" w:rsidP="00C07B8F">
                  <w:pPr>
                    <w:pStyle w:val="TAH"/>
                    <w:keepNext w:val="0"/>
                    <w:rPr>
                      <w:rFonts w:eastAsia="Yu Mincho" w:cs="Arial"/>
                      <w:szCs w:val="18"/>
                    </w:rPr>
                  </w:pPr>
                  <w:r w:rsidRPr="00BF7373">
                    <w:rPr>
                      <w:rFonts w:eastAsia="Yu Mincho" w:cs="Arial"/>
                      <w:szCs w:val="18"/>
                    </w:rPr>
                    <w:t>EVM definition</w:t>
                  </w:r>
                </w:p>
              </w:tc>
              <w:tc>
                <w:tcPr>
                  <w:tcW w:w="774" w:type="dxa"/>
                  <w:vAlign w:val="center"/>
                  <w:hideMark/>
                </w:tcPr>
                <w:p w:rsidR="00E0157C" w:rsidRDefault="00E0157C" w:rsidP="00C07B8F">
                  <w:pPr>
                    <w:pStyle w:val="TAH"/>
                    <w:keepNext w:val="0"/>
                    <w:rPr>
                      <w:rFonts w:eastAsia="Yu Mincho" w:cs="Arial"/>
                      <w:szCs w:val="18"/>
                    </w:rPr>
                  </w:pPr>
                  <w:r w:rsidRPr="00BF7373">
                    <w:rPr>
                      <w:rFonts w:eastAsia="Yu Mincho" w:cs="Arial"/>
                      <w:szCs w:val="18"/>
                    </w:rPr>
                    <w:t>SCS</w:t>
                  </w:r>
                </w:p>
                <w:p w:rsidR="00E0157C" w:rsidRPr="00BF7373" w:rsidRDefault="00E0157C" w:rsidP="00C07B8F">
                  <w:pPr>
                    <w:pStyle w:val="TAH"/>
                    <w:keepNext w:val="0"/>
                    <w:rPr>
                      <w:rFonts w:eastAsia="Yu Mincho" w:cs="Arial"/>
                      <w:szCs w:val="18"/>
                    </w:rPr>
                  </w:pPr>
                  <w:r>
                    <w:rPr>
                      <w:rFonts w:eastAsia="Yu Mincho" w:cs="Arial"/>
                      <w:szCs w:val="18"/>
                    </w:rPr>
                    <w:t>(kHz)</w:t>
                  </w:r>
                </w:p>
              </w:tc>
              <w:tc>
                <w:tcPr>
                  <w:tcW w:w="823"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Lower Edge</w:t>
                  </w:r>
                </w:p>
              </w:tc>
              <w:tc>
                <w:tcPr>
                  <w:tcW w:w="937"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Upper Edge</w:t>
                  </w:r>
                </w:p>
              </w:tc>
              <w:tc>
                <w:tcPr>
                  <w:tcW w:w="1189"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Exclusion</w:t>
                  </w:r>
                </w:p>
                <w:p w:rsidR="00E0157C" w:rsidRPr="00BF7373" w:rsidRDefault="00E0157C" w:rsidP="00C07B8F">
                  <w:pPr>
                    <w:pStyle w:val="TAH"/>
                    <w:keepNext w:val="0"/>
                    <w:rPr>
                      <w:rFonts w:eastAsia="Yu Mincho" w:cs="Arial"/>
                      <w:szCs w:val="18"/>
                    </w:rPr>
                  </w:pPr>
                  <w:r w:rsidRPr="00BF7373">
                    <w:rPr>
                      <w:rFonts w:eastAsia="Yu Mincho" w:cs="Arial"/>
                      <w:szCs w:val="18"/>
                    </w:rPr>
                    <w:t>Period</w:t>
                  </w:r>
                </w:p>
                <w:p w:rsidR="00E0157C" w:rsidRPr="00BF7373" w:rsidRDefault="00E0157C" w:rsidP="00C07B8F">
                  <w:pPr>
                    <w:pStyle w:val="TAH"/>
                    <w:keepNext w:val="0"/>
                    <w:rPr>
                      <w:rFonts w:eastAsia="Yu Mincho" w:cs="Arial"/>
                      <w:szCs w:val="18"/>
                    </w:rPr>
                  </w:pPr>
                  <w:r w:rsidRPr="00BF7373">
                    <w:rPr>
                      <w:rFonts w:eastAsia="Yu Mincho" w:cs="Arial"/>
                      <w:szCs w:val="18"/>
                    </w:rPr>
                    <w:t>“Width”</w:t>
                  </w:r>
                </w:p>
              </w:tc>
              <w:tc>
                <w:tcPr>
                  <w:tcW w:w="1008"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Lower Edge</w:t>
                  </w:r>
                </w:p>
              </w:tc>
              <w:tc>
                <w:tcPr>
                  <w:tcW w:w="929"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Upper Edge</w:t>
                  </w:r>
                </w:p>
              </w:tc>
              <w:tc>
                <w:tcPr>
                  <w:tcW w:w="1139"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Exclusion</w:t>
                  </w:r>
                </w:p>
                <w:p w:rsidR="00E0157C" w:rsidRPr="00BF7373" w:rsidRDefault="00E0157C" w:rsidP="00C07B8F">
                  <w:pPr>
                    <w:pStyle w:val="TAH"/>
                    <w:keepNext w:val="0"/>
                    <w:rPr>
                      <w:rFonts w:eastAsia="Yu Mincho" w:cs="Arial"/>
                      <w:szCs w:val="18"/>
                    </w:rPr>
                  </w:pPr>
                  <w:r w:rsidRPr="00BF7373">
                    <w:rPr>
                      <w:rFonts w:eastAsia="Yu Mincho" w:cs="Arial"/>
                      <w:szCs w:val="18"/>
                    </w:rPr>
                    <w:t>Period</w:t>
                  </w:r>
                </w:p>
                <w:p w:rsidR="00E0157C" w:rsidRPr="00BF7373" w:rsidRDefault="00E0157C" w:rsidP="00C07B8F">
                  <w:pPr>
                    <w:pStyle w:val="TAH"/>
                    <w:keepNext w:val="0"/>
                    <w:rPr>
                      <w:rFonts w:eastAsia="Yu Mincho" w:cs="Arial"/>
                      <w:szCs w:val="18"/>
                    </w:rPr>
                  </w:pPr>
                  <w:r w:rsidRPr="00BF7373">
                    <w:rPr>
                      <w:rFonts w:eastAsia="Yu Mincho" w:cs="Arial"/>
                      <w:szCs w:val="18"/>
                    </w:rPr>
                    <w:t>“Width”</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1</w:t>
                  </w:r>
                </w:p>
              </w:tc>
              <w:tc>
                <w:tcPr>
                  <w:tcW w:w="9110" w:type="dxa"/>
                  <w:gridSpan w:val="8"/>
                  <w:vAlign w:val="center"/>
                </w:tcPr>
                <w:p w:rsidR="00E0157C" w:rsidRPr="00BF7373" w:rsidRDefault="00E0157C" w:rsidP="00C07B8F">
                  <w:pPr>
                    <w:pStyle w:val="TAC"/>
                    <w:keepNext w:val="0"/>
                    <w:rPr>
                      <w:rFonts w:cs="Arial"/>
                      <w:szCs w:val="18"/>
                    </w:rPr>
                  </w:pPr>
                  <w:r>
                    <w:rPr>
                      <w:rFonts w:cs="Arial"/>
                      <w:szCs w:val="18"/>
                    </w:rPr>
                    <w:t>Capability not needed</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rsidR="00E0157C" w:rsidRPr="00BF7373" w:rsidRDefault="00E0157C" w:rsidP="00C07B8F">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rsidR="00E0157C" w:rsidRPr="00BF7373" w:rsidRDefault="00E0157C" w:rsidP="00C07B8F">
                  <w:pPr>
                    <w:pStyle w:val="TAC"/>
                    <w:keepNext w:val="0"/>
                    <w:rPr>
                      <w:rFonts w:eastAsia="Yu Mincho" w:cs="Arial"/>
                      <w:szCs w:val="18"/>
                    </w:rPr>
                  </w:pPr>
                  <w:r>
                    <w:rPr>
                      <w:rFonts w:cs="Arial"/>
                      <w:szCs w:val="18"/>
                    </w:rPr>
                    <w:t>60</w:t>
                  </w:r>
                </w:p>
              </w:tc>
              <w:tc>
                <w:tcPr>
                  <w:tcW w:w="823" w:type="dxa"/>
                  <w:vAlign w:val="center"/>
                </w:tcPr>
                <w:p w:rsidR="00E0157C" w:rsidRPr="00BF7373" w:rsidRDefault="00E0157C" w:rsidP="00C07B8F">
                  <w:pPr>
                    <w:pStyle w:val="TAC"/>
                    <w:keepNext w:val="0"/>
                    <w:rPr>
                      <w:rFonts w:cs="Arial"/>
                      <w:szCs w:val="18"/>
                    </w:rPr>
                  </w:pPr>
                  <w:r w:rsidRPr="00AF37E6">
                    <w:rPr>
                      <w:rFonts w:cs="Arial"/>
                      <w:color w:val="000000"/>
                      <w:szCs w:val="18"/>
                    </w:rPr>
                    <w:t>-0.878</w:t>
                  </w:r>
                </w:p>
              </w:tc>
              <w:tc>
                <w:tcPr>
                  <w:tcW w:w="937" w:type="dxa"/>
                  <w:vAlign w:val="center"/>
                </w:tcPr>
                <w:p w:rsidR="00E0157C" w:rsidRPr="00BF7373" w:rsidRDefault="00E0157C" w:rsidP="00C07B8F">
                  <w:pPr>
                    <w:pStyle w:val="TAC"/>
                    <w:keepNext w:val="0"/>
                    <w:rPr>
                      <w:rFonts w:cs="Arial"/>
                      <w:szCs w:val="18"/>
                    </w:rPr>
                  </w:pPr>
                  <w:r>
                    <w:rPr>
                      <w:rFonts w:cs="Arial"/>
                      <w:szCs w:val="18"/>
                    </w:rPr>
                    <w:t>1.400</w:t>
                  </w:r>
                </w:p>
              </w:tc>
              <w:tc>
                <w:tcPr>
                  <w:tcW w:w="1189" w:type="dxa"/>
                  <w:vAlign w:val="center"/>
                </w:tcPr>
                <w:p w:rsidR="00E0157C" w:rsidRPr="00BF7373" w:rsidRDefault="00E0157C" w:rsidP="00C07B8F">
                  <w:pPr>
                    <w:pStyle w:val="TAC"/>
                    <w:keepNext w:val="0"/>
                    <w:rPr>
                      <w:rFonts w:cs="Arial"/>
                      <w:szCs w:val="18"/>
                    </w:rPr>
                  </w:pPr>
                  <w:r>
                    <w:rPr>
                      <w:rFonts w:cs="Arial"/>
                      <w:b/>
                      <w:bCs/>
                      <w:color w:val="000000"/>
                      <w:szCs w:val="18"/>
                    </w:rPr>
                    <w:t>2.278</w:t>
                  </w:r>
                </w:p>
              </w:tc>
              <w:tc>
                <w:tcPr>
                  <w:tcW w:w="1008"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4</w:t>
                  </w:r>
                </w:p>
              </w:tc>
              <w:tc>
                <w:tcPr>
                  <w:tcW w:w="2311" w:type="dxa"/>
                  <w:vAlign w:val="center"/>
                  <w:hideMark/>
                </w:tcPr>
                <w:p w:rsidR="00E0157C" w:rsidRPr="00BF7373" w:rsidRDefault="00E0157C" w:rsidP="00C07B8F">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rsidR="00E0157C" w:rsidRPr="00BF7373" w:rsidRDefault="00E0157C" w:rsidP="00C07B8F">
                  <w:pPr>
                    <w:pStyle w:val="TAC"/>
                    <w:keepNext w:val="0"/>
                    <w:rPr>
                      <w:rFonts w:eastAsia="Yu Mincho" w:cs="Arial"/>
                      <w:szCs w:val="18"/>
                    </w:rPr>
                  </w:pPr>
                  <w:r w:rsidRPr="00BF7373">
                    <w:rPr>
                      <w:rFonts w:cs="Arial"/>
                      <w:szCs w:val="18"/>
                    </w:rPr>
                    <w:t>30</w:t>
                  </w:r>
                </w:p>
              </w:tc>
              <w:tc>
                <w:tcPr>
                  <w:tcW w:w="823" w:type="dxa"/>
                  <w:vAlign w:val="center"/>
                </w:tcPr>
                <w:p w:rsidR="00E0157C" w:rsidRPr="00BF7373" w:rsidRDefault="00E0157C" w:rsidP="00C07B8F">
                  <w:pPr>
                    <w:pStyle w:val="TAC"/>
                    <w:keepNext w:val="0"/>
                    <w:rPr>
                      <w:rFonts w:cs="Arial"/>
                      <w:szCs w:val="18"/>
                    </w:rPr>
                  </w:pPr>
                  <w:r>
                    <w:rPr>
                      <w:rFonts w:cs="Arial"/>
                      <w:szCs w:val="18"/>
                    </w:rPr>
                    <w:t>-1.758</w:t>
                  </w:r>
                </w:p>
              </w:tc>
              <w:tc>
                <w:tcPr>
                  <w:tcW w:w="937" w:type="dxa"/>
                  <w:vAlign w:val="center"/>
                </w:tcPr>
                <w:p w:rsidR="00E0157C" w:rsidRPr="00BF7373" w:rsidRDefault="00E0157C" w:rsidP="00C07B8F">
                  <w:pPr>
                    <w:pStyle w:val="TAC"/>
                    <w:keepNext w:val="0"/>
                    <w:rPr>
                      <w:rFonts w:cs="Arial"/>
                      <w:szCs w:val="18"/>
                    </w:rPr>
                  </w:pPr>
                  <w:r>
                    <w:rPr>
                      <w:rFonts w:cs="Arial"/>
                      <w:szCs w:val="18"/>
                    </w:rPr>
                    <w:t>2.279</w:t>
                  </w:r>
                </w:p>
              </w:tc>
              <w:tc>
                <w:tcPr>
                  <w:tcW w:w="1189" w:type="dxa"/>
                  <w:vAlign w:val="center"/>
                </w:tcPr>
                <w:p w:rsidR="00E0157C" w:rsidRPr="00BF7373" w:rsidRDefault="00E0157C" w:rsidP="00C07B8F">
                  <w:pPr>
                    <w:pStyle w:val="TAC"/>
                    <w:keepNext w:val="0"/>
                    <w:rPr>
                      <w:rFonts w:cs="Arial"/>
                      <w:szCs w:val="18"/>
                    </w:rPr>
                  </w:pPr>
                  <w:r>
                    <w:rPr>
                      <w:rFonts w:cs="Arial"/>
                      <w:b/>
                      <w:bCs/>
                      <w:color w:val="000000"/>
                      <w:szCs w:val="18"/>
                    </w:rPr>
                    <w:t>4.036</w:t>
                  </w:r>
                </w:p>
              </w:tc>
              <w:tc>
                <w:tcPr>
                  <w:tcW w:w="1008"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7.5</w:t>
                  </w:r>
                </w:p>
              </w:tc>
              <w:tc>
                <w:tcPr>
                  <w:tcW w:w="2311" w:type="dxa"/>
                  <w:vAlign w:val="center"/>
                  <w:hideMark/>
                </w:tcPr>
                <w:p w:rsidR="00E0157C" w:rsidRPr="00BF7373" w:rsidRDefault="00E0157C" w:rsidP="00C07B8F">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rsidR="00E0157C" w:rsidRPr="00BF7373" w:rsidRDefault="00E0157C" w:rsidP="00C07B8F">
                  <w:pPr>
                    <w:pStyle w:val="TAC"/>
                    <w:keepNext w:val="0"/>
                    <w:rPr>
                      <w:rFonts w:eastAsia="Yu Mincho" w:cs="Arial"/>
                      <w:szCs w:val="18"/>
                    </w:rPr>
                  </w:pPr>
                  <w:r w:rsidRPr="00BF7373">
                    <w:rPr>
                      <w:rFonts w:cs="Arial"/>
                      <w:szCs w:val="18"/>
                    </w:rPr>
                    <w:t>15</w:t>
                  </w:r>
                </w:p>
              </w:tc>
              <w:tc>
                <w:tcPr>
                  <w:tcW w:w="823" w:type="dxa"/>
                  <w:vAlign w:val="center"/>
                </w:tcPr>
                <w:p w:rsidR="00E0157C" w:rsidRPr="00BF7373" w:rsidRDefault="00E0157C" w:rsidP="00C07B8F">
                  <w:pPr>
                    <w:pStyle w:val="TAC"/>
                    <w:keepNext w:val="0"/>
                    <w:rPr>
                      <w:rFonts w:cs="Arial"/>
                      <w:szCs w:val="18"/>
                    </w:rPr>
                  </w:pPr>
                  <w:r>
                    <w:rPr>
                      <w:rFonts w:cs="Arial"/>
                      <w:szCs w:val="18"/>
                    </w:rPr>
                    <w:t>-3.515</w:t>
                  </w:r>
                </w:p>
              </w:tc>
              <w:tc>
                <w:tcPr>
                  <w:tcW w:w="937" w:type="dxa"/>
                  <w:vAlign w:val="center"/>
                </w:tcPr>
                <w:p w:rsidR="00E0157C" w:rsidRPr="00BF7373" w:rsidRDefault="00E0157C" w:rsidP="00C07B8F">
                  <w:pPr>
                    <w:pStyle w:val="TAC"/>
                    <w:keepNext w:val="0"/>
                    <w:rPr>
                      <w:rFonts w:cs="Arial"/>
                      <w:szCs w:val="18"/>
                    </w:rPr>
                  </w:pPr>
                  <w:r>
                    <w:rPr>
                      <w:rFonts w:cs="Arial"/>
                      <w:szCs w:val="18"/>
                    </w:rPr>
                    <w:t>4.036</w:t>
                  </w:r>
                </w:p>
              </w:tc>
              <w:tc>
                <w:tcPr>
                  <w:tcW w:w="1189" w:type="dxa"/>
                  <w:vAlign w:val="center"/>
                </w:tcPr>
                <w:p w:rsidR="00E0157C" w:rsidRPr="00BF7373" w:rsidRDefault="00E0157C" w:rsidP="00C07B8F">
                  <w:pPr>
                    <w:pStyle w:val="TAC"/>
                    <w:keepNext w:val="0"/>
                    <w:rPr>
                      <w:rFonts w:cs="Arial"/>
                      <w:szCs w:val="18"/>
                    </w:rPr>
                  </w:pPr>
                  <w:r>
                    <w:rPr>
                      <w:rFonts w:cs="Arial"/>
                      <w:b/>
                      <w:bCs/>
                      <w:color w:val="000000"/>
                      <w:szCs w:val="18"/>
                    </w:rPr>
                    <w:t>7.552</w:t>
                  </w:r>
                </w:p>
              </w:tc>
              <w:tc>
                <w:tcPr>
                  <w:tcW w:w="1008"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rsidTr="00C07B8F">
              <w:trPr>
                <w:trHeight w:val="225"/>
                <w:jc w:val="center"/>
              </w:trPr>
              <w:tc>
                <w:tcPr>
                  <w:tcW w:w="10159" w:type="dxa"/>
                  <w:gridSpan w:val="9"/>
                  <w:vAlign w:val="center"/>
                </w:tcPr>
                <w:p w:rsidR="00E0157C" w:rsidRDefault="00E0157C" w:rsidP="00C07B8F">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rsidR="00E0157C" w:rsidRPr="00C47AE4" w:rsidRDefault="00E0157C" w:rsidP="00C07B8F">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rsidR="00E0157C" w:rsidRPr="00EF3CB4" w:rsidRDefault="00E0157C" w:rsidP="00E0157C">
            <w:pPr>
              <w:contextualSpacing/>
              <w:jc w:val="both"/>
              <w:rPr>
                <w:sz w:val="22"/>
              </w:rPr>
            </w:pPr>
          </w:p>
          <w:p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 xml:space="preserve">s ‘tp’ capability brings no benefit to operation at SCS 15kHz or at SCS 30kHz, introduce </w:t>
            </w:r>
            <w:r w:rsidRPr="00C47AE4">
              <w:rPr>
                <w:b/>
                <w:sz w:val="22"/>
              </w:rPr>
              <w:t>2.2</w:t>
            </w:r>
            <w:r>
              <w:rPr>
                <w:b/>
                <w:sz w:val="22"/>
              </w:rPr>
              <w:sym w:font="Symbol" w:char="F06D"/>
            </w:r>
            <w:r w:rsidRPr="00C47AE4">
              <w:rPr>
                <w:b/>
                <w:sz w:val="22"/>
              </w:rPr>
              <w:t>s ‘tp’ capability</w:t>
            </w:r>
            <w:r>
              <w:rPr>
                <w:b/>
                <w:sz w:val="22"/>
              </w:rPr>
              <w:t xml:space="preserve"> as being restricted to UEs supporting SCS60kHz.</w:t>
            </w:r>
          </w:p>
          <w:p w:rsidR="00E0157C" w:rsidRDefault="00E0157C" w:rsidP="00E0157C">
            <w:pPr>
              <w:contextualSpacing/>
              <w:jc w:val="both"/>
              <w:rPr>
                <w:b/>
                <w:sz w:val="22"/>
              </w:rPr>
            </w:pPr>
          </w:p>
          <w:p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If no capability is signaled, the default transient period value of 10</w:t>
            </w:r>
            <w:r>
              <w:rPr>
                <w:b/>
                <w:sz w:val="22"/>
              </w:rPr>
              <w:sym w:font="Symbol" w:char="F06D"/>
            </w:r>
            <w:r w:rsidRPr="002A2626">
              <w:rPr>
                <w:b/>
                <w:sz w:val="22"/>
              </w:rPr>
              <w:t>s applies and the UE is tested against legacy static EVM requirements only.</w:t>
            </w:r>
          </w:p>
          <w:p w:rsidR="00E0157C" w:rsidRPr="00EF3CB4" w:rsidRDefault="00E0157C" w:rsidP="00E0157C">
            <w:pPr>
              <w:contextualSpacing/>
              <w:jc w:val="both"/>
              <w:rPr>
                <w:sz w:val="22"/>
              </w:rPr>
            </w:pPr>
          </w:p>
          <w:p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fldSimple w:instr=" REF _Ref47733670 \h  \* MERGEFORMAT ">
              <w:r w:rsidRPr="0002345C">
                <w:rPr>
                  <w:sz w:val="22"/>
                  <w:szCs w:val="22"/>
                </w:rPr>
                <w:t xml:space="preserve">Figure </w:t>
              </w:r>
              <w:r w:rsidRPr="0002345C">
                <w:rPr>
                  <w:noProof/>
                  <w:sz w:val="22"/>
                  <w:szCs w:val="22"/>
                </w:rPr>
                <w:t>1</w:t>
              </w:r>
            </w:fldSimple>
            <w:r>
              <w:rPr>
                <w:b/>
                <w:sz w:val="22"/>
                <w:szCs w:val="22"/>
              </w:rPr>
              <w:t>:</w:t>
            </w:r>
          </w:p>
          <w:p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rsidR="00E0157C" w:rsidRPr="0002345C" w:rsidRDefault="00E0157C" w:rsidP="009372BC">
            <w:pPr>
              <w:numPr>
                <w:ilvl w:val="1"/>
                <w:numId w:val="6"/>
              </w:numPr>
              <w:spacing w:after="0"/>
              <w:contextualSpacing/>
              <w:jc w:val="both"/>
              <w:rPr>
                <w:b/>
                <w:sz w:val="22"/>
              </w:rPr>
            </w:pPr>
            <w:r>
              <w:rPr>
                <w:b/>
                <w:sz w:val="22"/>
              </w:rPr>
              <w:t>rms</w:t>
            </w:r>
            <w:r w:rsidRPr="0002345C">
              <w:rPr>
                <w:b/>
                <w:sz w:val="22"/>
              </w:rPr>
              <w:t xml:space="preserve">EVM shall not exceed [10%] for 64QAM and [5%] for 256 QAM. </w:t>
            </w:r>
          </w:p>
          <w:p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rsidR="00E0157C" w:rsidRPr="0002345C" w:rsidRDefault="00E0157C" w:rsidP="009372BC">
            <w:pPr>
              <w:numPr>
                <w:ilvl w:val="1"/>
                <w:numId w:val="6"/>
              </w:numPr>
              <w:spacing w:after="0"/>
              <w:contextualSpacing/>
              <w:jc w:val="both"/>
              <w:rPr>
                <w:b/>
                <w:sz w:val="22"/>
              </w:rPr>
            </w:pPr>
            <w:r>
              <w:rPr>
                <w:b/>
                <w:sz w:val="22"/>
              </w:rPr>
              <w:t>rms</w:t>
            </w:r>
            <w:r w:rsidRPr="0002345C">
              <w:rPr>
                <w:b/>
                <w:sz w:val="22"/>
              </w:rPr>
              <w:t>EVM shall not exceed [8%] for 64QAM and [3.5%] for 256QAM (Table 6.4.2.1-1 requirements),</w:t>
            </w:r>
          </w:p>
          <w:p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rsidR="00E0157C" w:rsidRDefault="00E0157C" w:rsidP="00E0157C">
            <w:pPr>
              <w:contextualSpacing/>
              <w:jc w:val="both"/>
              <w:rPr>
                <w:b/>
                <w:sz w:val="22"/>
              </w:rPr>
            </w:pPr>
          </w:p>
          <w:p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 xml:space="preserve">7: </w:t>
            </w:r>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rsidR="00E0157C" w:rsidRPr="00AF37E6" w:rsidRDefault="00E0157C" w:rsidP="00E0157C">
            <w:pPr>
              <w:contextualSpacing/>
              <w:jc w:val="both"/>
              <w:rPr>
                <w:b/>
                <w:sz w:val="22"/>
                <w:szCs w:val="22"/>
              </w:rPr>
            </w:pPr>
          </w:p>
          <w:p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rsidR="00954D21" w:rsidRPr="00B262C1" w:rsidRDefault="00954D21" w:rsidP="00293D91">
            <w:pPr>
              <w:rPr>
                <w:rFonts w:eastAsiaTheme="minorEastAsia"/>
                <w:b/>
                <w:i/>
                <w:lang w:eastAsia="zh-CN"/>
              </w:rPr>
            </w:pPr>
          </w:p>
        </w:tc>
      </w:tr>
      <w:tr w:rsidR="00E0157C" w:rsidTr="00E0157C">
        <w:trPr>
          <w:trHeight w:val="468"/>
        </w:trPr>
        <w:tc>
          <w:tcPr>
            <w:tcW w:w="1174" w:type="dxa"/>
          </w:tcPr>
          <w:p w:rsidR="00E0157C" w:rsidRPr="00E0157C" w:rsidRDefault="00E0157C" w:rsidP="00B262C1">
            <w:pPr>
              <w:rPr>
                <w:rFonts w:ascii="Arial" w:eastAsia="宋体" w:hAnsi="Arial" w:cs="Arial"/>
                <w:b/>
                <w:bCs/>
                <w:color w:val="0000FF"/>
                <w:sz w:val="16"/>
                <w:szCs w:val="16"/>
                <w:u w:val="single"/>
                <w:lang w:eastAsia="zh-CN"/>
              </w:rPr>
            </w:pPr>
            <w:r w:rsidRPr="00E0157C">
              <w:rPr>
                <w:rFonts w:ascii="Arial" w:eastAsia="宋体" w:hAnsi="Arial" w:cs="Arial"/>
                <w:b/>
                <w:bCs/>
                <w:color w:val="0000FF"/>
                <w:sz w:val="16"/>
                <w:szCs w:val="16"/>
                <w:u w:val="single"/>
                <w:lang w:eastAsia="zh-CN"/>
              </w:rPr>
              <w:lastRenderedPageBreak/>
              <w:t>R4-2010916</w:t>
            </w:r>
          </w:p>
        </w:tc>
        <w:tc>
          <w:tcPr>
            <w:tcW w:w="1115" w:type="dxa"/>
          </w:tcPr>
          <w:p w:rsidR="00E0157C" w:rsidRPr="00E0157C" w:rsidRDefault="00E0157C">
            <w:pPr>
              <w:rPr>
                <w:rFonts w:ascii="Arial" w:eastAsia="宋体" w:hAnsi="Arial" w:cs="Arial"/>
                <w:sz w:val="16"/>
                <w:szCs w:val="16"/>
              </w:rPr>
            </w:pPr>
            <w:r w:rsidRPr="00E0157C">
              <w:rPr>
                <w:rFonts w:ascii="Arial" w:eastAsia="宋体" w:hAnsi="Arial" w:cs="Arial"/>
                <w:sz w:val="16"/>
                <w:szCs w:val="16"/>
              </w:rPr>
              <w:t>Qualcomm Incorporated</w:t>
            </w:r>
          </w:p>
        </w:tc>
        <w:tc>
          <w:tcPr>
            <w:tcW w:w="7568" w:type="dxa"/>
          </w:tcPr>
          <w:p w:rsidR="00E0157C" w:rsidRPr="00E0157C" w:rsidRDefault="00E0157C" w:rsidP="00E0157C">
            <w:pPr>
              <w:contextualSpacing/>
              <w:jc w:val="both"/>
              <w:rPr>
                <w:b/>
                <w:sz w:val="22"/>
              </w:rPr>
            </w:pPr>
            <w:r w:rsidRPr="00E0157C">
              <w:rPr>
                <w:rFonts w:hint="eastAsia"/>
                <w:b/>
                <w:sz w:val="22"/>
              </w:rPr>
              <w:t>R</w:t>
            </w:r>
            <w:r w:rsidRPr="00E0157C">
              <w:rPr>
                <w:b/>
                <w:sz w:val="22"/>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p>
          <w:p w:rsidR="00E0157C" w:rsidRPr="00E0157C" w:rsidRDefault="00E0157C" w:rsidP="00E0157C">
            <w:pPr>
              <w:contextualSpacing/>
              <w:jc w:val="both"/>
              <w:rPr>
                <w:b/>
                <w:sz w:val="22"/>
              </w:rPr>
            </w:pPr>
            <w:r w:rsidRPr="00E0157C">
              <w:rPr>
                <w:b/>
                <w:sz w:val="22"/>
              </w:rPr>
              <w:t>Actions to RAN 2:</w:t>
            </w:r>
          </w:p>
          <w:p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rsidR="00E0157C" w:rsidRPr="00E0157C" w:rsidRDefault="00E0157C" w:rsidP="00E0157C">
            <w:pPr>
              <w:contextualSpacing/>
              <w:jc w:val="both"/>
              <w:rPr>
                <w:b/>
                <w:sz w:val="22"/>
              </w:rPr>
            </w:pPr>
          </w:p>
        </w:tc>
      </w:tr>
    </w:tbl>
    <w:p w:rsidR="00484C5D" w:rsidRPr="004A7544" w:rsidRDefault="00484C5D" w:rsidP="005B4802"/>
    <w:p w:rsidR="00484C5D" w:rsidRPr="004A7544" w:rsidRDefault="00837458" w:rsidP="00B831AE">
      <w:pPr>
        <w:pStyle w:val="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p>
    <w:p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rsidR="00E16723" w:rsidRPr="00045592" w:rsidRDefault="00E16723"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E16723" w:rsidRDefault="00E16723"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601DE0">
        <w:rPr>
          <w:rFonts w:eastAsia="宋体"/>
          <w:color w:val="0070C0"/>
          <w:szCs w:val="24"/>
          <w:lang w:eastAsia="zh-CN"/>
        </w:rPr>
        <w:t>Option</w:t>
      </w:r>
      <w:r>
        <w:rPr>
          <w:rFonts w:eastAsia="宋体" w:hint="eastAsia"/>
          <w:color w:val="0070C0"/>
          <w:szCs w:val="24"/>
          <w:lang w:eastAsia="zh-CN"/>
        </w:rPr>
        <w:t xml:space="preserve"> </w:t>
      </w:r>
      <w:r w:rsidRPr="00601DE0">
        <w:rPr>
          <w:rFonts w:eastAsia="宋体"/>
          <w:color w:val="0070C0"/>
          <w:szCs w:val="24"/>
          <w:lang w:eastAsia="zh-CN"/>
        </w:rPr>
        <w:t>1</w:t>
      </w:r>
      <w:r w:rsidR="009372BC" w:rsidRPr="00E16723">
        <w:rPr>
          <w:rFonts w:eastAsia="宋体"/>
          <w:color w:val="0070C0"/>
          <w:szCs w:val="24"/>
          <w:lang w:eastAsia="zh-CN"/>
        </w:rPr>
        <w:t>: Adding a new section/annex for EVM to include sym</w:t>
      </w:r>
      <w:r>
        <w:rPr>
          <w:rFonts w:eastAsia="宋体"/>
          <w:color w:val="0070C0"/>
          <w:szCs w:val="24"/>
          <w:lang w:eastAsia="zh-CN"/>
        </w:rPr>
        <w:t xml:space="preserve">bols with transient period. </w:t>
      </w:r>
    </w:p>
    <w:p w:rsidR="00E16723" w:rsidRPr="00E16723"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E16723">
        <w:rPr>
          <w:rFonts w:eastAsia="宋体"/>
          <w:color w:val="0070C0"/>
          <w:szCs w:val="24"/>
          <w:lang w:eastAsia="zh-CN"/>
        </w:rPr>
        <w:t>Option 2: It is not an issue whether we create a new section in TS 38.101, we should ensure the procedure could be correct, aligned among TE vendor</w:t>
      </w:r>
      <w:r w:rsidR="00E16723">
        <w:rPr>
          <w:rFonts w:eastAsia="宋体"/>
          <w:color w:val="0070C0"/>
          <w:szCs w:val="24"/>
          <w:lang w:eastAsia="zh-CN"/>
        </w:rPr>
        <w:t xml:space="preserve">s, high-precision. </w:t>
      </w:r>
    </w:p>
    <w:p w:rsidR="00E16723" w:rsidRDefault="00E16723" w:rsidP="007E0C58">
      <w:pPr>
        <w:rPr>
          <w:b/>
          <w:color w:val="0070C0"/>
          <w:u w:val="single"/>
          <w:lang w:eastAsia="zh-CN"/>
        </w:rPr>
      </w:pP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1: 20 dB power step is reasonable for on-on power change. </w:t>
      </w:r>
    </w:p>
    <w:p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The exclusion window is defined be symmetric about the symbol boundaries. Symmetric exclusion window has been specified from Rel-15 in TS 38.</w:t>
      </w:r>
      <w:r w:rsidR="007E15B7">
        <w:rPr>
          <w:rFonts w:eastAsia="宋体"/>
          <w:color w:val="0070C0"/>
          <w:szCs w:val="24"/>
          <w:lang w:eastAsia="zh-CN"/>
        </w:rPr>
        <w:t>101-1</w:t>
      </w:r>
      <w:r w:rsidR="007E15B7">
        <w:rPr>
          <w:rFonts w:eastAsia="宋体" w:hint="eastAsia"/>
          <w:color w:val="0070C0"/>
          <w:szCs w:val="24"/>
          <w:lang w:eastAsia="zh-CN"/>
        </w:rPr>
        <w:t>.</w:t>
      </w:r>
    </w:p>
    <w:p w:rsid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Need a baseline on how to</w:t>
      </w:r>
      <w:r w:rsidR="007E15B7">
        <w:rPr>
          <w:rFonts w:eastAsia="宋体"/>
          <w:color w:val="0070C0"/>
          <w:szCs w:val="24"/>
          <w:lang w:eastAsia="zh-CN"/>
        </w:rPr>
        <w:t xml:space="preserve"> position transient period. </w:t>
      </w:r>
    </w:p>
    <w:p w:rsidR="007E15B7" w:rsidRPr="00045592" w:rsidRDefault="009372BC"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7E15B7">
        <w:rPr>
          <w:rFonts w:eastAsia="宋体"/>
          <w:color w:val="0070C0"/>
          <w:szCs w:val="24"/>
          <w:lang w:eastAsia="zh-CN"/>
        </w:rPr>
        <w:t xml:space="preserve"> </w:t>
      </w:r>
      <w:r w:rsidR="007E15B7"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There is not a case that we need to remove the influence of transient period with DFT-s-OFDM symbol during the EV</w:t>
      </w:r>
      <w:r w:rsidR="007E15B7">
        <w:rPr>
          <w:rFonts w:eastAsia="宋体"/>
          <w:color w:val="0070C0"/>
          <w:szCs w:val="24"/>
          <w:lang w:eastAsia="zh-CN"/>
        </w:rPr>
        <w:t xml:space="preserve">M calculation process. </w:t>
      </w:r>
      <w:r w:rsidRPr="007E15B7">
        <w:rPr>
          <w:rFonts w:eastAsia="宋体"/>
          <w:color w:val="0070C0"/>
          <w:szCs w:val="24"/>
          <w:lang w:eastAsia="zh-CN"/>
        </w:rPr>
        <w:t xml:space="preserve"> </w:t>
      </w:r>
    </w:p>
    <w:p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2: no. There is not test on transient period for LTE, 25us exclusion window is specified. The concept cannot be used </w:t>
      </w:r>
      <w:r w:rsidR="007E15B7">
        <w:rPr>
          <w:rFonts w:eastAsia="宋体"/>
          <w:color w:val="0070C0"/>
          <w:szCs w:val="24"/>
          <w:lang w:eastAsia="zh-CN"/>
        </w:rPr>
        <w:t xml:space="preserve">for transient period test.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Test procedure detail that n</w:t>
      </w:r>
      <w:r w:rsidR="007E15B7">
        <w:rPr>
          <w:rFonts w:eastAsia="宋体"/>
          <w:color w:val="0070C0"/>
          <w:szCs w:val="24"/>
          <w:lang w:eastAsia="zh-CN"/>
        </w:rPr>
        <w:t xml:space="preserve">eeds to be discussed in RAN5.  </w:t>
      </w:r>
      <w:r w:rsidRPr="007E15B7">
        <w:rPr>
          <w:rFonts w:eastAsia="宋体"/>
          <w:color w:val="0070C0"/>
          <w:szCs w:val="24"/>
          <w:lang w:eastAsia="zh-CN"/>
        </w:rPr>
        <w:t xml:space="preserve"> </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Transient period is different for ramp up and ramp down, it s</w:t>
      </w:r>
      <w:r w:rsidR="007E15B7">
        <w:rPr>
          <w:rFonts w:eastAsia="宋体"/>
          <w:color w:val="0070C0"/>
          <w:szCs w:val="24"/>
          <w:lang w:eastAsia="zh-CN"/>
        </w:rPr>
        <w:t xml:space="preserve">hould be clearly clarified.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lastRenderedPageBreak/>
        <w:t xml:space="preserve">Option 1: Keeping EVM budget in square brackets. EVM values can be discussed after agreement is reached on the feasibility of </w:t>
      </w:r>
      <w:r w:rsidR="007E15B7">
        <w:rPr>
          <w:rFonts w:eastAsia="宋体"/>
          <w:color w:val="0070C0"/>
          <w:szCs w:val="24"/>
          <w:lang w:eastAsia="zh-CN"/>
        </w:rPr>
        <w:t xml:space="preserve">testing transient periods. </w:t>
      </w:r>
      <w:r w:rsidRPr="007E15B7">
        <w:rPr>
          <w:rFonts w:eastAsia="宋体"/>
          <w:color w:val="0070C0"/>
          <w:szCs w:val="24"/>
          <w:lang w:eastAsia="zh-CN"/>
        </w:rPr>
        <w:t xml:space="preserve"> </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EVM requirement should decide based on simulation results which can meet network performanc</w:t>
      </w:r>
      <w:r w:rsidR="007E15B7">
        <w:rPr>
          <w:rFonts w:eastAsia="宋体"/>
          <w:color w:val="0070C0"/>
          <w:szCs w:val="24"/>
          <w:lang w:eastAsia="zh-CN"/>
        </w:rPr>
        <w:t xml:space="preserve">e on high order modulation.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Default="00030B61" w:rsidP="00030B61">
      <w:pPr>
        <w:pStyle w:val="3"/>
        <w:rPr>
          <w:sz w:val="24"/>
          <w:szCs w:val="16"/>
        </w:rPr>
      </w:pPr>
      <w:r w:rsidRPr="00805BE8">
        <w:rPr>
          <w:sz w:val="24"/>
          <w:szCs w:val="16"/>
        </w:rPr>
        <w:t>Sub-</w:t>
      </w:r>
      <w:r>
        <w:rPr>
          <w:sz w:val="24"/>
          <w:szCs w:val="16"/>
        </w:rPr>
        <w:t>topic 1-</w:t>
      </w:r>
      <w:r>
        <w:rPr>
          <w:rFonts w:hint="eastAsia"/>
          <w:sz w:val="24"/>
          <w:szCs w:val="16"/>
        </w:rPr>
        <w:t xml:space="preserve">2 </w:t>
      </w:r>
      <w:r w:rsidRPr="00030B61">
        <w:rPr>
          <w:sz w:val="24"/>
          <w:szCs w:val="16"/>
        </w:rPr>
        <w:t>CR on introduction of shorter Transient Period Capability</w:t>
      </w:r>
    </w:p>
    <w:p w:rsidR="00030B61" w:rsidRDefault="00030B61"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rsidR="007E0717" w:rsidRPr="007E0717" w:rsidRDefault="00030B61"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0717">
        <w:rPr>
          <w:rFonts w:eastAsia="宋体"/>
          <w:color w:val="0070C0"/>
          <w:szCs w:val="24"/>
          <w:lang w:eastAsia="zh-CN"/>
        </w:rPr>
        <w:t>Shorter transie</w:t>
      </w:r>
      <w:r w:rsidRPr="007E0717">
        <w:rPr>
          <w:rFonts w:eastAsia="宋体" w:hint="eastAsia"/>
          <w:color w:val="0070C0"/>
          <w:szCs w:val="24"/>
          <w:lang w:eastAsia="zh-CN"/>
        </w:rPr>
        <w:t>n</w:t>
      </w:r>
      <w:r w:rsidRPr="007E0717">
        <w:rPr>
          <w:rFonts w:eastAsia="宋体"/>
          <w:color w:val="0070C0"/>
          <w:szCs w:val="24"/>
          <w:lang w:eastAsia="zh-CN"/>
        </w:rPr>
        <w:t>t periods for On-On time mask is introduced and current time masks are clarified that they apply to 10us transient period</w:t>
      </w:r>
      <w:r w:rsidR="007E0717" w:rsidRPr="007E0717">
        <w:rPr>
          <w:rFonts w:eastAsia="宋体" w:hint="eastAsia"/>
          <w:color w:val="0070C0"/>
          <w:szCs w:val="24"/>
          <w:lang w:eastAsia="zh-CN"/>
        </w:rPr>
        <w:t xml:space="preserve"> (</w:t>
      </w:r>
      <w:hyperlink r:id="rId10" w:history="1">
        <w:r w:rsidR="007E0717" w:rsidRPr="007E0717">
          <w:rPr>
            <w:rFonts w:eastAsia="宋体"/>
            <w:color w:val="0070C0"/>
            <w:szCs w:val="24"/>
            <w:lang w:eastAsia="zh-CN"/>
          </w:rPr>
          <w:t>R4-2010914</w:t>
        </w:r>
      </w:hyperlink>
      <w:r w:rsidR="007E0717">
        <w:rPr>
          <w:rFonts w:eastAsia="宋体" w:hint="eastAsia"/>
          <w:color w:val="0070C0"/>
          <w:szCs w:val="24"/>
          <w:lang w:eastAsia="zh-CN"/>
        </w:rPr>
        <w:t>)</w:t>
      </w:r>
    </w:p>
    <w:p w:rsidR="00030B61" w:rsidRPr="00805BE8" w:rsidRDefault="00030B61"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030B61" w:rsidRPr="007E0C58" w:rsidRDefault="00030B61"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Pr="00030B61" w:rsidRDefault="00030B61" w:rsidP="00030B61">
      <w:pPr>
        <w:rPr>
          <w:lang w:eastAsia="zh-CN"/>
        </w:rPr>
      </w:pPr>
    </w:p>
    <w:p w:rsidR="00030B61" w:rsidRPr="00030B61" w:rsidRDefault="00030B61" w:rsidP="00030B61">
      <w:pPr>
        <w:pStyle w:val="3"/>
        <w:rPr>
          <w:sz w:val="24"/>
          <w:szCs w:val="16"/>
        </w:rPr>
      </w:pPr>
      <w:r w:rsidRPr="00030B61">
        <w:rPr>
          <w:sz w:val="24"/>
          <w:szCs w:val="16"/>
        </w:rPr>
        <w:t>Sub-topic 1-</w:t>
      </w:r>
      <w:r w:rsidRPr="00030B61">
        <w:rPr>
          <w:rFonts w:hint="eastAsia"/>
          <w:sz w:val="24"/>
          <w:szCs w:val="16"/>
        </w:rPr>
        <w:t xml:space="preserve">3 </w:t>
      </w:r>
      <w:r w:rsidRPr="00030B61">
        <w:rPr>
          <w:sz w:val="24"/>
          <w:szCs w:val="16"/>
        </w:rPr>
        <w:t xml:space="preserve">LS </w:t>
      </w:r>
      <w:r>
        <w:rPr>
          <w:rFonts w:hint="eastAsia"/>
          <w:sz w:val="24"/>
          <w:szCs w:val="16"/>
        </w:rPr>
        <w:t xml:space="preserve">to RAN2 </w:t>
      </w:r>
      <w:r w:rsidRPr="00030B61">
        <w:rPr>
          <w:sz w:val="24"/>
          <w:szCs w:val="16"/>
        </w:rPr>
        <w:t>on Shorter Transient Period Capability</w:t>
      </w:r>
    </w:p>
    <w:p w:rsidR="00030B61" w:rsidRDefault="00030B61"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rsidR="00060E1C" w:rsidRDefault="00030B61" w:rsidP="009372BC">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rsidR="00030B61" w:rsidRPr="00060E1C" w:rsidRDefault="00030B61" w:rsidP="009372BC">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rsidR="00030B61" w:rsidRPr="00805BE8" w:rsidRDefault="00030B61"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030B61" w:rsidRPr="007E0C58" w:rsidRDefault="00030B61"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Pr="00030B61" w:rsidRDefault="00030B61" w:rsidP="00C3223F">
      <w:pPr>
        <w:rPr>
          <w:b/>
          <w:color w:val="0070C0"/>
          <w:u w:val="single"/>
          <w:lang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lastRenderedPageBreak/>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293D91" w:rsidRDefault="008536DE" w:rsidP="00293D91">
            <w:pPr>
              <w:rPr>
                <w:rFonts w:ascii="Arial" w:eastAsia="宋体" w:hAnsi="Arial" w:cs="Arial"/>
                <w:b/>
                <w:bCs/>
                <w:color w:val="0000FF"/>
                <w:sz w:val="16"/>
                <w:szCs w:val="16"/>
                <w:u w:val="single"/>
              </w:rPr>
            </w:pPr>
            <w:hyperlink r:id="rId11" w:history="1">
              <w:r w:rsidR="00293D91">
                <w:rPr>
                  <w:rStyle w:val="ac"/>
                  <w:rFonts w:ascii="Arial" w:hAnsi="Arial" w:cs="Arial"/>
                  <w:b/>
                  <w:bCs/>
                  <w:sz w:val="16"/>
                  <w:szCs w:val="16"/>
                </w:rPr>
                <w:t>R4-2010914</w:t>
              </w:r>
            </w:hyperlink>
          </w:p>
          <w:p w:rsidR="00571777" w:rsidRPr="003418CB" w:rsidRDefault="00571777" w:rsidP="00805BE8">
            <w:pPr>
              <w:spacing w:after="120"/>
              <w:rPr>
                <w:rFonts w:eastAsiaTheme="minorEastAsia"/>
                <w:color w:val="0070C0"/>
                <w:lang w:val="en-US" w:eastAsia="zh-CN"/>
              </w:rPr>
            </w:pP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lastRenderedPageBreak/>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EF9" w:rsidRDefault="00142EF9">
      <w:r>
        <w:separator/>
      </w:r>
    </w:p>
  </w:endnote>
  <w:endnote w:type="continuationSeparator" w:id="0">
    <w:p w:rsidR="00142EF9" w:rsidRDefault="00142EF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EF9" w:rsidRDefault="00142EF9">
      <w:r>
        <w:separator/>
      </w:r>
    </w:p>
  </w:footnote>
  <w:footnote w:type="continuationSeparator" w:id="0">
    <w:p w:rsidR="00142EF9" w:rsidRDefault="00142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1">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bordersDoNotSurroundHeader/>
  <w:bordersDoNotSurroundFooter/>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4">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20C56"/>
    <w:rsid w:val="00022433"/>
    <w:rsid w:val="00026ACC"/>
    <w:rsid w:val="00030B61"/>
    <w:rsid w:val="0003171D"/>
    <w:rsid w:val="00031C1D"/>
    <w:rsid w:val="00035B7E"/>
    <w:rsid w:val="00035C50"/>
    <w:rsid w:val="000457A1"/>
    <w:rsid w:val="00046BCE"/>
    <w:rsid w:val="00050001"/>
    <w:rsid w:val="00051FEC"/>
    <w:rsid w:val="00052041"/>
    <w:rsid w:val="0005326A"/>
    <w:rsid w:val="00060E1C"/>
    <w:rsid w:val="0006266D"/>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71B0"/>
    <w:rsid w:val="00132535"/>
    <w:rsid w:val="00136D4C"/>
    <w:rsid w:val="00140DBB"/>
    <w:rsid w:val="00142BB9"/>
    <w:rsid w:val="00142EF9"/>
    <w:rsid w:val="00144F96"/>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670E"/>
    <w:rsid w:val="001876B8"/>
    <w:rsid w:val="0019219A"/>
    <w:rsid w:val="00195077"/>
    <w:rsid w:val="0019789C"/>
    <w:rsid w:val="001A033F"/>
    <w:rsid w:val="001A08AA"/>
    <w:rsid w:val="001A57E5"/>
    <w:rsid w:val="001A59CB"/>
    <w:rsid w:val="001A641A"/>
    <w:rsid w:val="001B02C9"/>
    <w:rsid w:val="001B0751"/>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6953"/>
    <w:rsid w:val="002505BA"/>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CCC"/>
    <w:rsid w:val="002939AF"/>
    <w:rsid w:val="00293D91"/>
    <w:rsid w:val="00294491"/>
    <w:rsid w:val="00294BDE"/>
    <w:rsid w:val="00294E79"/>
    <w:rsid w:val="002A03F2"/>
    <w:rsid w:val="002A0CED"/>
    <w:rsid w:val="002A4CD0"/>
    <w:rsid w:val="002A63C0"/>
    <w:rsid w:val="002A7DA6"/>
    <w:rsid w:val="002B2AC2"/>
    <w:rsid w:val="002B4B05"/>
    <w:rsid w:val="002B516C"/>
    <w:rsid w:val="002B5E1D"/>
    <w:rsid w:val="002B60C1"/>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22A5"/>
    <w:rsid w:val="00307E51"/>
    <w:rsid w:val="00311363"/>
    <w:rsid w:val="00314056"/>
    <w:rsid w:val="00314C02"/>
    <w:rsid w:val="00315497"/>
    <w:rsid w:val="00315867"/>
    <w:rsid w:val="00321150"/>
    <w:rsid w:val="00323A55"/>
    <w:rsid w:val="003260D7"/>
    <w:rsid w:val="00333420"/>
    <w:rsid w:val="00336697"/>
    <w:rsid w:val="003418CB"/>
    <w:rsid w:val="00344729"/>
    <w:rsid w:val="003545D7"/>
    <w:rsid w:val="00355873"/>
    <w:rsid w:val="00355EF3"/>
    <w:rsid w:val="0035660F"/>
    <w:rsid w:val="00362607"/>
    <w:rsid w:val="003628B9"/>
    <w:rsid w:val="00362D8F"/>
    <w:rsid w:val="00367724"/>
    <w:rsid w:val="003770F6"/>
    <w:rsid w:val="00380C0F"/>
    <w:rsid w:val="003824AB"/>
    <w:rsid w:val="00383E37"/>
    <w:rsid w:val="00392B05"/>
    <w:rsid w:val="00393042"/>
    <w:rsid w:val="00394AD5"/>
    <w:rsid w:val="0039642D"/>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3CAE"/>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80E42"/>
    <w:rsid w:val="00484C5D"/>
    <w:rsid w:val="0048543E"/>
    <w:rsid w:val="004868C1"/>
    <w:rsid w:val="0048750F"/>
    <w:rsid w:val="00493AE5"/>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1573"/>
    <w:rsid w:val="0054348A"/>
    <w:rsid w:val="0055510E"/>
    <w:rsid w:val="00561FCB"/>
    <w:rsid w:val="00571777"/>
    <w:rsid w:val="00580FF5"/>
    <w:rsid w:val="0058519C"/>
    <w:rsid w:val="0059149A"/>
    <w:rsid w:val="005956EE"/>
    <w:rsid w:val="00597B8D"/>
    <w:rsid w:val="005A083E"/>
    <w:rsid w:val="005B2585"/>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1055E"/>
    <w:rsid w:val="0061301B"/>
    <w:rsid w:val="006144A1"/>
    <w:rsid w:val="00615EBB"/>
    <w:rsid w:val="00616096"/>
    <w:rsid w:val="006160A2"/>
    <w:rsid w:val="00625E2D"/>
    <w:rsid w:val="006302AA"/>
    <w:rsid w:val="006363BD"/>
    <w:rsid w:val="006412DC"/>
    <w:rsid w:val="00642BC6"/>
    <w:rsid w:val="00644790"/>
    <w:rsid w:val="006501AF"/>
    <w:rsid w:val="00650DDE"/>
    <w:rsid w:val="00651028"/>
    <w:rsid w:val="0065505B"/>
    <w:rsid w:val="00665845"/>
    <w:rsid w:val="006670AC"/>
    <w:rsid w:val="00672307"/>
    <w:rsid w:val="006752D0"/>
    <w:rsid w:val="00675F53"/>
    <w:rsid w:val="006808C6"/>
    <w:rsid w:val="00681FC2"/>
    <w:rsid w:val="00682668"/>
    <w:rsid w:val="0069145A"/>
    <w:rsid w:val="00691D5C"/>
    <w:rsid w:val="00692A68"/>
    <w:rsid w:val="00695D85"/>
    <w:rsid w:val="006A30A2"/>
    <w:rsid w:val="006A6D23"/>
    <w:rsid w:val="006B25DE"/>
    <w:rsid w:val="006B4BF7"/>
    <w:rsid w:val="006C0AB1"/>
    <w:rsid w:val="006C1C3B"/>
    <w:rsid w:val="006C4E43"/>
    <w:rsid w:val="006C643E"/>
    <w:rsid w:val="006D2932"/>
    <w:rsid w:val="006D3671"/>
    <w:rsid w:val="006D464F"/>
    <w:rsid w:val="006E0A73"/>
    <w:rsid w:val="006E0FEE"/>
    <w:rsid w:val="006E6C11"/>
    <w:rsid w:val="006F6716"/>
    <w:rsid w:val="006F7C0C"/>
    <w:rsid w:val="00700755"/>
    <w:rsid w:val="0070646B"/>
    <w:rsid w:val="007130A2"/>
    <w:rsid w:val="00715463"/>
    <w:rsid w:val="00727879"/>
    <w:rsid w:val="00730655"/>
    <w:rsid w:val="00731D77"/>
    <w:rsid w:val="00732360"/>
    <w:rsid w:val="0073390A"/>
    <w:rsid w:val="00734E64"/>
    <w:rsid w:val="00736B37"/>
    <w:rsid w:val="00740A35"/>
    <w:rsid w:val="00741E34"/>
    <w:rsid w:val="0074381D"/>
    <w:rsid w:val="007520B4"/>
    <w:rsid w:val="007529F2"/>
    <w:rsid w:val="007655D5"/>
    <w:rsid w:val="00767BBB"/>
    <w:rsid w:val="007763C1"/>
    <w:rsid w:val="00777E82"/>
    <w:rsid w:val="00781359"/>
    <w:rsid w:val="00786921"/>
    <w:rsid w:val="00787F55"/>
    <w:rsid w:val="0079235B"/>
    <w:rsid w:val="00794F40"/>
    <w:rsid w:val="007A0740"/>
    <w:rsid w:val="007A1EAA"/>
    <w:rsid w:val="007A79FD"/>
    <w:rsid w:val="007B0B9D"/>
    <w:rsid w:val="007B5A43"/>
    <w:rsid w:val="007B5E1D"/>
    <w:rsid w:val="007B709B"/>
    <w:rsid w:val="007C1343"/>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7062"/>
    <w:rsid w:val="007F0E1E"/>
    <w:rsid w:val="007F29A7"/>
    <w:rsid w:val="00802C05"/>
    <w:rsid w:val="00805A98"/>
    <w:rsid w:val="00805BE8"/>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36DE"/>
    <w:rsid w:val="0085477A"/>
    <w:rsid w:val="00855107"/>
    <w:rsid w:val="00855173"/>
    <w:rsid w:val="008557D9"/>
    <w:rsid w:val="00855BF7"/>
    <w:rsid w:val="00856214"/>
    <w:rsid w:val="00862089"/>
    <w:rsid w:val="00862D69"/>
    <w:rsid w:val="00866D5B"/>
    <w:rsid w:val="00866FF5"/>
    <w:rsid w:val="00873E1F"/>
    <w:rsid w:val="00874C16"/>
    <w:rsid w:val="008822EE"/>
    <w:rsid w:val="00886D1F"/>
    <w:rsid w:val="00891EE1"/>
    <w:rsid w:val="00893987"/>
    <w:rsid w:val="008963EF"/>
    <w:rsid w:val="0089688E"/>
    <w:rsid w:val="008A1FBE"/>
    <w:rsid w:val="008A3411"/>
    <w:rsid w:val="008A45AC"/>
    <w:rsid w:val="008B14F5"/>
    <w:rsid w:val="008B3194"/>
    <w:rsid w:val="008B40B3"/>
    <w:rsid w:val="008B5AE7"/>
    <w:rsid w:val="008B6E85"/>
    <w:rsid w:val="008C0067"/>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741C"/>
    <w:rsid w:val="00A04856"/>
    <w:rsid w:val="00A0758F"/>
    <w:rsid w:val="00A1570A"/>
    <w:rsid w:val="00A211B4"/>
    <w:rsid w:val="00A24B69"/>
    <w:rsid w:val="00A27475"/>
    <w:rsid w:val="00A30107"/>
    <w:rsid w:val="00A33DDF"/>
    <w:rsid w:val="00A34547"/>
    <w:rsid w:val="00A376B7"/>
    <w:rsid w:val="00A40A71"/>
    <w:rsid w:val="00A41BF5"/>
    <w:rsid w:val="00A43B90"/>
    <w:rsid w:val="00A44778"/>
    <w:rsid w:val="00A469E7"/>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DF9"/>
    <w:rsid w:val="00AA0E01"/>
    <w:rsid w:val="00AA1CFD"/>
    <w:rsid w:val="00AA2239"/>
    <w:rsid w:val="00AA33D2"/>
    <w:rsid w:val="00AA7102"/>
    <w:rsid w:val="00AB0C57"/>
    <w:rsid w:val="00AB1195"/>
    <w:rsid w:val="00AB4182"/>
    <w:rsid w:val="00AB615F"/>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2B26"/>
    <w:rsid w:val="00B163F8"/>
    <w:rsid w:val="00B204EF"/>
    <w:rsid w:val="00B2472D"/>
    <w:rsid w:val="00B24CA0"/>
    <w:rsid w:val="00B2549F"/>
    <w:rsid w:val="00B262C1"/>
    <w:rsid w:val="00B4108D"/>
    <w:rsid w:val="00B560FD"/>
    <w:rsid w:val="00B57265"/>
    <w:rsid w:val="00B6131F"/>
    <w:rsid w:val="00B62F20"/>
    <w:rsid w:val="00B633AE"/>
    <w:rsid w:val="00B665D2"/>
    <w:rsid w:val="00B6737C"/>
    <w:rsid w:val="00B7214D"/>
    <w:rsid w:val="00B72B6A"/>
    <w:rsid w:val="00B74372"/>
    <w:rsid w:val="00B75525"/>
    <w:rsid w:val="00B80283"/>
    <w:rsid w:val="00B8095F"/>
    <w:rsid w:val="00B80B0C"/>
    <w:rsid w:val="00B80B11"/>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5982"/>
    <w:rsid w:val="00BC60BF"/>
    <w:rsid w:val="00BD28BF"/>
    <w:rsid w:val="00BD2ED2"/>
    <w:rsid w:val="00BD6404"/>
    <w:rsid w:val="00BE1502"/>
    <w:rsid w:val="00BE1C92"/>
    <w:rsid w:val="00BE33AE"/>
    <w:rsid w:val="00BE60C3"/>
    <w:rsid w:val="00BF046F"/>
    <w:rsid w:val="00C01D50"/>
    <w:rsid w:val="00C056DC"/>
    <w:rsid w:val="00C1329B"/>
    <w:rsid w:val="00C1541B"/>
    <w:rsid w:val="00C24C05"/>
    <w:rsid w:val="00C24D2F"/>
    <w:rsid w:val="00C26222"/>
    <w:rsid w:val="00C31283"/>
    <w:rsid w:val="00C3223F"/>
    <w:rsid w:val="00C33C48"/>
    <w:rsid w:val="00C340E5"/>
    <w:rsid w:val="00C35AA7"/>
    <w:rsid w:val="00C43BA1"/>
    <w:rsid w:val="00C43DAB"/>
    <w:rsid w:val="00C45D41"/>
    <w:rsid w:val="00C47F08"/>
    <w:rsid w:val="00C514A6"/>
    <w:rsid w:val="00C5739F"/>
    <w:rsid w:val="00C57CF0"/>
    <w:rsid w:val="00C649BD"/>
    <w:rsid w:val="00C65891"/>
    <w:rsid w:val="00C66AC9"/>
    <w:rsid w:val="00C67DEF"/>
    <w:rsid w:val="00C724D3"/>
    <w:rsid w:val="00C77DD9"/>
    <w:rsid w:val="00C83BE6"/>
    <w:rsid w:val="00C85354"/>
    <w:rsid w:val="00C86ABA"/>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307E"/>
    <w:rsid w:val="00CD6A1B"/>
    <w:rsid w:val="00CE0A7F"/>
    <w:rsid w:val="00CE11EA"/>
    <w:rsid w:val="00CE1718"/>
    <w:rsid w:val="00CE45A2"/>
    <w:rsid w:val="00CE5B3C"/>
    <w:rsid w:val="00CF1665"/>
    <w:rsid w:val="00CF4156"/>
    <w:rsid w:val="00CF5534"/>
    <w:rsid w:val="00CF6431"/>
    <w:rsid w:val="00CF659D"/>
    <w:rsid w:val="00D01E6F"/>
    <w:rsid w:val="00D03C87"/>
    <w:rsid w:val="00D03D00"/>
    <w:rsid w:val="00D05C30"/>
    <w:rsid w:val="00D07A75"/>
    <w:rsid w:val="00D11359"/>
    <w:rsid w:val="00D1781B"/>
    <w:rsid w:val="00D215F9"/>
    <w:rsid w:val="00D3188C"/>
    <w:rsid w:val="00D35F9B"/>
    <w:rsid w:val="00D36B69"/>
    <w:rsid w:val="00D3711D"/>
    <w:rsid w:val="00D408DD"/>
    <w:rsid w:val="00D45D72"/>
    <w:rsid w:val="00D520E4"/>
    <w:rsid w:val="00D53A38"/>
    <w:rsid w:val="00D575DD"/>
    <w:rsid w:val="00D576F4"/>
    <w:rsid w:val="00D57DFA"/>
    <w:rsid w:val="00D65F1A"/>
    <w:rsid w:val="00D67FCF"/>
    <w:rsid w:val="00D709CE"/>
    <w:rsid w:val="00D71F73"/>
    <w:rsid w:val="00D76EED"/>
    <w:rsid w:val="00D80786"/>
    <w:rsid w:val="00D81CAB"/>
    <w:rsid w:val="00D8576F"/>
    <w:rsid w:val="00D8677F"/>
    <w:rsid w:val="00D97F0C"/>
    <w:rsid w:val="00D97FEF"/>
    <w:rsid w:val="00DA2BF6"/>
    <w:rsid w:val="00DA3A86"/>
    <w:rsid w:val="00DA46EE"/>
    <w:rsid w:val="00DA6103"/>
    <w:rsid w:val="00DA79CA"/>
    <w:rsid w:val="00DB7E96"/>
    <w:rsid w:val="00DC2500"/>
    <w:rsid w:val="00DC77DC"/>
    <w:rsid w:val="00DD0453"/>
    <w:rsid w:val="00DD0C2C"/>
    <w:rsid w:val="00DD19DE"/>
    <w:rsid w:val="00DD28BC"/>
    <w:rsid w:val="00DD2DA6"/>
    <w:rsid w:val="00DE31F0"/>
    <w:rsid w:val="00DE3D1C"/>
    <w:rsid w:val="00DF34EF"/>
    <w:rsid w:val="00DF397D"/>
    <w:rsid w:val="00E0157C"/>
    <w:rsid w:val="00E0227D"/>
    <w:rsid w:val="00E04B84"/>
    <w:rsid w:val="00E058BD"/>
    <w:rsid w:val="00E06466"/>
    <w:rsid w:val="00E06FDA"/>
    <w:rsid w:val="00E160A5"/>
    <w:rsid w:val="00E16723"/>
    <w:rsid w:val="00E1713D"/>
    <w:rsid w:val="00E17C51"/>
    <w:rsid w:val="00E20A43"/>
    <w:rsid w:val="00E23898"/>
    <w:rsid w:val="00E319F1"/>
    <w:rsid w:val="00E31D25"/>
    <w:rsid w:val="00E3341F"/>
    <w:rsid w:val="00E33CD2"/>
    <w:rsid w:val="00E40E90"/>
    <w:rsid w:val="00E45C7E"/>
    <w:rsid w:val="00E4603B"/>
    <w:rsid w:val="00E53189"/>
    <w:rsid w:val="00E531EB"/>
    <w:rsid w:val="00E54874"/>
    <w:rsid w:val="00E54B6F"/>
    <w:rsid w:val="00E55ACA"/>
    <w:rsid w:val="00E57B74"/>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482"/>
    <w:rsid w:val="00EF1EC5"/>
    <w:rsid w:val="00EF4C88"/>
    <w:rsid w:val="00EF55EB"/>
    <w:rsid w:val="00EF5B4B"/>
    <w:rsid w:val="00F00DCC"/>
    <w:rsid w:val="00F0156F"/>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7EB0"/>
    <w:rsid w:val="00F87CDD"/>
    <w:rsid w:val="00F933F0"/>
    <w:rsid w:val="00F937A3"/>
    <w:rsid w:val="00F94001"/>
    <w:rsid w:val="00F94715"/>
    <w:rsid w:val="00F96A3D"/>
    <w:rsid w:val="00FA0814"/>
    <w:rsid w:val="00FA4718"/>
    <w:rsid w:val="00FA5848"/>
    <w:rsid w:val="00FA7F3D"/>
    <w:rsid w:val="00FB0CC7"/>
    <w:rsid w:val="00FB28F6"/>
    <w:rsid w:val="00FB38D8"/>
    <w:rsid w:val="00FB5C69"/>
    <w:rsid w:val="00FC051F"/>
    <w:rsid w:val="00FC06FF"/>
    <w:rsid w:val="00FC69B4"/>
    <w:rsid w:val="00FD0694"/>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E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D2DED"/>
    <w:pPr>
      <w:numPr>
        <w:ilvl w:val="2"/>
      </w:numPr>
      <w:spacing w:before="120"/>
      <w:outlineLvl w:val="2"/>
    </w:pPr>
  </w:style>
  <w:style w:type="paragraph" w:styleId="4">
    <w:name w:val="heading 4"/>
    <w:basedOn w:val="3"/>
    <w:next w:val="a"/>
    <w:link w:val="4Char"/>
    <w:qFormat/>
    <w:rsid w:val="009D2DED"/>
    <w:pPr>
      <w:numPr>
        <w:ilvl w:val="3"/>
      </w:numPr>
      <w:outlineLvl w:val="3"/>
    </w:pPr>
    <w:rPr>
      <w:sz w:val="24"/>
    </w:rPr>
  </w:style>
  <w:style w:type="paragraph" w:styleId="5">
    <w:name w:val="heading 5"/>
    <w:basedOn w:val="4"/>
    <w:next w:val="a"/>
    <w:link w:val="5Char"/>
    <w:qFormat/>
    <w:rsid w:val="009D2DED"/>
    <w:pPr>
      <w:numPr>
        <w:ilvl w:val="4"/>
      </w:numPr>
      <w:outlineLvl w:val="4"/>
    </w:pPr>
    <w:rPr>
      <w:sz w:val="22"/>
    </w:rPr>
  </w:style>
  <w:style w:type="paragraph" w:styleId="6">
    <w:name w:val="heading 6"/>
    <w:basedOn w:val="H6"/>
    <w:next w:val="a"/>
    <w:link w:val="6Char"/>
    <w:qFormat/>
    <w:rsid w:val="009D2DED"/>
    <w:pPr>
      <w:numPr>
        <w:ilvl w:val="5"/>
        <w:numId w:val="3"/>
      </w:numPr>
      <w:outlineLvl w:val="5"/>
    </w:pPr>
  </w:style>
  <w:style w:type="paragraph" w:styleId="7">
    <w:name w:val="heading 7"/>
    <w:basedOn w:val="H6"/>
    <w:next w:val="a"/>
    <w:link w:val="7Char"/>
    <w:qFormat/>
    <w:rsid w:val="009D2DED"/>
    <w:pPr>
      <w:numPr>
        <w:ilvl w:val="6"/>
        <w:numId w:val="3"/>
      </w:numPr>
      <w:outlineLvl w:val="6"/>
    </w:pPr>
  </w:style>
  <w:style w:type="paragraph" w:styleId="8">
    <w:name w:val="heading 8"/>
    <w:basedOn w:val="1"/>
    <w:next w:val="a"/>
    <w:link w:val="8Char"/>
    <w:qFormat/>
    <w:rsid w:val="009D2DED"/>
    <w:pPr>
      <w:numPr>
        <w:ilvl w:val="7"/>
      </w:numPr>
      <w:outlineLvl w:val="7"/>
    </w:pPr>
  </w:style>
  <w:style w:type="paragraph" w:styleId="9">
    <w:name w:val="heading 9"/>
    <w:basedOn w:val="8"/>
    <w:next w:val="a"/>
    <w:link w:val="9Char"/>
    <w:qFormat/>
    <w:rsid w:val="009D2D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D2DED"/>
    <w:pPr>
      <w:numPr>
        <w:numId w:val="0"/>
      </w:numPr>
      <w:ind w:left="1985" w:hanging="1985"/>
      <w:outlineLvl w:val="9"/>
    </w:pPr>
    <w:rPr>
      <w:sz w:val="20"/>
    </w:rPr>
  </w:style>
  <w:style w:type="paragraph" w:styleId="90">
    <w:name w:val="toc 9"/>
    <w:basedOn w:val="80"/>
    <w:rsid w:val="009D2DED"/>
    <w:pPr>
      <w:ind w:left="1418" w:hanging="1418"/>
    </w:pPr>
  </w:style>
  <w:style w:type="paragraph" w:styleId="80">
    <w:name w:val="toc 8"/>
    <w:basedOn w:val="10"/>
    <w:rsid w:val="009D2DED"/>
    <w:pPr>
      <w:spacing w:before="180"/>
      <w:ind w:left="2693" w:hanging="2693"/>
    </w:pPr>
    <w:rPr>
      <w:b/>
    </w:rPr>
  </w:style>
  <w:style w:type="paragraph" w:styleId="10">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D2DED"/>
    <w:pPr>
      <w:keepLines/>
      <w:tabs>
        <w:tab w:val="center" w:pos="4536"/>
        <w:tab w:val="right" w:pos="9072"/>
      </w:tabs>
    </w:pPr>
    <w:rPr>
      <w:noProof/>
    </w:rPr>
  </w:style>
  <w:style w:type="character" w:customStyle="1" w:styleId="ZGSM">
    <w:name w:val="ZGSM"/>
    <w:rsid w:val="009D2D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50">
    <w:name w:val="toc 5"/>
    <w:basedOn w:val="40"/>
    <w:rsid w:val="009D2DED"/>
    <w:pPr>
      <w:ind w:left="1701" w:hanging="1701"/>
    </w:pPr>
  </w:style>
  <w:style w:type="paragraph" w:styleId="40">
    <w:name w:val="toc 4"/>
    <w:basedOn w:val="30"/>
    <w:rsid w:val="009D2DED"/>
    <w:pPr>
      <w:ind w:left="1418" w:hanging="1418"/>
    </w:pPr>
  </w:style>
  <w:style w:type="paragraph" w:styleId="30">
    <w:name w:val="toc 3"/>
    <w:basedOn w:val="20"/>
    <w:rsid w:val="009D2DED"/>
    <w:pPr>
      <w:ind w:left="1134" w:hanging="1134"/>
    </w:pPr>
  </w:style>
  <w:style w:type="paragraph" w:styleId="20">
    <w:name w:val="toc 2"/>
    <w:basedOn w:val="10"/>
    <w:rsid w:val="009D2DED"/>
    <w:pPr>
      <w:keepNext w:val="0"/>
      <w:spacing w:before="0"/>
      <w:ind w:left="851" w:hanging="851"/>
    </w:pPr>
    <w:rPr>
      <w:sz w:val="20"/>
    </w:rPr>
  </w:style>
  <w:style w:type="paragraph" w:styleId="11">
    <w:name w:val="index 1"/>
    <w:basedOn w:val="a"/>
    <w:semiHidden/>
    <w:rsid w:val="009D2DED"/>
    <w:pPr>
      <w:keepLines/>
      <w:spacing w:after="0"/>
    </w:pPr>
  </w:style>
  <w:style w:type="paragraph" w:styleId="21">
    <w:name w:val="index 2"/>
    <w:basedOn w:val="11"/>
    <w:semiHidden/>
    <w:rsid w:val="009D2DED"/>
    <w:pPr>
      <w:ind w:left="284"/>
    </w:pPr>
  </w:style>
  <w:style w:type="paragraph" w:customStyle="1" w:styleId="TT">
    <w:name w:val="TT"/>
    <w:basedOn w:val="1"/>
    <w:next w:val="a"/>
    <w:rsid w:val="009D2DED"/>
    <w:pPr>
      <w:outlineLvl w:val="9"/>
    </w:pPr>
  </w:style>
  <w:style w:type="paragraph" w:styleId="a4">
    <w:name w:val="footer"/>
    <w:basedOn w:val="a3"/>
    <w:link w:val="Char0"/>
    <w:rsid w:val="009D2DED"/>
    <w:pPr>
      <w:jc w:val="center"/>
    </w:pPr>
    <w:rPr>
      <w:i/>
    </w:rPr>
  </w:style>
  <w:style w:type="character" w:styleId="a5">
    <w:name w:val="footnote reference"/>
    <w:semiHidden/>
    <w:rsid w:val="009D2DED"/>
    <w:rPr>
      <w:b/>
      <w:position w:val="6"/>
      <w:sz w:val="16"/>
    </w:rPr>
  </w:style>
  <w:style w:type="paragraph" w:styleId="a6">
    <w:name w:val="footnote text"/>
    <w:basedOn w:val="a"/>
    <w:link w:val="Char1"/>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a"/>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a"/>
    <w:link w:val="TALChar"/>
    <w:rsid w:val="009D2DED"/>
    <w:pPr>
      <w:keepNext/>
      <w:keepLines/>
      <w:spacing w:after="0"/>
    </w:pPr>
    <w:rPr>
      <w:rFonts w:ascii="Arial" w:hAnsi="Arial"/>
      <w:sz w:val="18"/>
    </w:rPr>
  </w:style>
  <w:style w:type="paragraph" w:styleId="22">
    <w:name w:val="List Number 2"/>
    <w:basedOn w:val="a7"/>
    <w:rsid w:val="009D2DED"/>
    <w:pPr>
      <w:ind w:left="851"/>
    </w:pPr>
  </w:style>
  <w:style w:type="paragraph" w:styleId="a7">
    <w:name w:val="List Number"/>
    <w:basedOn w:val="a8"/>
    <w:rsid w:val="009D2DED"/>
  </w:style>
  <w:style w:type="paragraph" w:styleId="a8">
    <w:name w:val="List"/>
    <w:basedOn w:val="a"/>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a"/>
    <w:rsid w:val="009D2DED"/>
    <w:pPr>
      <w:keepLines/>
      <w:ind w:left="1702" w:hanging="1418"/>
    </w:pPr>
  </w:style>
  <w:style w:type="paragraph" w:customStyle="1" w:styleId="FP">
    <w:name w:val="FP"/>
    <w:basedOn w:val="a"/>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a8"/>
    <w:link w:val="B1Char"/>
    <w:rsid w:val="009D2DED"/>
  </w:style>
  <w:style w:type="paragraph" w:styleId="60">
    <w:name w:val="toc 6"/>
    <w:basedOn w:val="50"/>
    <w:next w:val="a"/>
    <w:rsid w:val="009D2DED"/>
    <w:pPr>
      <w:ind w:left="1985" w:hanging="1985"/>
    </w:pPr>
  </w:style>
  <w:style w:type="paragraph" w:styleId="70">
    <w:name w:val="toc 7"/>
    <w:basedOn w:val="60"/>
    <w:next w:val="a"/>
    <w:rsid w:val="009D2DED"/>
    <w:pPr>
      <w:ind w:left="2268" w:hanging="2268"/>
    </w:pPr>
  </w:style>
  <w:style w:type="paragraph" w:styleId="23">
    <w:name w:val="List Bullet 2"/>
    <w:basedOn w:val="a9"/>
    <w:rsid w:val="009D2DED"/>
    <w:pPr>
      <w:ind w:left="851"/>
    </w:pPr>
  </w:style>
  <w:style w:type="paragraph" w:styleId="a9">
    <w:name w:val="List Bullet"/>
    <w:basedOn w:val="a8"/>
    <w:rsid w:val="009D2DED"/>
  </w:style>
  <w:style w:type="paragraph" w:customStyle="1" w:styleId="EditorsNote">
    <w:name w:val="Editor's Note"/>
    <w:basedOn w:val="NO"/>
    <w:rsid w:val="009D2DED"/>
    <w:rPr>
      <w:color w:val="FF0000"/>
    </w:rPr>
  </w:style>
  <w:style w:type="paragraph" w:customStyle="1" w:styleId="TH">
    <w:name w:val="TH"/>
    <w:basedOn w:val="a"/>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D2DED"/>
    <w:pPr>
      <w:ind w:left="1135"/>
    </w:pPr>
  </w:style>
  <w:style w:type="paragraph" w:styleId="24">
    <w:name w:val="List 2"/>
    <w:basedOn w:val="a8"/>
    <w:uiPriority w:val="99"/>
    <w:rsid w:val="009D2DED"/>
    <w:pPr>
      <w:ind w:left="851"/>
    </w:pPr>
  </w:style>
  <w:style w:type="paragraph" w:styleId="32">
    <w:name w:val="List 3"/>
    <w:basedOn w:val="24"/>
    <w:rsid w:val="009D2DED"/>
    <w:pPr>
      <w:ind w:left="1135"/>
    </w:pPr>
  </w:style>
  <w:style w:type="paragraph" w:styleId="41">
    <w:name w:val="List 4"/>
    <w:basedOn w:val="32"/>
    <w:rsid w:val="009D2DED"/>
    <w:pPr>
      <w:ind w:left="1418"/>
    </w:pPr>
  </w:style>
  <w:style w:type="paragraph" w:styleId="51">
    <w:name w:val="List 5"/>
    <w:basedOn w:val="41"/>
    <w:rsid w:val="009D2DED"/>
    <w:pPr>
      <w:ind w:left="1702"/>
    </w:pPr>
  </w:style>
  <w:style w:type="paragraph" w:styleId="42">
    <w:name w:val="List Bullet 4"/>
    <w:basedOn w:val="31"/>
    <w:rsid w:val="009D2DED"/>
    <w:pPr>
      <w:ind w:left="1418"/>
    </w:pPr>
  </w:style>
  <w:style w:type="paragraph" w:styleId="52">
    <w:name w:val="List Bullet 5"/>
    <w:basedOn w:val="42"/>
    <w:rsid w:val="009D2DED"/>
    <w:pPr>
      <w:ind w:left="1702"/>
    </w:pPr>
  </w:style>
  <w:style w:type="paragraph" w:customStyle="1" w:styleId="B2">
    <w:name w:val="B2"/>
    <w:basedOn w:val="24"/>
    <w:rsid w:val="009D2DED"/>
  </w:style>
  <w:style w:type="paragraph" w:customStyle="1" w:styleId="B3">
    <w:name w:val="B3"/>
    <w:basedOn w:val="32"/>
    <w:rsid w:val="009D2DED"/>
  </w:style>
  <w:style w:type="paragraph" w:customStyle="1" w:styleId="B4">
    <w:name w:val="B4"/>
    <w:basedOn w:val="41"/>
    <w:rsid w:val="009D2DED"/>
  </w:style>
  <w:style w:type="paragraph" w:customStyle="1" w:styleId="B5">
    <w:name w:val="B5"/>
    <w:basedOn w:val="51"/>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aa">
    <w:name w:val="index heading"/>
    <w:basedOn w:val="a"/>
    <w:next w:val="a"/>
    <w:semiHidden/>
    <w:rsid w:val="009D2DED"/>
    <w:pPr>
      <w:pBdr>
        <w:top w:val="single" w:sz="12" w:space="0" w:color="auto"/>
      </w:pBdr>
      <w:spacing w:before="360" w:after="240"/>
    </w:pPr>
    <w:rPr>
      <w:b/>
      <w:i/>
      <w:sz w:val="26"/>
    </w:rPr>
  </w:style>
  <w:style w:type="paragraph" w:customStyle="1" w:styleId="INDENT1">
    <w:name w:val="INDENT1"/>
    <w:basedOn w:val="a"/>
    <w:rsid w:val="009D2DED"/>
    <w:pPr>
      <w:ind w:left="851"/>
    </w:pPr>
  </w:style>
  <w:style w:type="paragraph" w:customStyle="1" w:styleId="INDENT2">
    <w:name w:val="INDENT2"/>
    <w:basedOn w:val="a"/>
    <w:rsid w:val="009D2DED"/>
    <w:pPr>
      <w:ind w:left="1135" w:hanging="284"/>
    </w:pPr>
  </w:style>
  <w:style w:type="paragraph" w:customStyle="1" w:styleId="INDENT3">
    <w:name w:val="INDENT3"/>
    <w:basedOn w:val="a"/>
    <w:rsid w:val="009D2DED"/>
    <w:pPr>
      <w:ind w:left="1701" w:hanging="567"/>
    </w:pPr>
  </w:style>
  <w:style w:type="paragraph" w:customStyle="1" w:styleId="FigureTitle">
    <w:name w:val="Figure_Title"/>
    <w:basedOn w:val="a"/>
    <w:next w:val="a"/>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D2DED"/>
    <w:pPr>
      <w:keepNext/>
      <w:keepLines/>
    </w:pPr>
    <w:rPr>
      <w:b/>
    </w:rPr>
  </w:style>
  <w:style w:type="paragraph" w:customStyle="1" w:styleId="enumlev2">
    <w:name w:val="enumlev2"/>
    <w:basedOn w:val="a"/>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D2DE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captions"/>
    <w:basedOn w:val="a"/>
    <w:next w:val="a"/>
    <w:link w:val="Char2"/>
    <w:uiPriority w:val="35"/>
    <w:qFormat/>
    <w:rsid w:val="009D2DED"/>
    <w:pPr>
      <w:spacing w:before="120" w:after="120"/>
    </w:pPr>
    <w:rPr>
      <w:b/>
    </w:rPr>
  </w:style>
  <w:style w:type="character" w:styleId="ac">
    <w:name w:val="Hyperlink"/>
    <w:rsid w:val="009D2DED"/>
    <w:rPr>
      <w:color w:val="0000FF"/>
      <w:u w:val="single"/>
    </w:rPr>
  </w:style>
  <w:style w:type="character" w:styleId="ad">
    <w:name w:val="FollowedHyperlink"/>
    <w:rsid w:val="009D2DED"/>
    <w:rPr>
      <w:color w:val="800080"/>
      <w:u w:val="single"/>
    </w:rPr>
  </w:style>
  <w:style w:type="paragraph" w:styleId="ae">
    <w:name w:val="Document Map"/>
    <w:basedOn w:val="a"/>
    <w:semiHidden/>
    <w:rsid w:val="009D2DED"/>
    <w:pPr>
      <w:shd w:val="clear" w:color="auto" w:fill="000080"/>
    </w:pPr>
    <w:rPr>
      <w:rFonts w:ascii="Tahoma" w:hAnsi="Tahoma"/>
    </w:rPr>
  </w:style>
  <w:style w:type="paragraph" w:styleId="af">
    <w:name w:val="Plain Text"/>
    <w:basedOn w:val="a"/>
    <w:link w:val="Char3"/>
    <w:uiPriority w:val="99"/>
    <w:rsid w:val="009D2DED"/>
    <w:rPr>
      <w:rFonts w:ascii="Courier New" w:hAnsi="Courier New"/>
      <w:lang w:val="nb-NO"/>
    </w:rPr>
  </w:style>
  <w:style w:type="paragraph" w:customStyle="1" w:styleId="TAJ">
    <w:name w:val="TAJ"/>
    <w:basedOn w:val="TH"/>
    <w:rsid w:val="009D2DE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D2DED"/>
  </w:style>
  <w:style w:type="character" w:styleId="af1">
    <w:name w:val="annotation reference"/>
    <w:semiHidden/>
    <w:rsid w:val="009D2DED"/>
    <w:rPr>
      <w:sz w:val="16"/>
    </w:rPr>
  </w:style>
  <w:style w:type="paragraph" w:customStyle="1" w:styleId="Guidance">
    <w:name w:val="Guidance"/>
    <w:basedOn w:val="a"/>
    <w:link w:val="GuidanceChar"/>
    <w:rsid w:val="009D2DED"/>
    <w:rPr>
      <w:i/>
      <w:color w:val="0000FF"/>
    </w:rPr>
  </w:style>
  <w:style w:type="paragraph" w:styleId="af2">
    <w:name w:val="annotation text"/>
    <w:basedOn w:val="a"/>
    <w:link w:val="Char5"/>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List Paragraph"/>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src">
    <w:name w:val="src"/>
    <w:basedOn w:val="a"/>
    <w:rsid w:val="00314056"/>
    <w:pPr>
      <w:spacing w:before="100" w:beforeAutospacing="1" w:after="100" w:afterAutospacing="1"/>
    </w:pPr>
    <w:rPr>
      <w:rFonts w:ascii="宋体" w:eastAsia="宋体" w:hAnsi="宋体" w:cs="宋体"/>
      <w:sz w:val="24"/>
      <w:szCs w:val="24"/>
      <w:lang w:val="en-US" w:eastAsia="zh-CN"/>
    </w:rPr>
  </w:style>
  <w:style w:type="paragraph" w:customStyle="1" w:styleId="BL">
    <w:name w:val="BL"/>
    <w:basedOn w:val="a"/>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r="http://schemas.openxmlformats.org/officeDocument/2006/relationships" xmlns:w="http://schemas.openxmlformats.org/wordprocessingml/2006/main">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FAC78-D47C-485B-BDC9-775FFC19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432</TotalTime>
  <Pages>7</Pages>
  <Words>1621</Words>
  <Characters>9246</Characters>
  <Application>Microsoft Office Word</Application>
  <DocSecurity>0</DocSecurity>
  <Lines>77</Lines>
  <Paragraphs>21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10846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cmcc</cp:lastModifiedBy>
  <cp:revision>347</cp:revision>
  <cp:lastPrinted>2019-04-25T01:09:00Z</cp:lastPrinted>
  <dcterms:created xsi:type="dcterms:W3CDTF">2020-04-17T07:01:00Z</dcterms:created>
  <dcterms:modified xsi:type="dcterms:W3CDTF">2020-08-17T02:20:00Z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