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F075902" w:rsidR="003B61A8" w:rsidRPr="001C3047" w:rsidRDefault="003B61A8" w:rsidP="003B61A8">
      <w:pPr>
        <w:pStyle w:val="Header"/>
        <w:tabs>
          <w:tab w:val="right" w:pos="9356"/>
          <w:tab w:val="right" w:pos="10206"/>
        </w:tabs>
        <w:rPr>
          <w:rFonts w:cs="Arial"/>
          <w:i/>
          <w:sz w:val="24"/>
        </w:rPr>
      </w:pPr>
      <w:bookmarkStart w:id="0" w:name="_Toc491868096"/>
      <w:r w:rsidRPr="001C3047">
        <w:rPr>
          <w:rFonts w:cs="Arial"/>
          <w:sz w:val="24"/>
        </w:rPr>
        <w:t xml:space="preserve">TSG-RAN Working Group 4 (Radio) meeting </w:t>
      </w:r>
      <w:r w:rsidR="00BF1C81" w:rsidRPr="001C3047">
        <w:rPr>
          <w:rFonts w:cs="Arial"/>
          <w:sz w:val="24"/>
        </w:rPr>
        <w:t>#</w:t>
      </w:r>
      <w:r w:rsidR="00A6396C">
        <w:rPr>
          <w:rFonts w:cs="Arial"/>
          <w:sz w:val="24"/>
        </w:rPr>
        <w:t>9</w:t>
      </w:r>
      <w:r w:rsidR="00CC5B98">
        <w:rPr>
          <w:rFonts w:cs="Arial"/>
          <w:sz w:val="24"/>
        </w:rPr>
        <w:t>6-e</w:t>
      </w:r>
      <w:r w:rsidRPr="001C3047">
        <w:rPr>
          <w:rFonts w:cs="Arial"/>
          <w:i/>
          <w:sz w:val="24"/>
        </w:rPr>
        <w:tab/>
      </w:r>
      <w:r w:rsidR="00CC5B98" w:rsidRPr="00CC5B98">
        <w:rPr>
          <w:rFonts w:cs="Arial"/>
          <w:iCs/>
          <w:sz w:val="24"/>
        </w:rPr>
        <w:t>R4-2009967</w:t>
      </w:r>
    </w:p>
    <w:p w14:paraId="751E753B" w14:textId="77777777" w:rsidR="00CC5B98" w:rsidRDefault="00CC5B98" w:rsidP="00CC5B9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Aug 2020</w:t>
        </w:r>
      </w:fldSimple>
      <w:r>
        <w:rPr>
          <w:b/>
          <w:noProof/>
          <w:sz w:val="24"/>
        </w:rPr>
        <w:t xml:space="preserve"> - </w:t>
      </w:r>
      <w:fldSimple w:instr=" DOCPROPERTY  EndDate  \* MERGEFORMAT ">
        <w:r>
          <w:rPr>
            <w:b/>
            <w:noProof/>
            <w:sz w:val="24"/>
          </w:rPr>
          <w:t>28th Aug 2020</w:t>
        </w:r>
      </w:fldSimple>
    </w:p>
    <w:p w14:paraId="5BE65FC9" w14:textId="77777777" w:rsidR="003B61A8" w:rsidRDefault="003B61A8" w:rsidP="003B61A8">
      <w:pPr>
        <w:spacing w:after="120"/>
        <w:ind w:left="1985" w:hanging="1985"/>
        <w:rPr>
          <w:rFonts w:ascii="Arial" w:eastAsia="SimSun"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9827F8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96CC1">
        <w:rPr>
          <w:rFonts w:ascii="Arial" w:hAnsi="Arial" w:cs="Arial"/>
        </w:rPr>
        <w:t xml:space="preserve">On the </w:t>
      </w:r>
      <w:r w:rsidR="001019E1">
        <w:rPr>
          <w:rFonts w:ascii="Arial" w:hAnsi="Arial" w:cs="Arial"/>
        </w:rPr>
        <w:t>criteria for selecting a proper CLTA</w:t>
      </w:r>
    </w:p>
    <w:p w14:paraId="72798C4E" w14:textId="37742A56" w:rsidR="003B61A8" w:rsidRPr="004461D3" w:rsidRDefault="003B61A8" w:rsidP="003B61A8">
      <w:pPr>
        <w:spacing w:after="120"/>
        <w:ind w:left="1985" w:hanging="1985"/>
        <w:rPr>
          <w:rFonts w:ascii="Arial" w:hAnsi="Arial" w:cs="Arial"/>
          <w:color w:val="FF0000"/>
          <w:lang w:val="en-US"/>
        </w:rPr>
      </w:pPr>
      <w:r w:rsidRPr="004461D3">
        <w:rPr>
          <w:rFonts w:ascii="Arial" w:hAnsi="Arial" w:cs="Arial"/>
          <w:b/>
          <w:lang w:val="en-US"/>
        </w:rPr>
        <w:t>Agenda item:</w:t>
      </w:r>
      <w:r w:rsidRPr="004461D3">
        <w:rPr>
          <w:rFonts w:ascii="Arial" w:hAnsi="Arial" w:cs="Arial"/>
          <w:b/>
          <w:lang w:val="en-US"/>
        </w:rPr>
        <w:tab/>
      </w:r>
      <w:r w:rsidR="00CC5B98" w:rsidRPr="00CC5B98">
        <w:rPr>
          <w:rFonts w:ascii="Arial" w:hAnsi="Arial" w:cs="Arial"/>
          <w:bCs/>
          <w:lang w:val="en-US"/>
        </w:rPr>
        <w:t>4.5.4</w:t>
      </w:r>
    </w:p>
    <w:p w14:paraId="3C088A4A" w14:textId="41409EB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4634B67C" w14:textId="7E88FABB" w:rsidR="00BE06D2" w:rsidRDefault="00A94298" w:rsidP="00B06E2E">
      <w:r>
        <w:t>The current</w:t>
      </w:r>
      <w:r w:rsidR="001019E1">
        <w:t xml:space="preserve"> criteria for </w:t>
      </w:r>
      <w:r w:rsidR="00007AB9">
        <w:t>choosing</w:t>
      </w:r>
      <w:r w:rsidR="001019E1">
        <w:t xml:space="preserve"> a suitable </w:t>
      </w:r>
      <w:r w:rsidR="00007AB9">
        <w:t>CO-lo</w:t>
      </w:r>
      <w:r w:rsidR="00A73AF0">
        <w:t>cation Test Antenna (</w:t>
      </w:r>
      <w:r w:rsidR="001019E1">
        <w:t>CLTA</w:t>
      </w:r>
      <w:r w:rsidR="00A73AF0">
        <w:t>)</w:t>
      </w:r>
      <w:r w:rsidR="001019E1">
        <w:t xml:space="preserve"> </w:t>
      </w:r>
      <w:r w:rsidR="00A73AF0">
        <w:t xml:space="preserve">may </w:t>
      </w:r>
      <w:r>
        <w:t>lead to adverse situations</w:t>
      </w:r>
      <w:r w:rsidR="001019E1">
        <w:t xml:space="preserve">. Especially, when </w:t>
      </w:r>
      <w:r w:rsidR="00A73AF0">
        <w:t>the</w:t>
      </w:r>
      <w:r w:rsidR="0067493F">
        <w:t xml:space="preserve"> tests </w:t>
      </w:r>
      <w:r w:rsidR="00007AB9">
        <w:t>require a</w:t>
      </w:r>
      <w:r w:rsidR="0067493F">
        <w:t xml:space="preserve"> CLTA running at a significantly lower </w:t>
      </w:r>
      <w:r w:rsidR="005250EA">
        <w:t>frequency</w:t>
      </w:r>
      <w:r w:rsidR="00A73AF0">
        <w:t xml:space="preserve"> than the frequency of the Equipment Under Test (EUT)</w:t>
      </w:r>
      <w:r w:rsidR="005250EA">
        <w:t xml:space="preserve">. If the </w:t>
      </w:r>
      <w:r w:rsidR="00307543">
        <w:t>CLTA</w:t>
      </w:r>
      <w:r w:rsidR="005250EA">
        <w:t xml:space="preserve"> shall be selected to match the beam width </w:t>
      </w:r>
      <w:r w:rsidR="000A0C13">
        <w:t xml:space="preserve">of the EUT, the </w:t>
      </w:r>
      <w:r w:rsidR="00E4227F">
        <w:t xml:space="preserve">fraction </w:t>
      </w:r>
      <m:oMath>
        <m:r>
          <w:rPr>
            <w:rFonts w:ascii="Cambria Math" w:hAnsi="Cambria Math"/>
          </w:rPr>
          <m:t>L/λ</m:t>
        </m:r>
      </m:oMath>
      <w:r w:rsidR="000A0C13">
        <w:t xml:space="preserve"> </w:t>
      </w:r>
      <w:r w:rsidR="002324CC">
        <w:t xml:space="preserve">where L is antenna length and </w:t>
      </w:r>
      <m:oMath>
        <m:r>
          <w:rPr>
            <w:rFonts w:ascii="Cambria Math" w:hAnsi="Cambria Math"/>
          </w:rPr>
          <m:t>λ</m:t>
        </m:r>
      </m:oMath>
      <w:r w:rsidR="003C7BAE">
        <w:t xml:space="preserve"> is the </w:t>
      </w:r>
      <w:proofErr w:type="gramStart"/>
      <w:r w:rsidR="003C7BAE">
        <w:t>wave length</w:t>
      </w:r>
      <w:proofErr w:type="gramEnd"/>
      <w:r w:rsidR="007607C2">
        <w:t xml:space="preserve"> of t</w:t>
      </w:r>
      <w:r w:rsidR="008D183F">
        <w:t>he design frequency</w:t>
      </w:r>
      <w:r w:rsidR="003C7BAE">
        <w:t xml:space="preserve">, </w:t>
      </w:r>
      <w:r w:rsidR="000A0C13">
        <w:t xml:space="preserve">must </w:t>
      </w:r>
      <w:r w:rsidR="007607C2">
        <w:t>be the same for the CLTA and the EUT</w:t>
      </w:r>
      <w:r w:rsidR="008D183F">
        <w:t>. Hence,</w:t>
      </w:r>
      <w:r w:rsidR="000A0C13">
        <w:t xml:space="preserve"> a CLTA at </w:t>
      </w:r>
      <w:r w:rsidR="006B42B4">
        <w:t>N times lower frequency than</w:t>
      </w:r>
      <w:r w:rsidR="000A0C13">
        <w:t xml:space="preserve"> the </w:t>
      </w:r>
      <w:r w:rsidR="00BE06D2">
        <w:t xml:space="preserve">inband frequency would have to be about </w:t>
      </w:r>
      <w:r w:rsidR="006B42B4">
        <w:t>N</w:t>
      </w:r>
      <w:r w:rsidR="00BE06D2">
        <w:t xml:space="preserve"> times as large.</w:t>
      </w:r>
    </w:p>
    <w:p w14:paraId="64F36415" w14:textId="77777777" w:rsidR="004E319C" w:rsidRDefault="004E319C" w:rsidP="004E319C">
      <w:r>
        <w:t>This contribution emphasizes on the property that the co-location test is taking place in the nearfield region, a fixed sideways separation of 0.1 m. Hence, the beamwidth criterion is probably not relevant for OOB CLTA selection. The amount of coupling between antennas can be written as the reaction integral [1]</w:t>
      </w:r>
    </w:p>
    <w:p w14:paraId="68536CCB" w14:textId="77777777" w:rsidR="004E319C" w:rsidRDefault="004E319C" w:rsidP="004E319C">
      <w:pPr>
        <w:pStyle w:val="BodyText"/>
      </w:pPr>
    </w:p>
    <w:p w14:paraId="6381888D" w14:textId="77777777" w:rsidR="004E319C" w:rsidRPr="007D610C" w:rsidRDefault="00972455" w:rsidP="004E319C">
      <w:pPr>
        <w:pStyle w:val="BodyText"/>
        <w:jc w:val="center"/>
      </w:pPr>
      <m:oMath>
        <m:sSub>
          <m:sSubPr>
            <m:ctrlPr>
              <w:rPr>
                <w:rFonts w:ascii="Cambria Math" w:hAnsi="Cambria Math"/>
                <w:i/>
              </w:rPr>
            </m:ctrlPr>
          </m:sSubPr>
          <m:e>
            <m:r>
              <w:rPr>
                <w:rFonts w:ascii="Cambria Math" w:hAnsi="Cambria Math"/>
              </w:rPr>
              <m:t>V</m:t>
            </m:r>
          </m:e>
          <m:sub>
            <m:r>
              <w:rPr>
                <w:rFonts w:ascii="Cambria Math" w:hAnsi="Cambria Math"/>
              </w:rPr>
              <m:t>21</m:t>
            </m:r>
          </m:sub>
        </m:sSub>
        <m:r>
          <w:rPr>
            <w:rFonts w:ascii="Cambria Math" w:hAnsi="Cambria Math"/>
          </w:rPr>
          <m:t>=c∯</m:t>
        </m:r>
        <m:acc>
          <m:accPr>
            <m:chr m:val="⃗"/>
            <m:ctrlPr>
              <w:rPr>
                <w:rFonts w:ascii="Cambria Math" w:hAnsi="Cambria Math"/>
                <w:i/>
              </w:rPr>
            </m:ctrlPr>
          </m:accPr>
          <m:e>
            <m:sSub>
              <m:sSubPr>
                <m:ctrlPr>
                  <w:rPr>
                    <w:rFonts w:ascii="Cambria Math" w:hAnsi="Cambria Math"/>
                    <w:i/>
                  </w:rPr>
                </m:ctrlPr>
              </m:sSubPr>
              <m:e>
                <m:r>
                  <w:rPr>
                    <w:rFonts w:ascii="Cambria Math" w:hAnsi="Cambria Math"/>
                  </w:rPr>
                  <m:t>E</m:t>
                </m:r>
              </m:e>
              <m:sub>
                <m:r>
                  <w:rPr>
                    <w:rFonts w:ascii="Cambria Math" w:hAnsi="Cambria Math"/>
                  </w:rPr>
                  <m:t>1</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J</m:t>
                </m:r>
              </m:e>
              <m:sub>
                <m:r>
                  <w:rPr>
                    <w:rFonts w:ascii="Cambria Math" w:hAnsi="Cambria Math"/>
                  </w:rPr>
                  <m:t>2</m:t>
                </m:r>
              </m:sub>
            </m:sSub>
          </m:e>
        </m:acc>
        <m:r>
          <w:rPr>
            <w:rFonts w:ascii="Cambria Math" w:hAnsi="Cambria Math"/>
          </w:rPr>
          <m:t xml:space="preserve"> </m:t>
        </m:r>
      </m:oMath>
      <w:r w:rsidR="004E319C">
        <w:t>dS</w:t>
      </w:r>
    </w:p>
    <w:p w14:paraId="3FB3849D" w14:textId="02ADC13E" w:rsidR="004E319C" w:rsidRDefault="004E319C" w:rsidP="00B06E2E">
      <w:r>
        <w:rPr>
          <w:rFonts w:ascii="Arial" w:hAnsi="Arial" w:cs="Arial"/>
        </w:rPr>
        <w:t>Here c is a constant (not important for this discussion),  </w:t>
      </w:r>
      <m:oMath>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E</m:t>
                </m:r>
              </m:e>
              <m:sub>
                <m:r>
                  <w:rPr>
                    <w:rFonts w:ascii="Cambria Math" w:hAnsi="Cambria Math" w:cs="Arial"/>
                  </w:rPr>
                  <m:t>1</m:t>
                </m:r>
              </m:sub>
            </m:sSub>
          </m:e>
        </m:acc>
        <m:r>
          <w:rPr>
            <w:rFonts w:ascii="Cambria Math" w:hAnsi="Cambria Math" w:cs="Arial"/>
          </w:rPr>
          <m:t xml:space="preserve"> </m:t>
        </m:r>
      </m:oMath>
      <w:r>
        <w:rPr>
          <w:rFonts w:ascii="Arial" w:hAnsi="Arial" w:cs="Arial"/>
        </w:rPr>
        <w:t xml:space="preserve"> is the electric field induced by antenna 1 and </w:t>
      </w:r>
      <m:oMath>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J</m:t>
                </m:r>
              </m:e>
              <m:sub>
                <m:r>
                  <w:rPr>
                    <w:rFonts w:ascii="Cambria Math" w:hAnsi="Cambria Math" w:cs="Arial"/>
                  </w:rPr>
                  <m:t>2</m:t>
                </m:r>
              </m:sub>
            </m:sSub>
          </m:e>
        </m:acc>
      </m:oMath>
      <w:r>
        <w:rPr>
          <w:rFonts w:ascii="Arial" w:hAnsi="Arial" w:cs="Arial"/>
        </w:rPr>
        <w:t xml:space="preserve"> are the currents of antenna 2. The integration goes over a surface circumscribing antenna</w:t>
      </w:r>
    </w:p>
    <w:p w14:paraId="4A9565A3" w14:textId="6A6674B7" w:rsidR="00783817" w:rsidRDefault="00783817" w:rsidP="004E319C">
      <w:pPr>
        <w:pBdr>
          <w:bottom w:val="single" w:sz="4" w:space="0" w:color="auto"/>
        </w:pBdr>
        <w:rPr>
          <w:rFonts w:ascii="Arial" w:hAnsi="Arial" w:cs="Arial"/>
        </w:rPr>
      </w:pPr>
    </w:p>
    <w:p w14:paraId="55178D93" w14:textId="77777777" w:rsidR="004E319C" w:rsidRDefault="004E319C" w:rsidP="004E319C">
      <w:pPr>
        <w:pStyle w:val="Heading1"/>
        <w:keepLines w:val="0"/>
        <w:numPr>
          <w:ilvl w:val="0"/>
          <w:numId w:val="1"/>
        </w:numPr>
        <w:pBdr>
          <w:top w:val="none" w:sz="0" w:space="0" w:color="auto"/>
        </w:pBdr>
        <w:spacing w:before="0" w:after="240"/>
        <w:ind w:right="284" w:hanging="720"/>
      </w:pPr>
      <w:r>
        <w:t>Discussion</w:t>
      </w:r>
    </w:p>
    <w:p w14:paraId="601E2A0F" w14:textId="4EE141D4" w:rsidR="00783817" w:rsidRDefault="00783817" w:rsidP="009021B7">
      <w:r>
        <w:t>Three distinct cases can now be identified:</w:t>
      </w:r>
    </w:p>
    <w:p w14:paraId="41284A7B" w14:textId="43B9CAB8" w:rsidR="00783817" w:rsidRPr="000D4CFC" w:rsidRDefault="009021B7" w:rsidP="009021B7">
      <w:pPr>
        <w:pStyle w:val="ListParagraph"/>
        <w:numPr>
          <w:ilvl w:val="0"/>
          <w:numId w:val="20"/>
        </w:numPr>
      </w:pPr>
      <w:r>
        <w:t>The CLTA</w:t>
      </w:r>
      <w:r w:rsidR="00783817" w:rsidRPr="000D4CFC">
        <w:t xml:space="preserve"> is smaller than </w:t>
      </w:r>
      <w:r>
        <w:t>the AAS</w:t>
      </w:r>
      <w:r w:rsidR="00783817" w:rsidRPr="000D4CFC">
        <w:t xml:space="preserve"> </w:t>
      </w:r>
    </w:p>
    <w:p w14:paraId="2B370C46" w14:textId="472A16EE" w:rsidR="00783817" w:rsidRDefault="0000096B" w:rsidP="009021B7">
      <w:pPr>
        <w:pStyle w:val="ListParagraph"/>
        <w:numPr>
          <w:ilvl w:val="0"/>
          <w:numId w:val="20"/>
        </w:numPr>
      </w:pPr>
      <w:r>
        <w:t>The CLTA</w:t>
      </w:r>
      <w:r w:rsidR="00783817">
        <w:t xml:space="preserve"> </w:t>
      </w:r>
      <w:r>
        <w:t>has</w:t>
      </w:r>
      <w:r w:rsidR="00783817">
        <w:t xml:space="preserve"> the same size as </w:t>
      </w:r>
      <w:r>
        <w:t>the AAS</w:t>
      </w:r>
    </w:p>
    <w:p w14:paraId="00EC9859" w14:textId="0F96BCAD" w:rsidR="00783817" w:rsidRDefault="0000096B" w:rsidP="009021B7">
      <w:pPr>
        <w:pStyle w:val="ListParagraph"/>
        <w:numPr>
          <w:ilvl w:val="0"/>
          <w:numId w:val="20"/>
        </w:numPr>
      </w:pPr>
      <w:r>
        <w:t>The CLTA</w:t>
      </w:r>
      <w:r w:rsidR="00783817">
        <w:t xml:space="preserve"> is larger than </w:t>
      </w:r>
      <w:r>
        <w:t>the AAS</w:t>
      </w:r>
    </w:p>
    <w:p w14:paraId="35C6A18F" w14:textId="56162A38" w:rsidR="00783817" w:rsidRDefault="00783817" w:rsidP="009021B7"/>
    <w:p w14:paraId="2B5E80C9" w14:textId="637F5BB6" w:rsidR="00783817" w:rsidRDefault="00783817" w:rsidP="00783817">
      <w:pPr>
        <w:pStyle w:val="ListParagraph"/>
        <w:pBdr>
          <w:bottom w:val="single" w:sz="4" w:space="1" w:color="auto"/>
        </w:pBdr>
        <w:rPr>
          <w:rFonts w:ascii="Arial" w:hAnsi="Arial" w:cs="Arial"/>
        </w:rPr>
      </w:pPr>
    </w:p>
    <w:p w14:paraId="64286C4B" w14:textId="77777777" w:rsidR="004E319C" w:rsidRDefault="000D4CFC" w:rsidP="004E319C">
      <w:pPr>
        <w:pStyle w:val="ListParagraph"/>
        <w:keepNext/>
        <w:pBdr>
          <w:bottom w:val="single" w:sz="4" w:space="1" w:color="auto"/>
        </w:pBdr>
        <w:jc w:val="center"/>
      </w:pPr>
      <w:r>
        <w:rPr>
          <w:rFonts w:ascii="Arial" w:hAnsi="Arial" w:cs="Arial"/>
          <w:noProof/>
        </w:rPr>
        <w:lastRenderedPageBreak/>
        <w:drawing>
          <wp:inline distT="0" distB="0" distL="0" distR="0" wp14:anchorId="09F9966A" wp14:editId="6F8D1763">
            <wp:extent cx="5038927" cy="2493069"/>
            <wp:effectExtent l="0" t="0" r="0" b="0"/>
            <wp:docPr id="9" name="Picture 9" descr="A picture containing object, clock,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lta_length_effect.png"/>
                    <pic:cNvPicPr/>
                  </pic:nvPicPr>
                  <pic:blipFill>
                    <a:blip r:embed="rId14">
                      <a:extLst>
                        <a:ext uri="{28A0092B-C50C-407E-A947-70E740481C1C}">
                          <a14:useLocalDpi xmlns:a14="http://schemas.microsoft.com/office/drawing/2010/main" val="0"/>
                        </a:ext>
                      </a:extLst>
                    </a:blip>
                    <a:stretch>
                      <a:fillRect/>
                    </a:stretch>
                  </pic:blipFill>
                  <pic:spPr>
                    <a:xfrm>
                      <a:off x="0" y="0"/>
                      <a:ext cx="5057650" cy="2502332"/>
                    </a:xfrm>
                    <a:prstGeom prst="rect">
                      <a:avLst/>
                    </a:prstGeom>
                  </pic:spPr>
                </pic:pic>
              </a:graphicData>
            </a:graphic>
          </wp:inline>
        </w:drawing>
      </w:r>
    </w:p>
    <w:p w14:paraId="0A9B7C60" w14:textId="5F08785D" w:rsidR="004E319C" w:rsidRDefault="004E319C" w:rsidP="004E319C">
      <w:pPr>
        <w:pStyle w:val="Caption"/>
      </w:pPr>
      <w:r>
        <w:t xml:space="preserve">Figure </w:t>
      </w:r>
      <w:r>
        <w:fldChar w:fldCharType="begin"/>
      </w:r>
      <w:r>
        <w:instrText xml:space="preserve"> SEQ Figure \* ARABIC </w:instrText>
      </w:r>
      <w:r>
        <w:fldChar w:fldCharType="separate"/>
      </w:r>
      <w:r>
        <w:rPr>
          <w:noProof/>
        </w:rPr>
        <w:t>1</w:t>
      </w:r>
      <w:r>
        <w:fldChar w:fldCharType="end"/>
      </w:r>
      <w:r w:rsidRPr="00E07733">
        <w:t xml:space="preserve"> Three cases for discussion of the impact of the CLTA length. The vertical black lines illustrate the field from the CLTA ((E_ </w:t>
      </w:r>
      <w:r w:rsidRPr="00E07733">
        <w:rPr>
          <w:rFonts w:ascii="Cambria Math" w:hAnsi="Cambria Math" w:cs="Cambria Math"/>
        </w:rPr>
        <w:t>⃗</w:t>
      </w:r>
      <w:r w:rsidRPr="00E07733">
        <w:t xml:space="preserve"> </w:t>
      </w:r>
      <w:proofErr w:type="gramStart"/>
      <w:r w:rsidR="001B2A2B" w:rsidRPr="00E07733">
        <w:t>1 )</w:t>
      </w:r>
      <w:proofErr w:type="gramEnd"/>
      <w:r w:rsidRPr="00E07733">
        <w:t xml:space="preserve"> ) and the currents on the AAS ( J </w:t>
      </w:r>
      <w:r w:rsidRPr="00E07733">
        <w:rPr>
          <w:rFonts w:ascii="Cambria Math" w:hAnsi="Cambria Math" w:cs="Cambria Math"/>
        </w:rPr>
        <w:t>⃗</w:t>
      </w:r>
      <w:r w:rsidRPr="00E07733">
        <w:t xml:space="preserve">_2) flows on the surface, here depicted as a green rectangle. </w:t>
      </w:r>
    </w:p>
    <w:p w14:paraId="0AE7E5CA" w14:textId="77777777" w:rsidR="004E319C" w:rsidRDefault="004E319C" w:rsidP="004E319C">
      <w:r>
        <w:t xml:space="preserve">Comparing case c) and </w:t>
      </w:r>
      <w:proofErr w:type="gramStart"/>
      <w:r>
        <w:t>b)  it</w:t>
      </w:r>
      <w:proofErr w:type="gramEnd"/>
      <w:r>
        <w:t xml:space="preserve"> can be argued that the field strength is reduced in case c) compared to case b) as the power is spread out over a larger surface. As a result, the coupling decreases. By reciprocity the same is true for case a), i.e. the coupling is reduced both when the CLTA is under-sized or over-sized and the highest coupling occurs when the CLTA is length-matched to the AAS.</w:t>
      </w:r>
    </w:p>
    <w:p w14:paraId="7D673266" w14:textId="77777777" w:rsidR="004E319C" w:rsidRDefault="004E319C" w:rsidP="004E319C"/>
    <w:p w14:paraId="7B055FD9" w14:textId="77777777" w:rsidR="004E319C" w:rsidRDefault="004E319C" w:rsidP="004E319C">
      <w:r>
        <w:t xml:space="preserve">To find further evidence for this argumentation, the coupling has been calculated by using the Induced EMF method [2]. Here, this method has been applied to a pair of vertical dipole arrays, assuming that the edge elements of the AAS are primarily affected by the neaerfield coupling effects. The AAS uses a fixed number of dipole elements, whereas the number of dipole elements varies in the CLTA array. The elements are dual-polarized +/- 45 dipoles with passive reflector dipoles a quarter </w:t>
      </w:r>
      <w:proofErr w:type="gramStart"/>
      <w:r>
        <w:t>wave length</w:t>
      </w:r>
      <w:proofErr w:type="gramEnd"/>
      <w:r>
        <w:t xml:space="preserve"> behind, to get a somewhat directive element pattern which is considered to be realistic.</w:t>
      </w:r>
    </w:p>
    <w:p w14:paraId="3D2D38C6" w14:textId="77777777" w:rsidR="004E319C" w:rsidRDefault="004E319C" w:rsidP="003B61A8">
      <w:pPr>
        <w:pBdr>
          <w:bottom w:val="single" w:sz="4" w:space="1" w:color="auto"/>
        </w:pBdr>
        <w:rPr>
          <w:rFonts w:ascii="Arial" w:hAnsi="Arial" w:cs="Arial"/>
        </w:rPr>
      </w:pPr>
    </w:p>
    <w:p w14:paraId="2A57D22A" w14:textId="012C9808" w:rsidR="004E319C" w:rsidRDefault="004E319C" w:rsidP="003B61A8">
      <w:pPr>
        <w:pBdr>
          <w:bottom w:val="single" w:sz="4" w:space="1" w:color="auto"/>
        </w:pBdr>
        <w:rPr>
          <w:rFonts w:ascii="Arial" w:hAnsi="Arial" w:cs="Arial"/>
        </w:rPr>
      </w:pPr>
    </w:p>
    <w:p w14:paraId="26D12940" w14:textId="77777777" w:rsidR="004E319C" w:rsidRDefault="004E319C" w:rsidP="003B61A8">
      <w:pPr>
        <w:pBdr>
          <w:bottom w:val="single" w:sz="4" w:space="1" w:color="auto"/>
        </w:pBdr>
        <w:rPr>
          <w:rFonts w:ascii="Arial" w:hAnsi="Arial" w:cs="Arial"/>
        </w:rPr>
      </w:pPr>
    </w:p>
    <w:p w14:paraId="0D7B0A46" w14:textId="75DF39E4" w:rsidR="00AB4BB2" w:rsidRDefault="00AB4BB2" w:rsidP="00AB4BB2">
      <w:pPr>
        <w:pBdr>
          <w:bottom w:val="single" w:sz="4" w:space="1" w:color="auto"/>
        </w:pBdr>
        <w:jc w:val="center"/>
        <w:rPr>
          <w:rFonts w:ascii="Arial" w:hAnsi="Arial" w:cs="Arial"/>
        </w:rPr>
      </w:pPr>
      <w:r>
        <w:rPr>
          <w:rFonts w:ascii="Arial" w:hAnsi="Arial" w:cs="Arial"/>
          <w:noProof/>
        </w:rPr>
        <w:drawing>
          <wp:inline distT="0" distB="0" distL="0" distR="0" wp14:anchorId="060CB788" wp14:editId="5CC11213">
            <wp:extent cx="2451100" cy="2628900"/>
            <wp:effectExtent l="0" t="0" r="0" b="0"/>
            <wp:docPr id="10" name="Picture 10" descr="A picture containing l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lta_length_effect_dipoles.png"/>
                    <pic:cNvPicPr/>
                  </pic:nvPicPr>
                  <pic:blipFill>
                    <a:blip r:embed="rId15">
                      <a:extLst>
                        <a:ext uri="{28A0092B-C50C-407E-A947-70E740481C1C}">
                          <a14:useLocalDpi xmlns:a14="http://schemas.microsoft.com/office/drawing/2010/main" val="0"/>
                        </a:ext>
                      </a:extLst>
                    </a:blip>
                    <a:stretch>
                      <a:fillRect/>
                    </a:stretch>
                  </pic:blipFill>
                  <pic:spPr>
                    <a:xfrm>
                      <a:off x="0" y="0"/>
                      <a:ext cx="2451100" cy="2628900"/>
                    </a:xfrm>
                    <a:prstGeom prst="rect">
                      <a:avLst/>
                    </a:prstGeom>
                  </pic:spPr>
                </pic:pic>
              </a:graphicData>
            </a:graphic>
          </wp:inline>
        </w:drawing>
      </w:r>
    </w:p>
    <w:p w14:paraId="0FBCDB9D" w14:textId="29CBE329" w:rsidR="00AB4BB2" w:rsidRDefault="00A85831" w:rsidP="00A85831">
      <w:pPr>
        <w:pStyle w:val="Caption"/>
      </w:pPr>
      <w:r>
        <w:t xml:space="preserve">Figure </w:t>
      </w:r>
      <w:r>
        <w:fldChar w:fldCharType="begin"/>
      </w:r>
      <w:r>
        <w:instrText xml:space="preserve"> SEQ Figure \* ARABIC </w:instrText>
      </w:r>
      <w:r>
        <w:fldChar w:fldCharType="separate"/>
      </w:r>
      <w:r w:rsidR="004E319C">
        <w:rPr>
          <w:noProof/>
        </w:rPr>
        <w:t>2</w:t>
      </w:r>
      <w:r>
        <w:fldChar w:fldCharType="end"/>
      </w:r>
      <w:r>
        <w:t xml:space="preserve"> Simulation setup for CLTA length effects. The </w:t>
      </w:r>
      <w:r w:rsidR="008E5906">
        <w:t xml:space="preserve">AAS is modelled as a single column antenna with one slanted polarization active </w:t>
      </w:r>
      <w:r w:rsidR="00AA3B03">
        <w:t xml:space="preserve">(blue) </w:t>
      </w:r>
      <w:r w:rsidR="008E5906">
        <w:t xml:space="preserve">and the </w:t>
      </w:r>
      <w:r w:rsidR="00AA3B03">
        <w:t>orthogonal ports as passive radiators (gr</w:t>
      </w:r>
      <w:r w:rsidR="00C24914">
        <w:t>e</w:t>
      </w:r>
      <w:r w:rsidR="00AA3B03">
        <w:t xml:space="preserve">y) </w:t>
      </w:r>
      <w:r w:rsidR="006B0C05">
        <w:t xml:space="preserve">the CLTA, here at another frequency, is modelled the same way but with different number of elements and length. </w:t>
      </w:r>
      <w:r w:rsidR="0032735D">
        <w:t xml:space="preserve">The dipoles are half-wavelength at </w:t>
      </w:r>
      <w:r w:rsidR="009A0BEC">
        <w:t>the design</w:t>
      </w:r>
      <w:r w:rsidR="0032735D">
        <w:t xml:space="preserve"> frequency</w:t>
      </w:r>
      <w:r w:rsidR="009A0BEC">
        <w:t xml:space="preserve"> of the antenna</w:t>
      </w:r>
      <w:r w:rsidR="003600D2">
        <w:t xml:space="preserve">, and the vertical element separation is half a </w:t>
      </w:r>
      <w:proofErr w:type="gramStart"/>
      <w:r w:rsidR="003600D2">
        <w:t>wave length</w:t>
      </w:r>
      <w:proofErr w:type="gramEnd"/>
      <w:r w:rsidR="0032735D">
        <w:t>.</w:t>
      </w:r>
    </w:p>
    <w:p w14:paraId="02399D07" w14:textId="77777777" w:rsidR="0032735D" w:rsidRPr="0032735D" w:rsidRDefault="0032735D" w:rsidP="0032735D"/>
    <w:p w14:paraId="7E6DF818" w14:textId="3490590D" w:rsidR="00CC64C1" w:rsidRDefault="0032735D" w:rsidP="00B41025">
      <w:pPr>
        <w:pStyle w:val="Heading1"/>
        <w:keepLines w:val="0"/>
        <w:numPr>
          <w:ilvl w:val="0"/>
          <w:numId w:val="1"/>
        </w:numPr>
        <w:pBdr>
          <w:top w:val="none" w:sz="0" w:space="0" w:color="auto"/>
        </w:pBdr>
        <w:spacing w:before="0" w:after="240"/>
        <w:ind w:right="284" w:hanging="720"/>
      </w:pPr>
      <w:r>
        <w:t>Results</w:t>
      </w:r>
    </w:p>
    <w:p w14:paraId="20B5070A" w14:textId="1C748A2D" w:rsidR="00B4308E" w:rsidRDefault="004078FE" w:rsidP="00B4308E">
      <w:r>
        <w:t xml:space="preserve">The absolute levels </w:t>
      </w:r>
      <w:r w:rsidR="0078651D">
        <w:t xml:space="preserve">of the coupling are specific for the used antenna elements. </w:t>
      </w:r>
      <w:r w:rsidR="008F4129">
        <w:t xml:space="preserve">Especially the results corresponding to nulls and harmonics in the frequency response of the used antenna elements. </w:t>
      </w:r>
      <w:r w:rsidR="0078651D">
        <w:t xml:space="preserve">A 10 dB extra isolation factor has been added to account </w:t>
      </w:r>
      <w:r w:rsidR="00D41181">
        <w:t>for</w:t>
      </w:r>
      <w:r w:rsidR="004461D3">
        <w:t xml:space="preserve"> mismatch and other imperfections</w:t>
      </w:r>
      <w:r w:rsidR="006365C6">
        <w:t>,</w:t>
      </w:r>
      <w:r w:rsidR="004461D3">
        <w:t xml:space="preserve"> </w:t>
      </w:r>
      <w:r w:rsidR="006365C6">
        <w:t xml:space="preserve">and mechanical structures </w:t>
      </w:r>
      <w:r w:rsidR="00D41181">
        <w:t>present in</w:t>
      </w:r>
      <w:r w:rsidR="0069172D">
        <w:t xml:space="preserve"> realistic antennas.</w:t>
      </w:r>
    </w:p>
    <w:p w14:paraId="1AE4C9A5" w14:textId="013159A8" w:rsidR="00B4308E" w:rsidRDefault="006F00A4" w:rsidP="00956BA2">
      <w:pPr>
        <w:jc w:val="center"/>
      </w:pPr>
      <w:r>
        <w:rPr>
          <w:noProof/>
        </w:rPr>
        <w:drawing>
          <wp:inline distT="0" distB="0" distL="0" distR="0" wp14:anchorId="5D4925C5" wp14:editId="06B3D579">
            <wp:extent cx="4013200" cy="4013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lta_length_freq.png"/>
                    <pic:cNvPicPr/>
                  </pic:nvPicPr>
                  <pic:blipFill>
                    <a:blip r:embed="rId16">
                      <a:extLst>
                        <a:ext uri="{28A0092B-C50C-407E-A947-70E740481C1C}">
                          <a14:useLocalDpi xmlns:a14="http://schemas.microsoft.com/office/drawing/2010/main" val="0"/>
                        </a:ext>
                      </a:extLst>
                    </a:blip>
                    <a:stretch>
                      <a:fillRect/>
                    </a:stretch>
                  </pic:blipFill>
                  <pic:spPr>
                    <a:xfrm>
                      <a:off x="0" y="0"/>
                      <a:ext cx="4013200" cy="4013200"/>
                    </a:xfrm>
                    <a:prstGeom prst="rect">
                      <a:avLst/>
                    </a:prstGeom>
                  </pic:spPr>
                </pic:pic>
              </a:graphicData>
            </a:graphic>
          </wp:inline>
        </w:drawing>
      </w:r>
    </w:p>
    <w:p w14:paraId="1A80988D" w14:textId="19F97AFC" w:rsidR="00956BA2" w:rsidRDefault="00956BA2" w:rsidP="004E319C">
      <w:pPr>
        <w:pStyle w:val="Caption"/>
      </w:pPr>
      <w:r>
        <w:t xml:space="preserve">Figure </w:t>
      </w:r>
      <w:r>
        <w:fldChar w:fldCharType="begin"/>
      </w:r>
      <w:r>
        <w:instrText xml:space="preserve"> SEQ Figure \* ARABIC </w:instrText>
      </w:r>
      <w:r>
        <w:fldChar w:fldCharType="separate"/>
      </w:r>
      <w:r w:rsidR="004E319C">
        <w:rPr>
          <w:noProof/>
        </w:rPr>
        <w:t>3</w:t>
      </w:r>
      <w:r>
        <w:fldChar w:fldCharType="end"/>
      </w:r>
      <w:r w:rsidR="00161DAE">
        <w:t xml:space="preserve"> Coupli</w:t>
      </w:r>
      <w:r w:rsidR="00A775CB">
        <w:t xml:space="preserve">ng at different frequencies for a range of relative lengths. Clearly, the maximum coupling occurs when the CLTA has the same length as the AAS. In this figure </w:t>
      </w:r>
      <w:r w:rsidR="00797DF3">
        <w:t xml:space="preserve">the AAS and the CLTA have the same </w:t>
      </w:r>
      <w:r w:rsidR="00D158CE">
        <w:t>design frequency</w:t>
      </w:r>
      <w:r w:rsidR="00797DF3">
        <w:t>.</w:t>
      </w:r>
    </w:p>
    <w:p w14:paraId="044BD4A4" w14:textId="74C25D21" w:rsidR="00B4308E" w:rsidRPr="00B4308E" w:rsidRDefault="00B4308E" w:rsidP="00B4308E"/>
    <w:p w14:paraId="75D2D709" w14:textId="420CC28D" w:rsidR="00B4308E" w:rsidRDefault="00B4308E" w:rsidP="00956BA2">
      <w:pPr>
        <w:pStyle w:val="Caption"/>
        <w:jc w:val="center"/>
      </w:pPr>
      <w:r>
        <w:rPr>
          <w:noProof/>
        </w:rPr>
        <w:drawing>
          <wp:inline distT="0" distB="0" distL="0" distR="0" wp14:anchorId="452F1FAC" wp14:editId="45CF8AF6">
            <wp:extent cx="2623144" cy="2623144"/>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lta_length_oob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33269" cy="2633269"/>
                    </a:xfrm>
                    <a:prstGeom prst="rect">
                      <a:avLst/>
                    </a:prstGeom>
                  </pic:spPr>
                </pic:pic>
              </a:graphicData>
            </a:graphic>
          </wp:inline>
        </w:drawing>
      </w:r>
      <w:r w:rsidR="00023DA1">
        <w:rPr>
          <w:noProof/>
        </w:rPr>
        <w:drawing>
          <wp:inline distT="0" distB="0" distL="0" distR="0" wp14:anchorId="7E906F83" wp14:editId="3241A096">
            <wp:extent cx="2615381" cy="2615381"/>
            <wp:effectExtent l="0" t="0" r="127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lta_length_oob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24766" cy="2624766"/>
                    </a:xfrm>
                    <a:prstGeom prst="rect">
                      <a:avLst/>
                    </a:prstGeom>
                  </pic:spPr>
                </pic:pic>
              </a:graphicData>
            </a:graphic>
          </wp:inline>
        </w:drawing>
      </w:r>
    </w:p>
    <w:p w14:paraId="705C741E" w14:textId="5A90DCDD" w:rsidR="00B4308E" w:rsidRDefault="00B4308E" w:rsidP="004E319C">
      <w:pPr>
        <w:pStyle w:val="Caption"/>
      </w:pPr>
      <w:r>
        <w:t xml:space="preserve">Figure </w:t>
      </w:r>
      <w:r>
        <w:fldChar w:fldCharType="begin"/>
      </w:r>
      <w:r>
        <w:instrText xml:space="preserve"> SEQ Figure \* ARABIC </w:instrText>
      </w:r>
      <w:r>
        <w:fldChar w:fldCharType="separate"/>
      </w:r>
      <w:r w:rsidR="004E319C">
        <w:rPr>
          <w:noProof/>
        </w:rPr>
        <w:t>4</w:t>
      </w:r>
      <w:r>
        <w:fldChar w:fldCharType="end"/>
      </w:r>
      <w:r w:rsidR="00281F80">
        <w:t xml:space="preserve"> Coupling between an AAS </w:t>
      </w:r>
      <w:r w:rsidR="00D158CE">
        <w:t xml:space="preserve">designed </w:t>
      </w:r>
      <w:r w:rsidR="00281F80">
        <w:t>at 3000MHz and a CLTA</w:t>
      </w:r>
      <w:r w:rsidR="009B68F5">
        <w:t xml:space="preserve"> </w:t>
      </w:r>
      <w:r w:rsidR="00D158CE">
        <w:t>designed</w:t>
      </w:r>
      <w:r w:rsidR="00281F80">
        <w:t xml:space="preserve"> at 2500 MHz</w:t>
      </w:r>
      <w:r w:rsidR="00023DA1">
        <w:t xml:space="preserve"> (left) and 2000 MHz (right)</w:t>
      </w:r>
      <w:r w:rsidR="00E618EE">
        <w:t xml:space="preserve">. The </w:t>
      </w:r>
      <w:r w:rsidR="00D23E17">
        <w:t xml:space="preserve">two curves correspond to coupling at the </w:t>
      </w:r>
      <w:r w:rsidR="00D158CE">
        <w:t>design</w:t>
      </w:r>
      <w:r w:rsidR="00D23E17">
        <w:t xml:space="preserve"> frequency of the AAS and the </w:t>
      </w:r>
      <w:r w:rsidR="00D158CE">
        <w:t>design</w:t>
      </w:r>
      <w:r w:rsidR="00D23E17">
        <w:t xml:space="preserve"> frequency of the CLTA, respectively. The </w:t>
      </w:r>
      <w:r w:rsidR="0097538C">
        <w:t xml:space="preserve">curves </w:t>
      </w:r>
      <w:r w:rsidR="0097538C">
        <w:lastRenderedPageBreak/>
        <w:t>indicate that the mismatch of the AAS and the CLTA are similar</w:t>
      </w:r>
      <w:r w:rsidR="00E618EE">
        <w:t>.</w:t>
      </w:r>
      <w:r w:rsidR="003D084B">
        <w:t xml:space="preserve"> However, again the maximum coupling </w:t>
      </w:r>
      <w:proofErr w:type="gramStart"/>
      <w:r w:rsidR="006864F5">
        <w:t>occur</w:t>
      </w:r>
      <w:proofErr w:type="gramEnd"/>
      <w:r w:rsidR="006864F5">
        <w:t xml:space="preserve"> </w:t>
      </w:r>
      <w:r w:rsidR="00023DA1">
        <w:t>close to</w:t>
      </w:r>
      <w:r w:rsidR="003D084B">
        <w:t xml:space="preserve"> when the antennas are of identical lengths.</w:t>
      </w:r>
    </w:p>
    <w:p w14:paraId="7840C72F" w14:textId="705D97C3" w:rsidR="003B61A8" w:rsidRDefault="001443CE" w:rsidP="00CC64C1">
      <w:pPr>
        <w:pStyle w:val="Heading1"/>
        <w:keepLines w:val="0"/>
        <w:pBdr>
          <w:top w:val="none" w:sz="0" w:space="0" w:color="auto"/>
        </w:pBdr>
        <w:spacing w:before="0" w:after="240"/>
        <w:ind w:left="720" w:right="284" w:firstLine="0"/>
        <w:jc w:val="center"/>
      </w:pPr>
      <w:r>
        <w:rPr>
          <w:noProof/>
        </w:rPr>
        <w:drawing>
          <wp:inline distT="0" distB="0" distL="0" distR="0" wp14:anchorId="2739F4DE" wp14:editId="348B1D1F">
            <wp:extent cx="3785419" cy="37854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lta_length_oob700.png"/>
                    <pic:cNvPicPr/>
                  </pic:nvPicPr>
                  <pic:blipFill>
                    <a:blip r:embed="rId19">
                      <a:extLst>
                        <a:ext uri="{28A0092B-C50C-407E-A947-70E740481C1C}">
                          <a14:useLocalDpi xmlns:a14="http://schemas.microsoft.com/office/drawing/2010/main" val="0"/>
                        </a:ext>
                      </a:extLst>
                    </a:blip>
                    <a:stretch>
                      <a:fillRect/>
                    </a:stretch>
                  </pic:blipFill>
                  <pic:spPr>
                    <a:xfrm>
                      <a:off x="0" y="0"/>
                      <a:ext cx="3792768" cy="3792768"/>
                    </a:xfrm>
                    <a:prstGeom prst="rect">
                      <a:avLst/>
                    </a:prstGeom>
                  </pic:spPr>
                </pic:pic>
              </a:graphicData>
            </a:graphic>
          </wp:inline>
        </w:drawing>
      </w:r>
    </w:p>
    <w:p w14:paraId="5193FD7D" w14:textId="0E0DEEFD" w:rsidR="001443CE" w:rsidRDefault="001443CE" w:rsidP="001443CE">
      <w:pPr>
        <w:pStyle w:val="Caption"/>
      </w:pPr>
      <w:bookmarkStart w:id="1" w:name="_Ref44066425"/>
      <w:r>
        <w:t xml:space="preserve">Figure </w:t>
      </w:r>
      <w:r>
        <w:fldChar w:fldCharType="begin"/>
      </w:r>
      <w:r>
        <w:instrText xml:space="preserve"> SEQ Figure \* ARABIC </w:instrText>
      </w:r>
      <w:r>
        <w:fldChar w:fldCharType="separate"/>
      </w:r>
      <w:r w:rsidR="004E319C">
        <w:rPr>
          <w:noProof/>
        </w:rPr>
        <w:t>5</w:t>
      </w:r>
      <w:r>
        <w:fldChar w:fldCharType="end"/>
      </w:r>
      <w:bookmarkEnd w:id="1"/>
      <w:r>
        <w:t xml:space="preserve"> Coupling for a 700 MHz CLTA and a 3000 MHz AAS. At this frequency combination there are no strong resonant phenomena. However, the large frequency offset </w:t>
      </w:r>
      <w:r w:rsidR="009A6795">
        <w:t xml:space="preserve">presents a quantization problem when selecting the number of antenna elements in the CLTA. </w:t>
      </w:r>
      <w:r w:rsidR="00FE0439">
        <w:t>Here, the AAS has 16 elements and the best matched CLTA has</w:t>
      </w:r>
      <w:r w:rsidR="0042688F">
        <w:t xml:space="preserve"> 4</w:t>
      </w:r>
      <w:r w:rsidR="00FE0439">
        <w:t xml:space="preserve"> elements</w:t>
      </w:r>
      <w:r w:rsidR="007C323A">
        <w:t>.</w:t>
      </w:r>
    </w:p>
    <w:p w14:paraId="4BE705B2" w14:textId="74EBC741" w:rsidR="00D72AA8" w:rsidRPr="00D72AA8" w:rsidRDefault="00D72AA8" w:rsidP="00D72AA8">
      <w:r>
        <w:t xml:space="preserve">When the frequency offset is large the selection of a best matched CLTA presents a quantization problem. In the case of an AAS at 3000 MHz and a CLTA at 700 MHz, see </w:t>
      </w:r>
      <w:r>
        <w:fldChar w:fldCharType="begin"/>
      </w:r>
      <w:r>
        <w:instrText xml:space="preserve"> REF _Ref44066425 \h </w:instrText>
      </w:r>
      <w:r>
        <w:fldChar w:fldCharType="separate"/>
      </w:r>
      <w:r>
        <w:t xml:space="preserve">Figure </w:t>
      </w:r>
      <w:r>
        <w:rPr>
          <w:noProof/>
        </w:rPr>
        <w:t>5</w:t>
      </w:r>
      <w:r>
        <w:fldChar w:fldCharType="end"/>
      </w:r>
      <w:r w:rsidR="00370768">
        <w:t>, the best match lengthwise is when the CLTA has 3 elements</w:t>
      </w:r>
      <w:r w:rsidR="00EE2F30">
        <w:t xml:space="preserve"> which yields a CLTA length of </w:t>
      </w:r>
      <m:oMath>
        <m:f>
          <m:fPr>
            <m:ctrlPr>
              <w:rPr>
                <w:rFonts w:ascii="Cambria Math" w:hAnsi="Cambria Math"/>
                <w:i/>
              </w:rPr>
            </m:ctrlPr>
          </m:fPr>
          <m:num>
            <m:r>
              <w:rPr>
                <w:rFonts w:ascii="Cambria Math" w:hAnsi="Cambria Math"/>
              </w:rPr>
              <m:t>4</m:t>
            </m:r>
            <m:sSub>
              <m:sSubPr>
                <m:ctrlPr>
                  <w:rPr>
                    <w:rFonts w:ascii="Cambria Math" w:hAnsi="Cambria Math"/>
                    <w:i/>
                  </w:rPr>
                </m:ctrlPr>
              </m:sSubPr>
              <m:e>
                <m:r>
                  <w:rPr>
                    <w:rFonts w:ascii="Cambria Math" w:hAnsi="Cambria Math"/>
                  </w:rPr>
                  <m:t>λ</m:t>
                </m:r>
              </m:e>
              <m:sub>
                <m:r>
                  <w:rPr>
                    <w:rFonts w:ascii="Cambria Math" w:hAnsi="Cambria Math"/>
                  </w:rPr>
                  <m:t>700MHz</m:t>
                </m:r>
              </m:sub>
            </m:sSub>
          </m:num>
          <m:den>
            <m:r>
              <w:rPr>
                <w:rFonts w:ascii="Cambria Math" w:hAnsi="Cambria Math"/>
              </w:rPr>
              <m:t>2</m:t>
            </m:r>
          </m:den>
        </m:f>
        <m:r>
          <w:rPr>
            <w:rFonts w:ascii="Cambria Math" w:hAnsi="Cambria Math"/>
          </w:rPr>
          <m:t xml:space="preserve">≈0.86 </m:t>
        </m:r>
        <m:r>
          <m:rPr>
            <m:nor/>
          </m:rPr>
          <w:rPr>
            <w:rFonts w:ascii="Cambria Math" w:hAnsi="Cambria Math"/>
          </w:rPr>
          <m:t>m</m:t>
        </m:r>
      </m:oMath>
      <w:r w:rsidR="0086597C">
        <w:t xml:space="preserve"> and an AAS length of </w:t>
      </w:r>
      <m:oMath>
        <m:f>
          <m:fPr>
            <m:ctrlPr>
              <w:rPr>
                <w:rFonts w:ascii="Cambria Math" w:hAnsi="Cambria Math"/>
                <w:i/>
              </w:rPr>
            </m:ctrlPr>
          </m:fPr>
          <m:num>
            <m:r>
              <w:rPr>
                <w:rFonts w:ascii="Cambria Math" w:hAnsi="Cambria Math"/>
              </w:rPr>
              <m:t>16</m:t>
            </m:r>
            <m:sSub>
              <m:sSubPr>
                <m:ctrlPr>
                  <w:rPr>
                    <w:rFonts w:ascii="Cambria Math" w:hAnsi="Cambria Math"/>
                    <w:i/>
                  </w:rPr>
                </m:ctrlPr>
              </m:sSubPr>
              <m:e>
                <m:r>
                  <w:rPr>
                    <w:rFonts w:ascii="Cambria Math" w:hAnsi="Cambria Math"/>
                  </w:rPr>
                  <m:t>λ</m:t>
                </m:r>
              </m:e>
              <m:sub>
                <m:r>
                  <w:rPr>
                    <w:rFonts w:ascii="Cambria Math" w:hAnsi="Cambria Math"/>
                  </w:rPr>
                  <m:t>3000MHz</m:t>
                </m:r>
              </m:sub>
            </m:sSub>
          </m:num>
          <m:den>
            <m:r>
              <w:rPr>
                <w:rFonts w:ascii="Cambria Math" w:hAnsi="Cambria Math"/>
              </w:rPr>
              <m:t>2</m:t>
            </m:r>
          </m:den>
        </m:f>
        <m:r>
          <w:rPr>
            <w:rFonts w:ascii="Cambria Math" w:hAnsi="Cambria Math"/>
          </w:rPr>
          <m:t>≈</m:t>
        </m:r>
      </m:oMath>
      <w:r w:rsidR="005B5629">
        <w:t xml:space="preserve"> 0.80 m</w:t>
      </w:r>
      <w:r w:rsidR="00A2284C">
        <w:t>.</w:t>
      </w:r>
    </w:p>
    <w:p w14:paraId="75E16737" w14:textId="11DAB566" w:rsidR="00956BA2" w:rsidRDefault="00956BA2" w:rsidP="00161DAE">
      <w:pPr>
        <w:jc w:val="center"/>
      </w:pPr>
    </w:p>
    <w:p w14:paraId="3B0A4A2F" w14:textId="78964761" w:rsidR="00D47C2A" w:rsidRDefault="00F951DE" w:rsidP="00F951DE">
      <w:r>
        <w:t xml:space="preserve">The following two figures </w:t>
      </w:r>
      <w:r w:rsidR="008E6901">
        <w:t xml:space="preserve">shows the coupling effect at frequencies where the CLTA </w:t>
      </w:r>
      <w:r w:rsidR="00197A42">
        <w:t>is resonant in tw</w:t>
      </w:r>
      <w:r w:rsidR="00F42068">
        <w:t>o</w:t>
      </w:r>
      <w:r w:rsidR="00197A42">
        <w:t xml:space="preserve"> extreme ways. In</w:t>
      </w:r>
      <w:r w:rsidR="008E6901">
        <w:t xml:space="preserve"> </w:t>
      </w:r>
      <w:r w:rsidR="00197A42">
        <w:fldChar w:fldCharType="begin"/>
      </w:r>
      <w:r w:rsidR="00197A42">
        <w:instrText xml:space="preserve"> REF _Ref44058366 \h </w:instrText>
      </w:r>
      <w:r w:rsidR="00197A42">
        <w:fldChar w:fldCharType="separate"/>
      </w:r>
      <w:r w:rsidR="00D72AA8">
        <w:t xml:space="preserve">Figure </w:t>
      </w:r>
      <w:r w:rsidR="00D72AA8">
        <w:rPr>
          <w:noProof/>
        </w:rPr>
        <w:t>6</w:t>
      </w:r>
      <w:r w:rsidR="00197A42">
        <w:fldChar w:fldCharType="end"/>
      </w:r>
      <w:r w:rsidR="00197A42">
        <w:t xml:space="preserve"> the CLTA elements will be short-circuited when driven at the AAS </w:t>
      </w:r>
      <w:r w:rsidR="003349D1">
        <w:t>design</w:t>
      </w:r>
      <w:r w:rsidR="00197A42">
        <w:t xml:space="preserve"> frequency 3000 MHz. In </w:t>
      </w:r>
      <w:r w:rsidR="00197A42">
        <w:fldChar w:fldCharType="begin"/>
      </w:r>
      <w:r w:rsidR="00197A42">
        <w:instrText xml:space="preserve"> REF _Ref43992533 \h </w:instrText>
      </w:r>
      <w:r w:rsidR="00197A42">
        <w:fldChar w:fldCharType="separate"/>
      </w:r>
      <w:r w:rsidR="00D72AA8">
        <w:t xml:space="preserve">Figure </w:t>
      </w:r>
      <w:r w:rsidR="00D72AA8">
        <w:rPr>
          <w:noProof/>
        </w:rPr>
        <w:t>7</w:t>
      </w:r>
      <w:r w:rsidR="00197A42">
        <w:fldChar w:fldCharType="end"/>
      </w:r>
      <w:r w:rsidR="00197A42">
        <w:t xml:space="preserve"> the CLTA has </w:t>
      </w:r>
      <w:r w:rsidR="00C735FC">
        <w:t>a</w:t>
      </w:r>
      <w:r w:rsidR="00197A42">
        <w:t xml:space="preserve"> harmonic</w:t>
      </w:r>
      <w:r w:rsidR="00C735FC">
        <w:t xml:space="preserve"> at the AAS design frequency</w:t>
      </w:r>
      <w:r w:rsidR="00036832">
        <w:t>. Note, that dipole antennas typically have odd harmonics</w:t>
      </w:r>
      <w:r w:rsidR="003E585F">
        <w:t>, i.e., at 3, 5, 7, … times the fundamental frequency.</w:t>
      </w:r>
      <w:r w:rsidR="00D91C79">
        <w:t xml:space="preserve"> Such cases must be avoided in co-location testing.</w:t>
      </w:r>
    </w:p>
    <w:p w14:paraId="0F7EEA9B" w14:textId="3F74A7B3" w:rsidR="00D47C2A" w:rsidRDefault="00D47C2A" w:rsidP="00161DAE">
      <w:pPr>
        <w:jc w:val="center"/>
      </w:pPr>
      <w:r>
        <w:rPr>
          <w:noProof/>
        </w:rPr>
        <w:lastRenderedPageBreak/>
        <w:drawing>
          <wp:inline distT="0" distB="0" distL="0" distR="0" wp14:anchorId="79526414" wp14:editId="2BFCC0C8">
            <wp:extent cx="3198551" cy="3149342"/>
            <wp:effectExtent l="0" t="0" r="1905"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lta_length_oob3.png"/>
                    <pic:cNvPicPr/>
                  </pic:nvPicPr>
                  <pic:blipFill>
                    <a:blip r:embed="rId20">
                      <a:extLst>
                        <a:ext uri="{28A0092B-C50C-407E-A947-70E740481C1C}">
                          <a14:useLocalDpi xmlns:a14="http://schemas.microsoft.com/office/drawing/2010/main" val="0"/>
                        </a:ext>
                      </a:extLst>
                    </a:blip>
                    <a:stretch>
                      <a:fillRect/>
                    </a:stretch>
                  </pic:blipFill>
                  <pic:spPr>
                    <a:xfrm>
                      <a:off x="0" y="0"/>
                      <a:ext cx="3198551" cy="3149342"/>
                    </a:xfrm>
                    <a:prstGeom prst="rect">
                      <a:avLst/>
                    </a:prstGeom>
                  </pic:spPr>
                </pic:pic>
              </a:graphicData>
            </a:graphic>
          </wp:inline>
        </w:drawing>
      </w:r>
    </w:p>
    <w:p w14:paraId="03A73297" w14:textId="6B84CBBF" w:rsidR="00161DAE" w:rsidRDefault="00956BA2" w:rsidP="004E319C">
      <w:pPr>
        <w:pStyle w:val="Caption"/>
      </w:pPr>
      <w:bookmarkStart w:id="2" w:name="_Ref44058366"/>
      <w:r>
        <w:t xml:space="preserve">Figure </w:t>
      </w:r>
      <w:r>
        <w:fldChar w:fldCharType="begin"/>
      </w:r>
      <w:r>
        <w:instrText xml:space="preserve"> SEQ Figure \* ARABIC </w:instrText>
      </w:r>
      <w:r>
        <w:fldChar w:fldCharType="separate"/>
      </w:r>
      <w:r w:rsidR="004E319C">
        <w:rPr>
          <w:noProof/>
        </w:rPr>
        <w:t>6</w:t>
      </w:r>
      <w:r>
        <w:fldChar w:fldCharType="end"/>
      </w:r>
      <w:bookmarkEnd w:id="2"/>
      <w:r w:rsidR="003D084B">
        <w:t xml:space="preserve"> In this case the AAS is tuned to 3000 MHz and the CLTA to half the frequency. Hence, the CLTA </w:t>
      </w:r>
      <w:r w:rsidR="002504EF">
        <w:t xml:space="preserve">will have </w:t>
      </w:r>
      <w:r w:rsidR="000E538A">
        <w:t>zero gain</w:t>
      </w:r>
      <w:r w:rsidR="0097190B">
        <w:t xml:space="preserve"> </w:t>
      </w:r>
      <w:r w:rsidR="002504EF">
        <w:t xml:space="preserve">at the AAS </w:t>
      </w:r>
      <w:r w:rsidR="00EF605D">
        <w:t>design frequency</w:t>
      </w:r>
      <w:r w:rsidR="007B70D1">
        <w:t xml:space="preserve">. </w:t>
      </w:r>
      <w:r w:rsidR="0097190B">
        <w:t xml:space="preserve">At the CLTA </w:t>
      </w:r>
      <w:r w:rsidR="00EF605D">
        <w:t xml:space="preserve">design </w:t>
      </w:r>
      <w:r w:rsidR="0097190B">
        <w:t xml:space="preserve">frequency the AAS will </w:t>
      </w:r>
      <w:r w:rsidR="00EF605D">
        <w:t>merely</w:t>
      </w:r>
      <w:r w:rsidR="0097190B">
        <w:t xml:space="preserve"> be detuned</w:t>
      </w:r>
      <w:r w:rsidR="00183C1C">
        <w:t>.</w:t>
      </w:r>
    </w:p>
    <w:p w14:paraId="08ADCF1D" w14:textId="5F771DF3" w:rsidR="00FA7917" w:rsidRPr="00FA7917" w:rsidRDefault="00161DAE" w:rsidP="00FA7917">
      <w:pPr>
        <w:pStyle w:val="Caption"/>
        <w:jc w:val="center"/>
      </w:pPr>
      <w:r>
        <w:rPr>
          <w:noProof/>
        </w:rPr>
        <w:drawing>
          <wp:inline distT="0" distB="0" distL="0" distR="0" wp14:anchorId="24CE411C" wp14:editId="71DCA201">
            <wp:extent cx="3317557" cy="325535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lta_length_oob3.png"/>
                    <pic:cNvPicPr/>
                  </pic:nvPicPr>
                  <pic:blipFill>
                    <a:blip r:embed="rId21">
                      <a:extLst>
                        <a:ext uri="{28A0092B-C50C-407E-A947-70E740481C1C}">
                          <a14:useLocalDpi xmlns:a14="http://schemas.microsoft.com/office/drawing/2010/main" val="0"/>
                        </a:ext>
                      </a:extLst>
                    </a:blip>
                    <a:stretch>
                      <a:fillRect/>
                    </a:stretch>
                  </pic:blipFill>
                  <pic:spPr>
                    <a:xfrm>
                      <a:off x="0" y="0"/>
                      <a:ext cx="3317557" cy="3255352"/>
                    </a:xfrm>
                    <a:prstGeom prst="rect">
                      <a:avLst/>
                    </a:prstGeom>
                  </pic:spPr>
                </pic:pic>
              </a:graphicData>
            </a:graphic>
          </wp:inline>
        </w:drawing>
      </w:r>
    </w:p>
    <w:p w14:paraId="2762035A" w14:textId="6B5E724F" w:rsidR="00161DAE" w:rsidRDefault="00161DAE" w:rsidP="004E319C">
      <w:pPr>
        <w:pStyle w:val="Caption"/>
      </w:pPr>
      <w:bookmarkStart w:id="3" w:name="_Ref43992533"/>
      <w:r>
        <w:t xml:space="preserve">Figure </w:t>
      </w:r>
      <w:r>
        <w:fldChar w:fldCharType="begin"/>
      </w:r>
      <w:r>
        <w:instrText xml:space="preserve"> SEQ Figure \* ARABIC </w:instrText>
      </w:r>
      <w:r>
        <w:fldChar w:fldCharType="separate"/>
      </w:r>
      <w:r w:rsidR="004E319C">
        <w:rPr>
          <w:noProof/>
        </w:rPr>
        <w:t>7</w:t>
      </w:r>
      <w:r>
        <w:fldChar w:fldCharType="end"/>
      </w:r>
      <w:bookmarkEnd w:id="3"/>
      <w:r w:rsidR="00183C1C">
        <w:t xml:space="preserve"> In this case </w:t>
      </w:r>
      <w:r w:rsidR="00027EC9">
        <w:t>the CLTA is tuned to 1000 MHz and, being built of dipole element, it will ha</w:t>
      </w:r>
      <w:r w:rsidR="004708B1">
        <w:t>ve</w:t>
      </w:r>
      <w:r w:rsidR="00027EC9">
        <w:t xml:space="preserve"> a harmonic resonance at 3000 MHz</w:t>
      </w:r>
      <w:r w:rsidR="004708B1">
        <w:t>.</w:t>
      </w:r>
      <w:r w:rsidR="00027EC9">
        <w:t xml:space="preserve"> </w:t>
      </w:r>
      <w:r w:rsidR="002F4FCA">
        <w:t xml:space="preserve">Morever, the fluctuation in the coupling depends on whether an even or odd number </w:t>
      </w:r>
      <w:r w:rsidR="00356EC6">
        <w:t>o</w:t>
      </w:r>
      <w:r w:rsidR="002F4FCA">
        <w:t>f elements is being used in the CLTA.</w:t>
      </w:r>
      <w:r w:rsidR="00356EC6">
        <w:t xml:space="preserve"> Still, the worst</w:t>
      </w:r>
      <w:r w:rsidR="001406C3">
        <w:t>-</w:t>
      </w:r>
      <w:r w:rsidR="00356EC6">
        <w:t xml:space="preserve">case coupling occurs when the CLTA has roughly the same length as the AAS. </w:t>
      </w:r>
    </w:p>
    <w:p w14:paraId="3DDA56C8" w14:textId="7C401EE1" w:rsidR="0093695E" w:rsidRDefault="0093695E" w:rsidP="0093695E"/>
    <w:p w14:paraId="48651DD2" w14:textId="00B7C33C" w:rsidR="004B372C" w:rsidRDefault="0093695E" w:rsidP="00C20F3A">
      <w:r w:rsidRPr="00C20F3A">
        <w:rPr>
          <w:b/>
          <w:bCs/>
        </w:rPr>
        <w:t>Observatio</w:t>
      </w:r>
      <w:r w:rsidR="00C20F3A" w:rsidRPr="00C20F3A">
        <w:rPr>
          <w:b/>
          <w:bCs/>
        </w:rPr>
        <w:t>n</w:t>
      </w:r>
      <w:r w:rsidRPr="00C20F3A">
        <w:rPr>
          <w:b/>
          <w:bCs/>
        </w:rPr>
        <w:t xml:space="preserve"> 1</w:t>
      </w:r>
      <w:r w:rsidR="00C20F3A">
        <w:rPr>
          <w:b/>
          <w:bCs/>
        </w:rPr>
        <w:t xml:space="preserve">: </w:t>
      </w:r>
      <w:r w:rsidR="00C20F3A" w:rsidRPr="00C20F3A">
        <w:t>The worst</w:t>
      </w:r>
      <w:r w:rsidR="00AC304C">
        <w:t>-</w:t>
      </w:r>
      <w:r w:rsidR="00C20F3A" w:rsidRPr="00C20F3A">
        <w:t xml:space="preserve">case </w:t>
      </w:r>
      <w:r w:rsidR="00C20F3A">
        <w:t>coupling (lowest isolation) occurs when the CLTA has roughly the same length as the AAS</w:t>
      </w:r>
      <w:r w:rsidR="005F0C05">
        <w:t>, independently of the frequency offset.</w:t>
      </w:r>
    </w:p>
    <w:p w14:paraId="6D865703" w14:textId="21BCC2B4" w:rsidR="00255805" w:rsidRDefault="00B76D65" w:rsidP="00B76D65">
      <w:pPr>
        <w:jc w:val="both"/>
      </w:pPr>
      <w:r w:rsidRPr="00B76D65">
        <w:rPr>
          <w:b/>
          <w:bCs/>
        </w:rPr>
        <w:t xml:space="preserve">Observation 2: </w:t>
      </w:r>
      <w:r>
        <w:t xml:space="preserve">In the case of a CLTA frequency of 1/3 </w:t>
      </w:r>
      <w:r w:rsidR="00462C70">
        <w:t xml:space="preserve">of the AAS frequency, </w:t>
      </w:r>
      <w:r>
        <w:t>a matched vertical beam</w:t>
      </w:r>
      <w:r w:rsidR="00FF37F5">
        <w:t xml:space="preserve"> </w:t>
      </w:r>
      <w:r>
        <w:t xml:space="preserve">width would correspond to </w:t>
      </w:r>
      <w:r w:rsidR="00BF77D0">
        <w:t xml:space="preserve">using </w:t>
      </w:r>
      <w:proofErr w:type="gramStart"/>
      <w:r w:rsidR="00BF77D0">
        <w:t xml:space="preserve">a </w:t>
      </w:r>
      <w:r w:rsidR="009D1FC4">
        <w:t>3 times</w:t>
      </w:r>
      <w:proofErr w:type="gramEnd"/>
      <w:r w:rsidR="009D1FC4">
        <w:t xml:space="preserve"> longer CLTA than the AAS. With this choice the coupling is reduced by </w:t>
      </w:r>
      <w:r w:rsidR="007A60C3">
        <w:t xml:space="preserve">a </w:t>
      </w:r>
      <w:r w:rsidR="00BF77D0">
        <w:t xml:space="preserve">roughly a </w:t>
      </w:r>
      <w:r w:rsidR="007A60C3">
        <w:t>factor 3</w:t>
      </w:r>
      <w:r w:rsidR="00BF77D0">
        <w:t xml:space="preserve"> (4.8 dB)</w:t>
      </w:r>
      <w:r w:rsidR="00FA7917">
        <w:t xml:space="preserve">, as can be seen in </w:t>
      </w:r>
      <w:r w:rsidR="00255805">
        <w:fldChar w:fldCharType="begin"/>
      </w:r>
      <w:r w:rsidR="00255805">
        <w:instrText xml:space="preserve"> REF _Ref43992533 \h </w:instrText>
      </w:r>
      <w:r w:rsidR="00255805">
        <w:fldChar w:fldCharType="separate"/>
      </w:r>
      <w:r w:rsidR="00D72AA8">
        <w:t xml:space="preserve">Figure </w:t>
      </w:r>
      <w:r w:rsidR="00D72AA8">
        <w:rPr>
          <w:noProof/>
        </w:rPr>
        <w:t>7</w:t>
      </w:r>
      <w:r w:rsidR="00255805">
        <w:fldChar w:fldCharType="end"/>
      </w:r>
      <w:r w:rsidR="00255805">
        <w:t>.</w:t>
      </w:r>
    </w:p>
    <w:p w14:paraId="318B76FC" w14:textId="1BDD891C" w:rsidR="004B372C" w:rsidRDefault="00255805" w:rsidP="00B24A82">
      <w:pPr>
        <w:jc w:val="both"/>
      </w:pPr>
      <w:r w:rsidRPr="007B5138">
        <w:rPr>
          <w:b/>
          <w:bCs/>
        </w:rPr>
        <w:t>Observation 3:</w:t>
      </w:r>
      <w:r w:rsidR="00B76D65" w:rsidRPr="007B5138">
        <w:rPr>
          <w:b/>
          <w:bCs/>
        </w:rPr>
        <w:t xml:space="preserve"> </w:t>
      </w:r>
      <w:r w:rsidR="007B5138">
        <w:t xml:space="preserve">In cases where the CLTA is longer than </w:t>
      </w:r>
      <w:r w:rsidR="0076367C">
        <w:t>the AAS</w:t>
      </w:r>
      <w:r w:rsidR="00E83C91">
        <w:t>,</w:t>
      </w:r>
      <w:r w:rsidR="0076367C">
        <w:t xml:space="preserve"> the </w:t>
      </w:r>
      <w:r w:rsidR="00AC304C">
        <w:t>decrease</w:t>
      </w:r>
      <w:r w:rsidR="0076367C">
        <w:t xml:space="preserve"> in coupling is roughly given by the length fraction, i.e.,</w:t>
      </w:r>
      <w:r w:rsidR="00E83C91">
        <w:t xml:space="preserve"> the coupling level is reduced </w:t>
      </w:r>
      <w:r w:rsidR="00F576EB">
        <w:t>by</w:t>
      </w:r>
      <w:r w:rsidR="0076367C">
        <w:t xml:space="preserve"> </w:t>
      </w:r>
      <m:oMath>
        <m:r>
          <w:rPr>
            <w:rFonts w:ascii="Cambria Math" w:hAnsi="Cambria Math"/>
          </w:rPr>
          <m:t>η≈</m:t>
        </m:r>
        <m:sSub>
          <m:sSubPr>
            <m:ctrlPr>
              <w:rPr>
                <w:rFonts w:ascii="Cambria Math" w:hAnsi="Cambria Math"/>
                <w:i/>
              </w:rPr>
            </m:ctrlPr>
          </m:sSubPr>
          <m:e>
            <m:r>
              <w:rPr>
                <w:rFonts w:ascii="Cambria Math" w:hAnsi="Cambria Math"/>
              </w:rPr>
              <m:t>L</m:t>
            </m:r>
          </m:e>
          <m:sub>
            <m:r>
              <w:rPr>
                <w:rFonts w:ascii="Cambria Math" w:hAnsi="Cambria Math"/>
              </w:rPr>
              <m:t>AAS</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CLTA</m:t>
            </m:r>
          </m:sub>
        </m:sSub>
        <m:r>
          <w:rPr>
            <w:rFonts w:ascii="Cambria Math" w:hAnsi="Cambria Math"/>
          </w:rPr>
          <m:t xml:space="preserve"> </m:t>
        </m:r>
      </m:oMath>
      <w:r w:rsidR="003700A1">
        <w:t xml:space="preserve">. Hence, </w:t>
      </w:r>
      <w:r w:rsidR="000438FB">
        <w:t xml:space="preserve">selecting a too long CLTA can be compensated </w:t>
      </w:r>
      <w:r w:rsidR="000438FB">
        <w:lastRenderedPageBreak/>
        <w:t>by adjusting</w:t>
      </w:r>
      <w:r w:rsidR="003700A1">
        <w:t xml:space="preserve"> the </w:t>
      </w:r>
      <w:r w:rsidR="00664B68">
        <w:t>used power level</w:t>
      </w:r>
      <w:r w:rsidR="000438FB">
        <w:t>s</w:t>
      </w:r>
      <w:r w:rsidR="00664B68">
        <w:t xml:space="preserve"> </w:t>
      </w:r>
      <w:r w:rsidR="000438FB">
        <w:t>accordingly</w:t>
      </w:r>
      <w:r w:rsidR="00664B68">
        <w:t xml:space="preserve">. </w:t>
      </w:r>
      <w:r w:rsidR="00F576EB">
        <w:t>This could be added in the calibration stage of co-location testing procedures.</w:t>
      </w:r>
    </w:p>
    <w:p w14:paraId="1CE1C88C" w14:textId="627120A7" w:rsidR="00334D02" w:rsidRPr="00334D02" w:rsidRDefault="00334D02" w:rsidP="00B24A82">
      <w:pPr>
        <w:jc w:val="both"/>
      </w:pPr>
      <w:r w:rsidRPr="00334D02">
        <w:rPr>
          <w:b/>
          <w:bCs/>
        </w:rPr>
        <w:t xml:space="preserve">Observation 4: </w:t>
      </w:r>
      <w:r>
        <w:t xml:space="preserve">Based on Observation 3 </w:t>
      </w:r>
      <w:r w:rsidR="002F0628">
        <w:t xml:space="preserve">it is reasonable to formulate the co-location requirements in terms of near-field </w:t>
      </w:r>
      <w:r w:rsidR="00C978CA">
        <w:t xml:space="preserve">field strength levels. This would </w:t>
      </w:r>
      <w:r w:rsidR="001E0865">
        <w:t>lead to co-location requirement</w:t>
      </w:r>
      <w:r w:rsidR="00A3574A">
        <w:t>s</w:t>
      </w:r>
      <w:r w:rsidR="001E0865">
        <w:t xml:space="preserve"> without </w:t>
      </w:r>
      <w:r w:rsidR="00A3574A">
        <w:t xml:space="preserve">the need of </w:t>
      </w:r>
      <w:r w:rsidR="00C20728">
        <w:t xml:space="preserve">designated </w:t>
      </w:r>
      <w:r w:rsidR="001E0865">
        <w:t>physical test antenna</w:t>
      </w:r>
      <w:r w:rsidR="005F4EC3">
        <w:t>s, CLTAs</w:t>
      </w:r>
      <w:r w:rsidR="00F42068">
        <w:t>, and instead using wideband standard test antennas such as Standard gain horns etc.</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B41025">
      <w:pPr>
        <w:pStyle w:val="Heading1"/>
        <w:keepLines w:val="0"/>
        <w:numPr>
          <w:ilvl w:val="0"/>
          <w:numId w:val="1"/>
        </w:numPr>
        <w:pBdr>
          <w:top w:val="none" w:sz="0" w:space="0" w:color="auto"/>
        </w:pBdr>
        <w:spacing w:before="0" w:after="240"/>
        <w:ind w:right="284" w:hanging="720"/>
      </w:pPr>
      <w:r>
        <w:t>Conclusion</w:t>
      </w:r>
    </w:p>
    <w:p w14:paraId="5E6E39A2" w14:textId="4856BCE4" w:rsidR="00BA2D9C" w:rsidRDefault="00DB5BAB" w:rsidP="003B61A8">
      <w:pPr>
        <w:pStyle w:val="BodyText"/>
      </w:pPr>
      <w:r>
        <w:t xml:space="preserve">The length of the CLTA should be matched to the </w:t>
      </w:r>
      <w:r w:rsidR="00780C4A">
        <w:t xml:space="preserve">length of the EUT. </w:t>
      </w:r>
    </w:p>
    <w:p w14:paraId="0AA6E391" w14:textId="77777777" w:rsidR="00BA2D9C" w:rsidRDefault="00780C4A" w:rsidP="003B61A8">
      <w:pPr>
        <w:pStyle w:val="BodyText"/>
      </w:pPr>
      <w:r>
        <w:t xml:space="preserve">Small length variations lead to </w:t>
      </w:r>
      <w:r w:rsidR="00CC65C7">
        <w:t xml:space="preserve">acceptably </w:t>
      </w:r>
      <w:r>
        <w:t>small changes in the coupling level (1-2 dB)</w:t>
      </w:r>
      <w:r w:rsidR="00CC65C7">
        <w:t xml:space="preserve">. </w:t>
      </w:r>
    </w:p>
    <w:p w14:paraId="188A849B" w14:textId="4568B112" w:rsidR="003B61A8" w:rsidRDefault="00CC65C7" w:rsidP="003B61A8">
      <w:pPr>
        <w:pStyle w:val="BodyText"/>
      </w:pPr>
      <w:r>
        <w:t xml:space="preserve">Use of beamwidth criteria for OOB </w:t>
      </w:r>
      <w:r w:rsidR="000A389A">
        <w:t>testing leads to too low coupling levels</w:t>
      </w:r>
      <w:r w:rsidR="00926BA5">
        <w:t xml:space="preserve"> when the EUT and the CLTA operate at different frequencies</w:t>
      </w:r>
      <w:r w:rsidR="00295BF7">
        <w:t>.</w:t>
      </w:r>
      <w:r w:rsidR="00C8583F">
        <w:t xml:space="preserve">  Th</w:t>
      </w:r>
      <w:r w:rsidR="001257A4">
        <w:t>e</w:t>
      </w:r>
      <w:r w:rsidR="00C8583F">
        <w:t xml:space="preserve"> beamwidth criterion should hence not be used for </w:t>
      </w:r>
      <w:r w:rsidR="00E83C91">
        <w:t>OOB co-location testing.</w:t>
      </w:r>
      <w:r w:rsidR="00295BF7">
        <w:t xml:space="preserve"> </w:t>
      </w:r>
    </w:p>
    <w:p w14:paraId="5C5DCBBD" w14:textId="4AF057EA" w:rsidR="001257A4" w:rsidRDefault="001257A4" w:rsidP="003B61A8">
      <w:pPr>
        <w:pStyle w:val="BodyText"/>
      </w:pPr>
      <w:r>
        <w:t xml:space="preserve">A too long CLTA antenna could be used provided the power levels are adjusted </w:t>
      </w:r>
      <w:r w:rsidR="003D7A58">
        <w:t xml:space="preserve">to get similar nearfield power density levels as in the </w:t>
      </w:r>
      <w:r w:rsidR="00DF7D47">
        <w:t>case of matched length.</w:t>
      </w:r>
    </w:p>
    <w:p w14:paraId="4B4E8454" w14:textId="77777777" w:rsidR="00972455" w:rsidRDefault="00972455" w:rsidP="00972455">
      <w:r w:rsidRPr="00C20F3A">
        <w:rPr>
          <w:b/>
          <w:bCs/>
        </w:rPr>
        <w:t>Observation 1</w:t>
      </w:r>
      <w:r>
        <w:rPr>
          <w:b/>
          <w:bCs/>
        </w:rPr>
        <w:t xml:space="preserve">: </w:t>
      </w:r>
      <w:r w:rsidRPr="00C20F3A">
        <w:t>The worst</w:t>
      </w:r>
      <w:r>
        <w:t>-</w:t>
      </w:r>
      <w:r w:rsidRPr="00C20F3A">
        <w:t xml:space="preserve">case </w:t>
      </w:r>
      <w:r>
        <w:t>coupling (lowest isolation) occurs when the CLTA has roughly the same length as the AAS, independently of the frequency offset.</w:t>
      </w:r>
    </w:p>
    <w:p w14:paraId="1E375B84" w14:textId="77777777" w:rsidR="00972455" w:rsidRDefault="00972455" w:rsidP="00972455">
      <w:pPr>
        <w:jc w:val="both"/>
      </w:pPr>
      <w:r w:rsidRPr="00B76D65">
        <w:rPr>
          <w:b/>
          <w:bCs/>
        </w:rPr>
        <w:t xml:space="preserve">Observation 2: </w:t>
      </w:r>
      <w:r>
        <w:t xml:space="preserve">In the case of a CLTA frequency of 1/3 of the AAS frequency, a matched vertical beam width would correspond to using </w:t>
      </w:r>
      <w:proofErr w:type="gramStart"/>
      <w:r>
        <w:t>a 3 times</w:t>
      </w:r>
      <w:proofErr w:type="gramEnd"/>
      <w:r>
        <w:t xml:space="preserve"> longer CLTA than the AAS. With this choice the coupling is reduced by a roughly a factor 3 (4.8 dB), as can be seen in </w:t>
      </w:r>
      <w:r>
        <w:fldChar w:fldCharType="begin"/>
      </w:r>
      <w:r>
        <w:instrText xml:space="preserve"> REF _Ref43992533 \h </w:instrText>
      </w:r>
      <w:r>
        <w:fldChar w:fldCharType="separate"/>
      </w:r>
      <w:r>
        <w:t xml:space="preserve">Figure </w:t>
      </w:r>
      <w:r>
        <w:rPr>
          <w:noProof/>
        </w:rPr>
        <w:t>7</w:t>
      </w:r>
      <w:r>
        <w:fldChar w:fldCharType="end"/>
      </w:r>
      <w:r>
        <w:t>.</w:t>
      </w:r>
    </w:p>
    <w:p w14:paraId="4CBEA374" w14:textId="77777777" w:rsidR="00972455" w:rsidRDefault="00972455" w:rsidP="00972455">
      <w:pPr>
        <w:jc w:val="both"/>
      </w:pPr>
      <w:r w:rsidRPr="007B5138">
        <w:rPr>
          <w:b/>
          <w:bCs/>
        </w:rPr>
        <w:t xml:space="preserve">Observation 3: </w:t>
      </w:r>
      <w:r>
        <w:t xml:space="preserve">In cases where the CLTA is longer than the AAS, the decrease in coupling is roughly given by the length fraction, i.e., the coupling level is reduced by </w:t>
      </w:r>
      <m:oMath>
        <m:r>
          <w:rPr>
            <w:rFonts w:ascii="Cambria Math" w:hAnsi="Cambria Math"/>
          </w:rPr>
          <m:t>η≈</m:t>
        </m:r>
        <m:sSub>
          <m:sSubPr>
            <m:ctrlPr>
              <w:rPr>
                <w:rFonts w:ascii="Cambria Math" w:hAnsi="Cambria Math"/>
                <w:i/>
              </w:rPr>
            </m:ctrlPr>
          </m:sSubPr>
          <m:e>
            <m:r>
              <w:rPr>
                <w:rFonts w:ascii="Cambria Math" w:hAnsi="Cambria Math"/>
              </w:rPr>
              <m:t>L</m:t>
            </m:r>
          </m:e>
          <m:sub>
            <m:r>
              <w:rPr>
                <w:rFonts w:ascii="Cambria Math" w:hAnsi="Cambria Math"/>
              </w:rPr>
              <m:t>AAS</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CLTA</m:t>
            </m:r>
          </m:sub>
        </m:sSub>
        <m:r>
          <w:rPr>
            <w:rFonts w:ascii="Cambria Math" w:hAnsi="Cambria Math"/>
          </w:rPr>
          <m:t xml:space="preserve"> </m:t>
        </m:r>
      </m:oMath>
      <w:r>
        <w:t>. Hence, selecting a too long CLTA can be compensated by adjusting the used power levels accordingly. This could be added in the calibration stage of co-location testing procedures.</w:t>
      </w:r>
    </w:p>
    <w:p w14:paraId="01699A3B" w14:textId="6C2E91BF" w:rsidR="00972455" w:rsidRDefault="00972455" w:rsidP="00972455">
      <w:pPr>
        <w:jc w:val="both"/>
      </w:pPr>
      <w:r w:rsidRPr="00334D02">
        <w:rPr>
          <w:b/>
          <w:bCs/>
        </w:rPr>
        <w:t xml:space="preserve">Observation 4: </w:t>
      </w:r>
      <w:r>
        <w:t>Based on Observation 3 it is reasonable to formulate the co-location requirements in terms of near-field field strength levels. This would lead to co-location requirements without the need of designated physical test antennas, CLTAs, and instead using wideband standard test antennas such as Standard gain horns etc.</w:t>
      </w:r>
      <w:bookmarkStart w:id="4" w:name="_GoBack"/>
      <w:bookmarkEnd w:id="4"/>
    </w:p>
    <w:p w14:paraId="0D7BD694" w14:textId="5BF53960" w:rsidR="00E75D46" w:rsidRPr="00E75D46" w:rsidRDefault="00E75D46" w:rsidP="003B61A8">
      <w:pPr>
        <w:pStyle w:val="BodyText"/>
        <w:rPr>
          <w:b/>
          <w:bCs/>
        </w:rPr>
      </w:pPr>
      <w:r w:rsidRPr="00E75D46">
        <w:rPr>
          <w:b/>
          <w:bCs/>
        </w:rPr>
        <w:t>Proposal</w:t>
      </w:r>
      <w:r>
        <w:rPr>
          <w:b/>
          <w:bCs/>
        </w:rPr>
        <w:t xml:space="preserve"> 1</w:t>
      </w:r>
      <w:r w:rsidRPr="00E75D46">
        <w:rPr>
          <w:b/>
          <w:bCs/>
        </w:rPr>
        <w:t xml:space="preserve">: </w:t>
      </w:r>
      <w:r w:rsidRPr="0021318F">
        <w:t xml:space="preserve">The CLTA length </w:t>
      </w:r>
      <w:r w:rsidR="00D24DA2">
        <w:t>shall</w:t>
      </w:r>
      <w:r w:rsidRPr="0021318F">
        <w:t xml:space="preserve"> be matched to the EUT length</w:t>
      </w:r>
      <w:r w:rsidR="00BE5924">
        <w:t xml:space="preserve"> for out-of-band co-location testing</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1C263E06" w14:textId="474D41DF" w:rsidR="005A2945" w:rsidRPr="005A2945" w:rsidRDefault="003B61A8" w:rsidP="005A2945">
      <w:pPr>
        <w:ind w:left="709" w:hanging="709"/>
        <w:rPr>
          <w:lang w:eastAsia="en-GB"/>
        </w:rPr>
      </w:pPr>
      <w:r w:rsidRPr="003007C0">
        <w:rPr>
          <w:lang w:eastAsia="en-GB"/>
        </w:rPr>
        <w:t>[1</w:t>
      </w:r>
      <w:proofErr w:type="gramStart"/>
      <w:r w:rsidRPr="003007C0">
        <w:rPr>
          <w:lang w:eastAsia="en-GB"/>
        </w:rPr>
        <w:t>]</w:t>
      </w:r>
      <w:r w:rsidR="003852FC" w:rsidRPr="003007C0">
        <w:rPr>
          <w:lang w:eastAsia="en-GB"/>
        </w:rPr>
        <w:t xml:space="preserve"> </w:t>
      </w:r>
      <w:r w:rsidR="005A2945" w:rsidRPr="003007C0">
        <w:rPr>
          <w:lang w:eastAsia="en-GB"/>
        </w:rPr>
        <w:t xml:space="preserve"> </w:t>
      </w:r>
      <w:r w:rsidR="005A2945" w:rsidRPr="005A2945">
        <w:rPr>
          <w:lang w:eastAsia="en-GB"/>
        </w:rPr>
        <w:t>P.</w:t>
      </w:r>
      <w:proofErr w:type="gramEnd"/>
      <w:r w:rsidR="005A2945" w:rsidRPr="005A2945">
        <w:rPr>
          <w:lang w:eastAsia="en-GB"/>
        </w:rPr>
        <w:t>-S. Kildal, Foundations of Antenna Engineering. Kildal antenn AB, 2015.</w:t>
      </w:r>
    </w:p>
    <w:p w14:paraId="4273BB14" w14:textId="327B5E08" w:rsidR="003007C0" w:rsidRPr="003007C0" w:rsidRDefault="003B61A8" w:rsidP="003007C0">
      <w:pPr>
        <w:ind w:left="709" w:hanging="709"/>
        <w:rPr>
          <w:lang w:eastAsia="en-GB"/>
        </w:rPr>
      </w:pPr>
      <w:r w:rsidRPr="003007C0">
        <w:rPr>
          <w:lang w:eastAsia="en-GB"/>
        </w:rPr>
        <w:t xml:space="preserve">[2] </w:t>
      </w:r>
      <w:r w:rsidR="003007C0" w:rsidRPr="003007C0">
        <w:rPr>
          <w:lang w:eastAsia="en-GB"/>
        </w:rPr>
        <w:t>C. A. Balanis, Antenna Theory and Design, 3rd ed.</w:t>
      </w:r>
      <w:r w:rsidR="00BA2D9C" w:rsidRPr="00BA2D9C">
        <w:rPr>
          <w:lang w:val="en-US" w:eastAsia="en-GB"/>
        </w:rPr>
        <w:t xml:space="preserve"> </w:t>
      </w:r>
      <w:r w:rsidR="003007C0" w:rsidRPr="003007C0">
        <w:rPr>
          <w:lang w:eastAsia="en-GB"/>
        </w:rPr>
        <w:t>Wiley, 2005.</w:t>
      </w:r>
    </w:p>
    <w:p w14:paraId="35EE84EA" w14:textId="6CDCCA33" w:rsidR="003B61A8" w:rsidRPr="003007C0" w:rsidRDefault="003B61A8" w:rsidP="003B61A8">
      <w:pPr>
        <w:ind w:left="709" w:hanging="709"/>
        <w:rPr>
          <w:lang w:eastAsia="en-GB"/>
        </w:rPr>
      </w:pPr>
      <w:r w:rsidRPr="003007C0">
        <w:rPr>
          <w:lang w:eastAsia="en-GB"/>
        </w:rPr>
        <w:tab/>
      </w:r>
    </w:p>
    <w:bookmarkEnd w:id="0"/>
    <w:p w14:paraId="7BB25747" w14:textId="77777777" w:rsidR="00255805" w:rsidRDefault="00255805"/>
    <w:sectPr w:rsidR="0025580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0433E" w16cex:dateUtc="2020-06-26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C0821" w14:textId="77777777" w:rsidR="00CF2B28" w:rsidRDefault="00CF2B28">
      <w:r>
        <w:separator/>
      </w:r>
    </w:p>
  </w:endnote>
  <w:endnote w:type="continuationSeparator" w:id="0">
    <w:p w14:paraId="6DA696A6" w14:textId="77777777" w:rsidR="00CF2B28" w:rsidRDefault="00CF2B28">
      <w:r>
        <w:continuationSeparator/>
      </w:r>
    </w:p>
  </w:endnote>
  <w:endnote w:type="continuationNotice" w:id="1">
    <w:p w14:paraId="148A201D" w14:textId="77777777" w:rsidR="00CF2B28" w:rsidRDefault="00CF2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70594" w14:textId="77777777" w:rsidR="00CF2B28" w:rsidRDefault="00CF2B28">
      <w:r>
        <w:separator/>
      </w:r>
    </w:p>
  </w:footnote>
  <w:footnote w:type="continuationSeparator" w:id="0">
    <w:p w14:paraId="2A377571" w14:textId="77777777" w:rsidR="00CF2B28" w:rsidRDefault="00CF2B28">
      <w:r>
        <w:continuationSeparator/>
      </w:r>
    </w:p>
  </w:footnote>
  <w:footnote w:type="continuationNotice" w:id="1">
    <w:p w14:paraId="3FAE4341" w14:textId="77777777" w:rsidR="00CF2B28" w:rsidRDefault="00CF2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499">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036E3"/>
    <w:multiLevelType w:val="hybridMultilevel"/>
    <w:tmpl w:val="51CA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3A065D"/>
    <w:multiLevelType w:val="hybridMultilevel"/>
    <w:tmpl w:val="EE805A04"/>
    <w:lvl w:ilvl="0" w:tplc="BDAE2C1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EC28D2"/>
    <w:multiLevelType w:val="hybridMultilevel"/>
    <w:tmpl w:val="2CD8CF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1840A6"/>
    <w:multiLevelType w:val="hybridMultilevel"/>
    <w:tmpl w:val="A4DAED4C"/>
    <w:lvl w:ilvl="0" w:tplc="34785198">
      <w:start w:val="1"/>
      <w:numFmt w:val="lowerLetter"/>
      <w:lvlText w:val="%1)"/>
      <w:lvlJc w:val="left"/>
      <w:pPr>
        <w:ind w:left="927" w:hanging="360"/>
      </w:pPr>
      <w:rPr>
        <w:rFonts w:ascii="Arial" w:eastAsia="Times New Roman" w:hAnsi="Arial" w:cs="Arial"/>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14"/>
  </w:num>
  <w:num w:numId="4">
    <w:abstractNumId w:val="18"/>
  </w:num>
  <w:num w:numId="5">
    <w:abstractNumId w:val="9"/>
  </w:num>
  <w:num w:numId="6">
    <w:abstractNumId w:val="8"/>
  </w:num>
  <w:num w:numId="7">
    <w:abstractNumId w:val="3"/>
  </w:num>
  <w:num w:numId="8">
    <w:abstractNumId w:val="4"/>
  </w:num>
  <w:num w:numId="9">
    <w:abstractNumId w:val="10"/>
  </w:num>
  <w:num w:numId="10">
    <w:abstractNumId w:val="17"/>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6"/>
  </w:num>
  <w:num w:numId="16">
    <w:abstractNumId w:val="13"/>
  </w:num>
  <w:num w:numId="17">
    <w:abstractNumId w:val="2"/>
  </w:num>
  <w:num w:numId="18">
    <w:abstractNumId w:val="15"/>
  </w:num>
  <w:num w:numId="19">
    <w:abstractNumId w:val="16"/>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B"/>
    <w:rsid w:val="00007AB9"/>
    <w:rsid w:val="00023DA1"/>
    <w:rsid w:val="00026420"/>
    <w:rsid w:val="0002758F"/>
    <w:rsid w:val="00027EC9"/>
    <w:rsid w:val="00033397"/>
    <w:rsid w:val="00036832"/>
    <w:rsid w:val="00040095"/>
    <w:rsid w:val="00042CD3"/>
    <w:rsid w:val="000438FB"/>
    <w:rsid w:val="00043BEE"/>
    <w:rsid w:val="000442BC"/>
    <w:rsid w:val="00044998"/>
    <w:rsid w:val="00051834"/>
    <w:rsid w:val="00052E70"/>
    <w:rsid w:val="00054139"/>
    <w:rsid w:val="00054A22"/>
    <w:rsid w:val="000560CC"/>
    <w:rsid w:val="00063124"/>
    <w:rsid w:val="000655A6"/>
    <w:rsid w:val="00066F58"/>
    <w:rsid w:val="00070795"/>
    <w:rsid w:val="000744DB"/>
    <w:rsid w:val="0007506E"/>
    <w:rsid w:val="0007632D"/>
    <w:rsid w:val="00080512"/>
    <w:rsid w:val="00085DC1"/>
    <w:rsid w:val="00091348"/>
    <w:rsid w:val="00094D53"/>
    <w:rsid w:val="00096009"/>
    <w:rsid w:val="0009712E"/>
    <w:rsid w:val="00097244"/>
    <w:rsid w:val="000A0C13"/>
    <w:rsid w:val="000A1E71"/>
    <w:rsid w:val="000A247D"/>
    <w:rsid w:val="000A389A"/>
    <w:rsid w:val="000B1FA9"/>
    <w:rsid w:val="000B5ED1"/>
    <w:rsid w:val="000C390C"/>
    <w:rsid w:val="000C7D7D"/>
    <w:rsid w:val="000C7FA4"/>
    <w:rsid w:val="000D15E9"/>
    <w:rsid w:val="000D4CFC"/>
    <w:rsid w:val="000D58AB"/>
    <w:rsid w:val="000D696C"/>
    <w:rsid w:val="000E1DEA"/>
    <w:rsid w:val="000E422F"/>
    <w:rsid w:val="000E51CC"/>
    <w:rsid w:val="000E538A"/>
    <w:rsid w:val="000E5D17"/>
    <w:rsid w:val="000E632F"/>
    <w:rsid w:val="000F0805"/>
    <w:rsid w:val="000F14B8"/>
    <w:rsid w:val="000F2678"/>
    <w:rsid w:val="001019E1"/>
    <w:rsid w:val="00106F91"/>
    <w:rsid w:val="00111B1E"/>
    <w:rsid w:val="001257A4"/>
    <w:rsid w:val="001258EC"/>
    <w:rsid w:val="00131CF8"/>
    <w:rsid w:val="001406C3"/>
    <w:rsid w:val="001443CE"/>
    <w:rsid w:val="00155B44"/>
    <w:rsid w:val="00161DAE"/>
    <w:rsid w:val="001758A0"/>
    <w:rsid w:val="00176C71"/>
    <w:rsid w:val="00183C1C"/>
    <w:rsid w:val="001862BC"/>
    <w:rsid w:val="00191793"/>
    <w:rsid w:val="00196483"/>
    <w:rsid w:val="00197A42"/>
    <w:rsid w:val="001A7B74"/>
    <w:rsid w:val="001B0597"/>
    <w:rsid w:val="001B26C5"/>
    <w:rsid w:val="001B2A2B"/>
    <w:rsid w:val="001C0B65"/>
    <w:rsid w:val="001C1DF4"/>
    <w:rsid w:val="001C3047"/>
    <w:rsid w:val="001D02C2"/>
    <w:rsid w:val="001E0865"/>
    <w:rsid w:val="001E2DF5"/>
    <w:rsid w:val="001E4522"/>
    <w:rsid w:val="001E5695"/>
    <w:rsid w:val="001E62AA"/>
    <w:rsid w:val="001F168B"/>
    <w:rsid w:val="001F33FD"/>
    <w:rsid w:val="00207035"/>
    <w:rsid w:val="0021318F"/>
    <w:rsid w:val="0022096D"/>
    <w:rsid w:val="00227231"/>
    <w:rsid w:val="00231AD2"/>
    <w:rsid w:val="00231DE5"/>
    <w:rsid w:val="002324CC"/>
    <w:rsid w:val="0023254C"/>
    <w:rsid w:val="002347A2"/>
    <w:rsid w:val="00236B4C"/>
    <w:rsid w:val="00241D8F"/>
    <w:rsid w:val="002432F4"/>
    <w:rsid w:val="00244BCB"/>
    <w:rsid w:val="00244D7A"/>
    <w:rsid w:val="00247237"/>
    <w:rsid w:val="002504EF"/>
    <w:rsid w:val="00251985"/>
    <w:rsid w:val="00255805"/>
    <w:rsid w:val="00276FE0"/>
    <w:rsid w:val="00277B79"/>
    <w:rsid w:val="00280B2B"/>
    <w:rsid w:val="00280CDB"/>
    <w:rsid w:val="00281F80"/>
    <w:rsid w:val="00284504"/>
    <w:rsid w:val="00287DB9"/>
    <w:rsid w:val="00295BF7"/>
    <w:rsid w:val="002A0978"/>
    <w:rsid w:val="002A14DF"/>
    <w:rsid w:val="002A682D"/>
    <w:rsid w:val="002A71C1"/>
    <w:rsid w:val="002B067D"/>
    <w:rsid w:val="002B0AA9"/>
    <w:rsid w:val="002B0B48"/>
    <w:rsid w:val="002B43BB"/>
    <w:rsid w:val="002B5D74"/>
    <w:rsid w:val="002C09A4"/>
    <w:rsid w:val="002C5794"/>
    <w:rsid w:val="002C5F6C"/>
    <w:rsid w:val="002D31C8"/>
    <w:rsid w:val="002D4619"/>
    <w:rsid w:val="002D516B"/>
    <w:rsid w:val="002E2D39"/>
    <w:rsid w:val="002E692E"/>
    <w:rsid w:val="002E7895"/>
    <w:rsid w:val="002F0628"/>
    <w:rsid w:val="002F1E03"/>
    <w:rsid w:val="002F4FCA"/>
    <w:rsid w:val="003007C0"/>
    <w:rsid w:val="0030105D"/>
    <w:rsid w:val="00307543"/>
    <w:rsid w:val="00311A1E"/>
    <w:rsid w:val="003172DC"/>
    <w:rsid w:val="00321F2C"/>
    <w:rsid w:val="0032735D"/>
    <w:rsid w:val="003348D7"/>
    <w:rsid w:val="003349D1"/>
    <w:rsid w:val="00334D02"/>
    <w:rsid w:val="00341E48"/>
    <w:rsid w:val="003434EB"/>
    <w:rsid w:val="00350A6C"/>
    <w:rsid w:val="00353E77"/>
    <w:rsid w:val="0035462D"/>
    <w:rsid w:val="003550BF"/>
    <w:rsid w:val="00356EC6"/>
    <w:rsid w:val="003600D2"/>
    <w:rsid w:val="00361E87"/>
    <w:rsid w:val="00365179"/>
    <w:rsid w:val="003700A1"/>
    <w:rsid w:val="00370768"/>
    <w:rsid w:val="003801F5"/>
    <w:rsid w:val="0038215B"/>
    <w:rsid w:val="003852FC"/>
    <w:rsid w:val="003A2D99"/>
    <w:rsid w:val="003B0E1B"/>
    <w:rsid w:val="003B1D4A"/>
    <w:rsid w:val="003B3440"/>
    <w:rsid w:val="003B57C3"/>
    <w:rsid w:val="003B61A8"/>
    <w:rsid w:val="003C0B2F"/>
    <w:rsid w:val="003C3971"/>
    <w:rsid w:val="003C7BAE"/>
    <w:rsid w:val="003D084B"/>
    <w:rsid w:val="003D2EF4"/>
    <w:rsid w:val="003D427B"/>
    <w:rsid w:val="003D7A58"/>
    <w:rsid w:val="003E3211"/>
    <w:rsid w:val="003E3C8C"/>
    <w:rsid w:val="003E585F"/>
    <w:rsid w:val="003F0926"/>
    <w:rsid w:val="003F17A2"/>
    <w:rsid w:val="004078FE"/>
    <w:rsid w:val="0041145C"/>
    <w:rsid w:val="00414E94"/>
    <w:rsid w:val="00420C88"/>
    <w:rsid w:val="0042200B"/>
    <w:rsid w:val="004239C7"/>
    <w:rsid w:val="00424BFB"/>
    <w:rsid w:val="0042688F"/>
    <w:rsid w:val="004270F1"/>
    <w:rsid w:val="00443711"/>
    <w:rsid w:val="004461D3"/>
    <w:rsid w:val="0045016A"/>
    <w:rsid w:val="00452E0F"/>
    <w:rsid w:val="00454289"/>
    <w:rsid w:val="004564EE"/>
    <w:rsid w:val="00460E9A"/>
    <w:rsid w:val="00462C70"/>
    <w:rsid w:val="0046427C"/>
    <w:rsid w:val="004708B1"/>
    <w:rsid w:val="00472D26"/>
    <w:rsid w:val="004776C9"/>
    <w:rsid w:val="00481C53"/>
    <w:rsid w:val="00495992"/>
    <w:rsid w:val="004A4210"/>
    <w:rsid w:val="004A50DA"/>
    <w:rsid w:val="004A7550"/>
    <w:rsid w:val="004B04BD"/>
    <w:rsid w:val="004B27AE"/>
    <w:rsid w:val="004B372C"/>
    <w:rsid w:val="004B5078"/>
    <w:rsid w:val="004B77B6"/>
    <w:rsid w:val="004C43A9"/>
    <w:rsid w:val="004D3578"/>
    <w:rsid w:val="004D4B03"/>
    <w:rsid w:val="004E0C1D"/>
    <w:rsid w:val="004E213A"/>
    <w:rsid w:val="004E29CC"/>
    <w:rsid w:val="004E319C"/>
    <w:rsid w:val="004F4D5A"/>
    <w:rsid w:val="00503490"/>
    <w:rsid w:val="00504BE8"/>
    <w:rsid w:val="0051350A"/>
    <w:rsid w:val="00523E9B"/>
    <w:rsid w:val="00523F49"/>
    <w:rsid w:val="005250EA"/>
    <w:rsid w:val="00525622"/>
    <w:rsid w:val="00531F7E"/>
    <w:rsid w:val="0053326D"/>
    <w:rsid w:val="00534952"/>
    <w:rsid w:val="00537F5D"/>
    <w:rsid w:val="005403AF"/>
    <w:rsid w:val="0054157D"/>
    <w:rsid w:val="00543714"/>
    <w:rsid w:val="0054374D"/>
    <w:rsid w:val="00543E6C"/>
    <w:rsid w:val="00546A44"/>
    <w:rsid w:val="00560510"/>
    <w:rsid w:val="00562810"/>
    <w:rsid w:val="00562B70"/>
    <w:rsid w:val="00565087"/>
    <w:rsid w:val="00567D27"/>
    <w:rsid w:val="00570537"/>
    <w:rsid w:val="005710E9"/>
    <w:rsid w:val="00592A9D"/>
    <w:rsid w:val="00594DA2"/>
    <w:rsid w:val="00594E26"/>
    <w:rsid w:val="00596CC1"/>
    <w:rsid w:val="005A2945"/>
    <w:rsid w:val="005A46BD"/>
    <w:rsid w:val="005B0AEB"/>
    <w:rsid w:val="005B1CC2"/>
    <w:rsid w:val="005B392A"/>
    <w:rsid w:val="005B3C73"/>
    <w:rsid w:val="005B4A0A"/>
    <w:rsid w:val="005B5629"/>
    <w:rsid w:val="005B7A0B"/>
    <w:rsid w:val="005C2897"/>
    <w:rsid w:val="005C2A0D"/>
    <w:rsid w:val="005C7173"/>
    <w:rsid w:val="005D0223"/>
    <w:rsid w:val="005D2E01"/>
    <w:rsid w:val="005D3668"/>
    <w:rsid w:val="005D3CF0"/>
    <w:rsid w:val="005D3EE8"/>
    <w:rsid w:val="005E221B"/>
    <w:rsid w:val="005E3207"/>
    <w:rsid w:val="005E515B"/>
    <w:rsid w:val="005F0C05"/>
    <w:rsid w:val="005F43E3"/>
    <w:rsid w:val="005F4EC3"/>
    <w:rsid w:val="00612061"/>
    <w:rsid w:val="00612A71"/>
    <w:rsid w:val="00614FDF"/>
    <w:rsid w:val="00622A08"/>
    <w:rsid w:val="006238E5"/>
    <w:rsid w:val="0062477B"/>
    <w:rsid w:val="00625621"/>
    <w:rsid w:val="0062745C"/>
    <w:rsid w:val="006324CC"/>
    <w:rsid w:val="006365C6"/>
    <w:rsid w:val="00640CC4"/>
    <w:rsid w:val="006437A9"/>
    <w:rsid w:val="00652641"/>
    <w:rsid w:val="0065328A"/>
    <w:rsid w:val="006639DB"/>
    <w:rsid w:val="00664B68"/>
    <w:rsid w:val="00666429"/>
    <w:rsid w:val="00666E6A"/>
    <w:rsid w:val="00674675"/>
    <w:rsid w:val="0067493F"/>
    <w:rsid w:val="00674E7D"/>
    <w:rsid w:val="00685612"/>
    <w:rsid w:val="006864F5"/>
    <w:rsid w:val="0069172D"/>
    <w:rsid w:val="0069256B"/>
    <w:rsid w:val="006A4672"/>
    <w:rsid w:val="006A49A2"/>
    <w:rsid w:val="006A7AB7"/>
    <w:rsid w:val="006B0C05"/>
    <w:rsid w:val="006B18E0"/>
    <w:rsid w:val="006B42B4"/>
    <w:rsid w:val="006D1100"/>
    <w:rsid w:val="006E0239"/>
    <w:rsid w:val="006E072E"/>
    <w:rsid w:val="006E5C86"/>
    <w:rsid w:val="006F00A4"/>
    <w:rsid w:val="00705798"/>
    <w:rsid w:val="007148E4"/>
    <w:rsid w:val="00714AEA"/>
    <w:rsid w:val="00716B96"/>
    <w:rsid w:val="007170B2"/>
    <w:rsid w:val="00732BF2"/>
    <w:rsid w:val="00734626"/>
    <w:rsid w:val="00734A5B"/>
    <w:rsid w:val="00740B5D"/>
    <w:rsid w:val="0074447B"/>
    <w:rsid w:val="00744E76"/>
    <w:rsid w:val="00747362"/>
    <w:rsid w:val="00756047"/>
    <w:rsid w:val="007577CB"/>
    <w:rsid w:val="007607C2"/>
    <w:rsid w:val="00762B14"/>
    <w:rsid w:val="0076367C"/>
    <w:rsid w:val="00771315"/>
    <w:rsid w:val="00772BDD"/>
    <w:rsid w:val="00780C4A"/>
    <w:rsid w:val="00781F0F"/>
    <w:rsid w:val="00783817"/>
    <w:rsid w:val="0078651D"/>
    <w:rsid w:val="00797DF3"/>
    <w:rsid w:val="007A0F21"/>
    <w:rsid w:val="007A2E78"/>
    <w:rsid w:val="007A60C3"/>
    <w:rsid w:val="007B0393"/>
    <w:rsid w:val="007B4A73"/>
    <w:rsid w:val="007B4B46"/>
    <w:rsid w:val="007B4D2B"/>
    <w:rsid w:val="007B5138"/>
    <w:rsid w:val="007B70D1"/>
    <w:rsid w:val="007C323A"/>
    <w:rsid w:val="007C4C45"/>
    <w:rsid w:val="007C738A"/>
    <w:rsid w:val="007C7A0C"/>
    <w:rsid w:val="007E7C65"/>
    <w:rsid w:val="007F0BAE"/>
    <w:rsid w:val="007F52D4"/>
    <w:rsid w:val="007F7510"/>
    <w:rsid w:val="008028A4"/>
    <w:rsid w:val="00805820"/>
    <w:rsid w:val="00810D1D"/>
    <w:rsid w:val="008172EA"/>
    <w:rsid w:val="0082489C"/>
    <w:rsid w:val="00826F97"/>
    <w:rsid w:val="00830BDF"/>
    <w:rsid w:val="008311BE"/>
    <w:rsid w:val="00840F59"/>
    <w:rsid w:val="00843454"/>
    <w:rsid w:val="00861B28"/>
    <w:rsid w:val="0086597C"/>
    <w:rsid w:val="00872E34"/>
    <w:rsid w:val="008768CA"/>
    <w:rsid w:val="008877E6"/>
    <w:rsid w:val="00892D59"/>
    <w:rsid w:val="00893329"/>
    <w:rsid w:val="0089765C"/>
    <w:rsid w:val="008A048F"/>
    <w:rsid w:val="008B735F"/>
    <w:rsid w:val="008C0085"/>
    <w:rsid w:val="008C2529"/>
    <w:rsid w:val="008C30B9"/>
    <w:rsid w:val="008C353E"/>
    <w:rsid w:val="008D183F"/>
    <w:rsid w:val="008E0A36"/>
    <w:rsid w:val="008E0D37"/>
    <w:rsid w:val="008E136E"/>
    <w:rsid w:val="008E5906"/>
    <w:rsid w:val="008E6901"/>
    <w:rsid w:val="008E77BE"/>
    <w:rsid w:val="008F4129"/>
    <w:rsid w:val="008F6912"/>
    <w:rsid w:val="008F6B69"/>
    <w:rsid w:val="008F7341"/>
    <w:rsid w:val="008F7AAB"/>
    <w:rsid w:val="009021B7"/>
    <w:rsid w:val="0090271F"/>
    <w:rsid w:val="00902E23"/>
    <w:rsid w:val="00903F3D"/>
    <w:rsid w:val="0090598A"/>
    <w:rsid w:val="00907978"/>
    <w:rsid w:val="009109F8"/>
    <w:rsid w:val="0091348E"/>
    <w:rsid w:val="0091352D"/>
    <w:rsid w:val="00917CCB"/>
    <w:rsid w:val="009228DF"/>
    <w:rsid w:val="00926BA5"/>
    <w:rsid w:val="0092774C"/>
    <w:rsid w:val="0093695E"/>
    <w:rsid w:val="00942EC2"/>
    <w:rsid w:val="00944083"/>
    <w:rsid w:val="00944C13"/>
    <w:rsid w:val="00950B66"/>
    <w:rsid w:val="00956BA2"/>
    <w:rsid w:val="00963C13"/>
    <w:rsid w:val="00963C68"/>
    <w:rsid w:val="00970338"/>
    <w:rsid w:val="0097190B"/>
    <w:rsid w:val="00972455"/>
    <w:rsid w:val="00974355"/>
    <w:rsid w:val="0097538C"/>
    <w:rsid w:val="009A0BEC"/>
    <w:rsid w:val="009A2D2D"/>
    <w:rsid w:val="009A4311"/>
    <w:rsid w:val="009A4EAB"/>
    <w:rsid w:val="009A6795"/>
    <w:rsid w:val="009A6EA0"/>
    <w:rsid w:val="009B13F6"/>
    <w:rsid w:val="009B5100"/>
    <w:rsid w:val="009B68F5"/>
    <w:rsid w:val="009C06AF"/>
    <w:rsid w:val="009C7F8C"/>
    <w:rsid w:val="009D1FC4"/>
    <w:rsid w:val="009E26CD"/>
    <w:rsid w:val="009F24F0"/>
    <w:rsid w:val="009F37B7"/>
    <w:rsid w:val="00A1009B"/>
    <w:rsid w:val="00A10F02"/>
    <w:rsid w:val="00A12F51"/>
    <w:rsid w:val="00A164B4"/>
    <w:rsid w:val="00A166DD"/>
    <w:rsid w:val="00A2284C"/>
    <w:rsid w:val="00A23F5E"/>
    <w:rsid w:val="00A257D1"/>
    <w:rsid w:val="00A3574A"/>
    <w:rsid w:val="00A402FE"/>
    <w:rsid w:val="00A40E20"/>
    <w:rsid w:val="00A41839"/>
    <w:rsid w:val="00A53724"/>
    <w:rsid w:val="00A55007"/>
    <w:rsid w:val="00A5669F"/>
    <w:rsid w:val="00A6396C"/>
    <w:rsid w:val="00A6421D"/>
    <w:rsid w:val="00A66242"/>
    <w:rsid w:val="00A678D1"/>
    <w:rsid w:val="00A73AF0"/>
    <w:rsid w:val="00A775CB"/>
    <w:rsid w:val="00A82346"/>
    <w:rsid w:val="00A831E2"/>
    <w:rsid w:val="00A85831"/>
    <w:rsid w:val="00A940C4"/>
    <w:rsid w:val="00A94298"/>
    <w:rsid w:val="00AA3B03"/>
    <w:rsid w:val="00AB0B6C"/>
    <w:rsid w:val="00AB4BB2"/>
    <w:rsid w:val="00AB5389"/>
    <w:rsid w:val="00AC115A"/>
    <w:rsid w:val="00AC17A1"/>
    <w:rsid w:val="00AC304C"/>
    <w:rsid w:val="00AC48D8"/>
    <w:rsid w:val="00AE0E8E"/>
    <w:rsid w:val="00AE45BE"/>
    <w:rsid w:val="00AE53A9"/>
    <w:rsid w:val="00AF09C5"/>
    <w:rsid w:val="00B03A86"/>
    <w:rsid w:val="00B05C01"/>
    <w:rsid w:val="00B06E2E"/>
    <w:rsid w:val="00B1250C"/>
    <w:rsid w:val="00B12CAE"/>
    <w:rsid w:val="00B1357D"/>
    <w:rsid w:val="00B14246"/>
    <w:rsid w:val="00B15449"/>
    <w:rsid w:val="00B24A82"/>
    <w:rsid w:val="00B305CC"/>
    <w:rsid w:val="00B366F5"/>
    <w:rsid w:val="00B41025"/>
    <w:rsid w:val="00B4308E"/>
    <w:rsid w:val="00B476B7"/>
    <w:rsid w:val="00B55FAA"/>
    <w:rsid w:val="00B57386"/>
    <w:rsid w:val="00B76D65"/>
    <w:rsid w:val="00B83A50"/>
    <w:rsid w:val="00B85B49"/>
    <w:rsid w:val="00B85FC9"/>
    <w:rsid w:val="00B96C0C"/>
    <w:rsid w:val="00BA2D9C"/>
    <w:rsid w:val="00BB795F"/>
    <w:rsid w:val="00BC0F7D"/>
    <w:rsid w:val="00BC57B0"/>
    <w:rsid w:val="00BC7968"/>
    <w:rsid w:val="00BD1E88"/>
    <w:rsid w:val="00BE0319"/>
    <w:rsid w:val="00BE06D2"/>
    <w:rsid w:val="00BE18DE"/>
    <w:rsid w:val="00BE4219"/>
    <w:rsid w:val="00BE5924"/>
    <w:rsid w:val="00BF1095"/>
    <w:rsid w:val="00BF1C81"/>
    <w:rsid w:val="00BF4492"/>
    <w:rsid w:val="00BF77D0"/>
    <w:rsid w:val="00C17A60"/>
    <w:rsid w:val="00C17E05"/>
    <w:rsid w:val="00C20728"/>
    <w:rsid w:val="00C20F3A"/>
    <w:rsid w:val="00C24914"/>
    <w:rsid w:val="00C27DE0"/>
    <w:rsid w:val="00C316CA"/>
    <w:rsid w:val="00C33079"/>
    <w:rsid w:val="00C371B3"/>
    <w:rsid w:val="00C37663"/>
    <w:rsid w:val="00C37785"/>
    <w:rsid w:val="00C45231"/>
    <w:rsid w:val="00C467B5"/>
    <w:rsid w:val="00C51916"/>
    <w:rsid w:val="00C6035E"/>
    <w:rsid w:val="00C70D91"/>
    <w:rsid w:val="00C72833"/>
    <w:rsid w:val="00C735FC"/>
    <w:rsid w:val="00C8583F"/>
    <w:rsid w:val="00C91A33"/>
    <w:rsid w:val="00C91CC6"/>
    <w:rsid w:val="00C92C8B"/>
    <w:rsid w:val="00C93ECA"/>
    <w:rsid w:val="00C93F40"/>
    <w:rsid w:val="00C96843"/>
    <w:rsid w:val="00C978CA"/>
    <w:rsid w:val="00CA3B1D"/>
    <w:rsid w:val="00CA3D0C"/>
    <w:rsid w:val="00CA3D41"/>
    <w:rsid w:val="00CA47BF"/>
    <w:rsid w:val="00CA5AE2"/>
    <w:rsid w:val="00CB380A"/>
    <w:rsid w:val="00CC3F7F"/>
    <w:rsid w:val="00CC5B98"/>
    <w:rsid w:val="00CC64C1"/>
    <w:rsid w:val="00CC65C7"/>
    <w:rsid w:val="00CD110C"/>
    <w:rsid w:val="00CD2E52"/>
    <w:rsid w:val="00CD43C0"/>
    <w:rsid w:val="00CE0801"/>
    <w:rsid w:val="00CE2C38"/>
    <w:rsid w:val="00CE45C5"/>
    <w:rsid w:val="00CE7175"/>
    <w:rsid w:val="00CF21D3"/>
    <w:rsid w:val="00CF2B28"/>
    <w:rsid w:val="00CF3CF7"/>
    <w:rsid w:val="00D009F2"/>
    <w:rsid w:val="00D00C13"/>
    <w:rsid w:val="00D02CFA"/>
    <w:rsid w:val="00D0311A"/>
    <w:rsid w:val="00D045E8"/>
    <w:rsid w:val="00D11B3A"/>
    <w:rsid w:val="00D15384"/>
    <w:rsid w:val="00D158CE"/>
    <w:rsid w:val="00D20D2C"/>
    <w:rsid w:val="00D23E17"/>
    <w:rsid w:val="00D24DA2"/>
    <w:rsid w:val="00D2544C"/>
    <w:rsid w:val="00D30461"/>
    <w:rsid w:val="00D41181"/>
    <w:rsid w:val="00D41D7F"/>
    <w:rsid w:val="00D4682F"/>
    <w:rsid w:val="00D47C2A"/>
    <w:rsid w:val="00D514F6"/>
    <w:rsid w:val="00D52107"/>
    <w:rsid w:val="00D53D11"/>
    <w:rsid w:val="00D55AA5"/>
    <w:rsid w:val="00D56778"/>
    <w:rsid w:val="00D5737B"/>
    <w:rsid w:val="00D6059F"/>
    <w:rsid w:val="00D6448A"/>
    <w:rsid w:val="00D72AA8"/>
    <w:rsid w:val="00D738D6"/>
    <w:rsid w:val="00D755EB"/>
    <w:rsid w:val="00D87E00"/>
    <w:rsid w:val="00D9134D"/>
    <w:rsid w:val="00D91C79"/>
    <w:rsid w:val="00D94568"/>
    <w:rsid w:val="00D9546E"/>
    <w:rsid w:val="00D96451"/>
    <w:rsid w:val="00DA2DBA"/>
    <w:rsid w:val="00DA352D"/>
    <w:rsid w:val="00DA7A03"/>
    <w:rsid w:val="00DB1818"/>
    <w:rsid w:val="00DB5079"/>
    <w:rsid w:val="00DB5BAB"/>
    <w:rsid w:val="00DC309B"/>
    <w:rsid w:val="00DC4131"/>
    <w:rsid w:val="00DC4DA2"/>
    <w:rsid w:val="00DD2296"/>
    <w:rsid w:val="00DD491D"/>
    <w:rsid w:val="00DD5CFF"/>
    <w:rsid w:val="00DD5EB4"/>
    <w:rsid w:val="00DE0C17"/>
    <w:rsid w:val="00DF0262"/>
    <w:rsid w:val="00DF2B1F"/>
    <w:rsid w:val="00DF4AD9"/>
    <w:rsid w:val="00DF62CD"/>
    <w:rsid w:val="00DF7D47"/>
    <w:rsid w:val="00E05497"/>
    <w:rsid w:val="00E11D5B"/>
    <w:rsid w:val="00E127BB"/>
    <w:rsid w:val="00E129D0"/>
    <w:rsid w:val="00E13370"/>
    <w:rsid w:val="00E20B05"/>
    <w:rsid w:val="00E333F5"/>
    <w:rsid w:val="00E373EF"/>
    <w:rsid w:val="00E40499"/>
    <w:rsid w:val="00E41C4A"/>
    <w:rsid w:val="00E4227F"/>
    <w:rsid w:val="00E448DE"/>
    <w:rsid w:val="00E614A7"/>
    <w:rsid w:val="00E618EE"/>
    <w:rsid w:val="00E72121"/>
    <w:rsid w:val="00E72F53"/>
    <w:rsid w:val="00E75D46"/>
    <w:rsid w:val="00E77645"/>
    <w:rsid w:val="00E823B1"/>
    <w:rsid w:val="00E83C91"/>
    <w:rsid w:val="00E85635"/>
    <w:rsid w:val="00E8635A"/>
    <w:rsid w:val="00E9354D"/>
    <w:rsid w:val="00E94F2B"/>
    <w:rsid w:val="00EA0876"/>
    <w:rsid w:val="00EA2E61"/>
    <w:rsid w:val="00EA7C61"/>
    <w:rsid w:val="00EB0546"/>
    <w:rsid w:val="00EB0F28"/>
    <w:rsid w:val="00EB26E3"/>
    <w:rsid w:val="00EB31CF"/>
    <w:rsid w:val="00EC4A25"/>
    <w:rsid w:val="00EE00DC"/>
    <w:rsid w:val="00EE2AEB"/>
    <w:rsid w:val="00EE2F30"/>
    <w:rsid w:val="00EE4EAF"/>
    <w:rsid w:val="00EE602F"/>
    <w:rsid w:val="00EF1994"/>
    <w:rsid w:val="00EF1FC5"/>
    <w:rsid w:val="00EF4078"/>
    <w:rsid w:val="00EF605D"/>
    <w:rsid w:val="00F00464"/>
    <w:rsid w:val="00F025A2"/>
    <w:rsid w:val="00F03195"/>
    <w:rsid w:val="00F04712"/>
    <w:rsid w:val="00F17FB9"/>
    <w:rsid w:val="00F22159"/>
    <w:rsid w:val="00F22EC7"/>
    <w:rsid w:val="00F24D82"/>
    <w:rsid w:val="00F264EF"/>
    <w:rsid w:val="00F26CEE"/>
    <w:rsid w:val="00F42068"/>
    <w:rsid w:val="00F556C7"/>
    <w:rsid w:val="00F576EB"/>
    <w:rsid w:val="00F653B8"/>
    <w:rsid w:val="00F668A7"/>
    <w:rsid w:val="00F7063C"/>
    <w:rsid w:val="00F75D5F"/>
    <w:rsid w:val="00F812D7"/>
    <w:rsid w:val="00F82CB3"/>
    <w:rsid w:val="00F87CBD"/>
    <w:rsid w:val="00F93780"/>
    <w:rsid w:val="00F951DE"/>
    <w:rsid w:val="00FA1266"/>
    <w:rsid w:val="00FA5947"/>
    <w:rsid w:val="00FA7917"/>
    <w:rsid w:val="00FB05F8"/>
    <w:rsid w:val="00FB0DC4"/>
    <w:rsid w:val="00FB5F3B"/>
    <w:rsid w:val="00FC1192"/>
    <w:rsid w:val="00FD7938"/>
    <w:rsid w:val="00FE0439"/>
    <w:rsid w:val="00FE11B9"/>
    <w:rsid w:val="00FE14A1"/>
    <w:rsid w:val="00FE1619"/>
    <w:rsid w:val="00FE181B"/>
    <w:rsid w:val="00FF1F52"/>
    <w:rsid w:val="00FF37F5"/>
    <w:rsid w:val="00FF4AA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footer" w:qFormat="1"/>
    <w:lsdException w:name="caption" w:semiHidden="1" w:unhideWhenUsed="1"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character" w:styleId="PlaceholderText">
    <w:name w:val="Placeholder Text"/>
    <w:basedOn w:val="DefaultParagraphFont"/>
    <w:uiPriority w:val="99"/>
    <w:semiHidden/>
    <w:rsid w:val="00A66242"/>
    <w:rPr>
      <w:color w:val="808080"/>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rmal"/>
    <w:pPr>
      <w:keepNext/>
      <w:spacing w:after="0"/>
    </w:pPr>
    <w:rPr>
      <w:rFonts w:ascii="Arial" w:hAnsi="Arial"/>
      <w:sz w:val="18"/>
    </w:rPr>
  </w:style>
  <w:style w:type="paragraph" w:styleId="ListParagraph">
    <w:name w:val="List Paragraph"/>
    <w:basedOn w:val="Normal"/>
    <w:uiPriority w:val="34"/>
    <w:qFormat/>
    <w:rsid w:val="00783817"/>
    <w:pPr>
      <w:ind w:left="720"/>
      <w:contextualSpacing/>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styleId="Caption">
    <w:name w:val="caption"/>
    <w:basedOn w:val="Normal"/>
    <w:next w:val="Normal"/>
    <w:unhideWhenUsed/>
    <w:qFormat/>
    <w:rsid w:val="00276FE0"/>
    <w:pPr>
      <w:spacing w:after="200"/>
    </w:pPr>
    <w:rPr>
      <w:i/>
      <w:iCs/>
      <w:color w:val="44546A" w:themeColor="text2"/>
      <w:sz w:val="18"/>
      <w:szCs w:val="18"/>
    </w:rPr>
  </w:style>
  <w:style w:type="paragraph" w:customStyle="1" w:styleId="FP">
    <w:name w:val="FP"/>
    <w:basedOn w:val="Normal"/>
    <w:pPr>
      <w:spacing w:after="0"/>
    </w:pPr>
  </w:style>
  <w:style w:type="paragraph" w:customStyle="1" w:styleId="NW">
    <w:name w:val="NW"/>
    <w:basedOn w:val="Normal"/>
    <w:pPr>
      <w:spacing w:after="0"/>
    </w:pPr>
  </w:style>
  <w:style w:type="paragraph" w:customStyle="1" w:styleId="EW">
    <w:name w:val="EW"/>
    <w:basedOn w:val="Normal"/>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rmal"/>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LChar">
    <w:name w:val="TAL Char"/>
    <w:link w:val="TAL"/>
    <w:qFormat/>
    <w:rsid w:val="009B5100"/>
    <w:rPr>
      <w:rFonts w:ascii="Arial" w:hAnsi="Arial"/>
      <w:sz w:val="18"/>
      <w:lang w:val="en-GB" w:eastAsia="en-US"/>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qFormat/>
    <w:rsid w:val="009B13F6"/>
    <w:rPr>
      <w:lang w:val="en-GB" w:eastAsia="en-US"/>
    </w:rPr>
  </w:style>
  <w:style w:type="character" w:customStyle="1" w:styleId="THChar">
    <w:name w:val="TH Char"/>
    <w:link w:val="TH"/>
    <w:qFormat/>
    <w:rsid w:val="000E1DEA"/>
    <w:rPr>
      <w:rFonts w:ascii="Arial" w:hAnsi="Arial"/>
      <w:b/>
      <w:lang w:val="en-GB" w:eastAsia="en-US"/>
    </w:rPr>
  </w:style>
  <w:style w:type="character" w:customStyle="1" w:styleId="TACChar">
    <w:name w:val="TAC Char"/>
    <w:link w:val="TAC"/>
    <w:qFormat/>
    <w:rsid w:val="008B735F"/>
    <w:rPr>
      <w:rFonts w:ascii="Arial" w:hAnsi="Arial"/>
      <w:sz w:val="18"/>
      <w:lang w:val="en-GB" w:eastAsia="en-US"/>
    </w:rPr>
  </w:style>
  <w:style w:type="character" w:customStyle="1" w:styleId="TAHCar">
    <w:name w:val="TAH Car"/>
    <w:link w:val="TAH"/>
    <w:qFormat/>
    <w:rsid w:val="008B735F"/>
    <w:rPr>
      <w:rFonts w:ascii="Arial" w:hAnsi="Arial"/>
      <w:b/>
      <w:sz w:val="18"/>
      <w:lang w:val="en-GB" w:eastAsia="en-US"/>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character" w:styleId="CommentReference">
    <w:name w:val="annotation reference"/>
    <w:basedOn w:val="DefaultParagraphFont"/>
    <w:rsid w:val="009F24F0"/>
    <w:rPr>
      <w:sz w:val="16"/>
      <w:szCs w:val="16"/>
    </w:rPr>
  </w:style>
  <w:style w:type="paragraph" w:styleId="CommentText">
    <w:name w:val="annotation text"/>
    <w:basedOn w:val="Normal"/>
    <w:link w:val="CommentTextChar"/>
    <w:rsid w:val="009F24F0"/>
  </w:style>
  <w:style w:type="character" w:customStyle="1" w:styleId="CommentTextChar">
    <w:name w:val="Comment Text Char"/>
    <w:basedOn w:val="DefaultParagraphFont"/>
    <w:link w:val="CommentText"/>
    <w:rsid w:val="009F24F0"/>
    <w:rPr>
      <w:lang w:val="en-GB" w:eastAsia="en-US"/>
    </w:rPr>
  </w:style>
  <w:style w:type="paragraph" w:styleId="CommentSubject">
    <w:name w:val="annotation subject"/>
    <w:basedOn w:val="CommentText"/>
    <w:next w:val="CommentText"/>
    <w:link w:val="CommentSubjectChar"/>
    <w:semiHidden/>
    <w:unhideWhenUsed/>
    <w:rsid w:val="009F24F0"/>
    <w:rPr>
      <w:b/>
      <w:bCs/>
    </w:rPr>
  </w:style>
  <w:style w:type="character" w:customStyle="1" w:styleId="CommentSubjectChar">
    <w:name w:val="Comment Subject Char"/>
    <w:basedOn w:val="CommentTextChar"/>
    <w:link w:val="CommentSubject"/>
    <w:semiHidden/>
    <w:rsid w:val="009F24F0"/>
    <w:rPr>
      <w:b/>
      <w:bCs/>
      <w:lang w:val="en-GB" w:eastAsia="en-US"/>
    </w:rPr>
  </w:style>
  <w:style w:type="paragraph" w:customStyle="1" w:styleId="CRCoverPage">
    <w:name w:val="CR Cover Page"/>
    <w:link w:val="CRCoverPageChar"/>
    <w:qFormat/>
    <w:rsid w:val="00CC5B98"/>
    <w:pPr>
      <w:spacing w:after="120" w:line="259" w:lineRule="auto"/>
    </w:pPr>
    <w:rPr>
      <w:rFonts w:ascii="Arial" w:hAnsi="Arial"/>
      <w:lang w:eastAsia="en-US"/>
    </w:rPr>
  </w:style>
  <w:style w:type="character" w:customStyle="1" w:styleId="CRCoverPageChar">
    <w:name w:val="CR Cover Page Char"/>
    <w:link w:val="CRCoverPage"/>
    <w:qFormat/>
    <w:rsid w:val="00CC5B9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4729">
      <w:bodyDiv w:val="1"/>
      <w:marLeft w:val="0"/>
      <w:marRight w:val="0"/>
      <w:marTop w:val="0"/>
      <w:marBottom w:val="0"/>
      <w:divBdr>
        <w:top w:val="none" w:sz="0" w:space="0" w:color="auto"/>
        <w:left w:val="none" w:sz="0" w:space="0" w:color="auto"/>
        <w:bottom w:val="none" w:sz="0" w:space="0" w:color="auto"/>
        <w:right w:val="none" w:sz="0" w:space="0" w:color="auto"/>
      </w:divBdr>
      <w:divsChild>
        <w:div w:id="1313410132">
          <w:marLeft w:val="0"/>
          <w:marRight w:val="0"/>
          <w:marTop w:val="0"/>
          <w:marBottom w:val="0"/>
          <w:divBdr>
            <w:top w:val="none" w:sz="0" w:space="0" w:color="auto"/>
            <w:left w:val="none" w:sz="0" w:space="0" w:color="auto"/>
            <w:bottom w:val="none" w:sz="0" w:space="0" w:color="auto"/>
            <w:right w:val="none" w:sz="0" w:space="0" w:color="auto"/>
          </w:divBdr>
          <w:divsChild>
            <w:div w:id="540634323">
              <w:marLeft w:val="0"/>
              <w:marRight w:val="0"/>
              <w:marTop w:val="0"/>
              <w:marBottom w:val="0"/>
              <w:divBdr>
                <w:top w:val="none" w:sz="0" w:space="0" w:color="auto"/>
                <w:left w:val="none" w:sz="0" w:space="0" w:color="auto"/>
                <w:bottom w:val="none" w:sz="0" w:space="0" w:color="auto"/>
                <w:right w:val="none" w:sz="0" w:space="0" w:color="auto"/>
              </w:divBdr>
            </w:div>
            <w:div w:id="21143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900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1375">
          <w:marLeft w:val="0"/>
          <w:marRight w:val="0"/>
          <w:marTop w:val="0"/>
          <w:marBottom w:val="0"/>
          <w:divBdr>
            <w:top w:val="none" w:sz="0" w:space="0" w:color="auto"/>
            <w:left w:val="none" w:sz="0" w:space="0" w:color="auto"/>
            <w:bottom w:val="none" w:sz="0" w:space="0" w:color="auto"/>
            <w:right w:val="none" w:sz="0" w:space="0" w:color="auto"/>
          </w:divBdr>
          <w:divsChild>
            <w:div w:id="1199396555">
              <w:marLeft w:val="0"/>
              <w:marRight w:val="0"/>
              <w:marTop w:val="0"/>
              <w:marBottom w:val="0"/>
              <w:divBdr>
                <w:top w:val="none" w:sz="0" w:space="0" w:color="auto"/>
                <w:left w:val="none" w:sz="0" w:space="0" w:color="auto"/>
                <w:bottom w:val="none" w:sz="0" w:space="0" w:color="auto"/>
                <w:right w:val="none" w:sz="0" w:space="0" w:color="auto"/>
              </w:divBdr>
            </w:div>
            <w:div w:id="9931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5NUHHDQN7SK2-1476151046-396668</_dlc_DocId>
    <_dlc_DocIdUrl xmlns="f166a696-7b5b-4ccd-9f0c-ffde0cceec81">
      <Url>https://ericsson.sharepoint.com/sites/star/_layouts/15/DocIdRedir.aspx?ID=5NUHHDQN7SK2-1476151046-396668</Url>
      <Description>5NUHHDQN7SK2-1476151046-396668</Description>
    </_dlc_DocIdUrl>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7F9A-BA8A-4A21-B5DC-8800F2F19EB5}">
  <ds:schemaRefs>
    <ds:schemaRef ds:uri="http://schemas.microsoft.com/sharepoint/v3/contenttype/forms"/>
  </ds:schemaRefs>
</ds:datastoreItem>
</file>

<file path=customXml/itemProps2.xml><?xml version="1.0" encoding="utf-8"?>
<ds:datastoreItem xmlns:ds="http://schemas.openxmlformats.org/officeDocument/2006/customXml" ds:itemID="{EF095819-4E4C-4FE1-AC38-2B3548524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EAD70C-4B57-4B1D-96E0-C1EC30BE3583}">
  <ds:schemaRefs>
    <ds:schemaRef ds:uri="Microsoft.SharePoint.Taxonomy.ContentTypeSync"/>
  </ds:schemaRefs>
</ds:datastoreItem>
</file>

<file path=customXml/itemProps4.xml><?xml version="1.0" encoding="utf-8"?>
<ds:datastoreItem xmlns:ds="http://schemas.openxmlformats.org/officeDocument/2006/customXml" ds:itemID="{A8141631-F840-478E-B06E-7FB6C6263376}">
  <ds:schemaRefs>
    <ds:schemaRef ds:uri="http://schemas.microsoft.com/sharepoint/events"/>
  </ds:schemaRefs>
</ds:datastoreItem>
</file>

<file path=customXml/itemProps5.xml><?xml version="1.0" encoding="utf-8"?>
<ds:datastoreItem xmlns:ds="http://schemas.openxmlformats.org/officeDocument/2006/customXml" ds:itemID="{EF2C002F-FE46-4CE6-AD59-BEE85208E00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6DD04CD-2549-4274-A528-CC3926F3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1522</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3</cp:revision>
  <dcterms:created xsi:type="dcterms:W3CDTF">2020-08-07T14:30:00Z</dcterms:created>
  <dcterms:modified xsi:type="dcterms:W3CDTF">2020-08-07T14:48:00Z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63406a9b-ca0f-4c87-ad1e-3ff42c9c335f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