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E46" w:rsidRPr="007F1E46" w:rsidRDefault="007F1E46" w:rsidP="007F1E46">
      <w:pPr>
        <w:pStyle w:val="a3"/>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4C4746" w:rsidRPr="004C4746">
        <w:rPr>
          <w:rFonts w:cs="Arial"/>
          <w:noProof w:val="0"/>
          <w:sz w:val="24"/>
          <w:szCs w:val="24"/>
        </w:rPr>
        <w:t>R4-2007683</w:t>
      </w:r>
      <w:bookmarkStart w:id="0" w:name="_GoBack"/>
      <w:bookmarkEnd w:id="0"/>
    </w:p>
    <w:p w:rsidR="00DF0231" w:rsidRPr="007F1E46" w:rsidRDefault="007F1E46" w:rsidP="007F1E46">
      <w:pPr>
        <w:pStyle w:val="a3"/>
        <w:rPr>
          <w:rFonts w:eastAsia="宋体"/>
          <w:noProof w:val="0"/>
          <w:sz w:val="24"/>
          <w:szCs w:val="24"/>
          <w:lang w:eastAsia="zh-CN"/>
        </w:rPr>
      </w:pPr>
      <w:r w:rsidRPr="007F1E46">
        <w:rPr>
          <w:rFonts w:cs="Arial"/>
          <w:noProof w:val="0"/>
          <w:sz w:val="24"/>
          <w:szCs w:val="24"/>
        </w:rPr>
        <w:t>Electronic Meeting, 25 May – 5 June,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74536">
        <w:rPr>
          <w:rFonts w:ascii="Arial" w:hAnsi="Arial"/>
          <w:sz w:val="24"/>
          <w:lang w:val="en-US"/>
        </w:rPr>
        <w:t>6.5.3.</w:t>
      </w:r>
      <w:r w:rsidR="00733E6C">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733E6C">
        <w:rPr>
          <w:rFonts w:ascii="Arial" w:hAnsi="Arial"/>
          <w:sz w:val="24"/>
          <w:lang w:val="en-US"/>
        </w:rPr>
        <w:t>BFD and CBD</w:t>
      </w:r>
      <w:r w:rsidR="00951825">
        <w:rPr>
          <w:rFonts w:ascii="Arial" w:hAnsi="Arial"/>
          <w:sz w:val="24"/>
          <w:lang w:val="en-US"/>
        </w:rPr>
        <w:t xml:space="preserve"> </w:t>
      </w:r>
      <w:r w:rsidR="00AF0E37">
        <w:rPr>
          <w:rFonts w:ascii="Arial" w:hAnsi="Arial"/>
          <w:sz w:val="24"/>
          <w:lang w:val="en-US"/>
        </w:rPr>
        <w:t>requirement for IAB-MT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w:t>
      </w:r>
      <w:r w:rsidR="009F06FB">
        <w:rPr>
          <w:rFonts w:eastAsiaTheme="minorEastAsia"/>
          <w:lang w:val="en-US" w:eastAsia="zh-CN"/>
        </w:rPr>
        <w:t>the previous RAN</w:t>
      </w:r>
      <w:r w:rsidR="00865DAD">
        <w:rPr>
          <w:rFonts w:eastAsiaTheme="minorEastAsia"/>
          <w:lang w:val="en-US" w:eastAsia="zh-CN"/>
        </w:rPr>
        <w:t>4</w:t>
      </w:r>
      <w:r w:rsidR="008E4053">
        <w:rPr>
          <w:rFonts w:eastAsiaTheme="minorEastAsia"/>
          <w:lang w:val="en-US" w:eastAsia="zh-CN"/>
        </w:rPr>
        <w:t xml:space="preserve"> meeting</w:t>
      </w:r>
      <w:r w:rsidR="009F06FB">
        <w:rPr>
          <w:rFonts w:eastAsiaTheme="minorEastAsia"/>
          <w:lang w:val="en-US" w:eastAsia="zh-CN"/>
        </w:rPr>
        <w:t>s</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IAB-MT were discussed. There are some remaining issues about </w:t>
      </w:r>
      <w:r w:rsidR="009F06FB">
        <w:rPr>
          <w:rFonts w:eastAsiaTheme="minorEastAsia"/>
          <w:lang w:val="en-US" w:eastAsia="zh-CN"/>
        </w:rPr>
        <w:t>BFD and CBD</w:t>
      </w:r>
      <w:r w:rsidR="00AF0E37">
        <w:rPr>
          <w:rFonts w:eastAsiaTheme="minorEastAsia"/>
          <w:lang w:val="en-US" w:eastAsia="zh-CN"/>
        </w:rPr>
        <w:t>.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50339C" w:rsidRDefault="00AF0E37"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I</w:t>
      </w:r>
      <w:r>
        <w:rPr>
          <w:rFonts w:eastAsiaTheme="minorEastAsia"/>
          <w:lang w:val="en-US" w:eastAsia="zh-CN"/>
        </w:rPr>
        <w:t>n the</w:t>
      </w:r>
      <w:r w:rsidR="009F06FB">
        <w:rPr>
          <w:rFonts w:eastAsiaTheme="minorEastAsia"/>
          <w:lang w:val="en-US" w:eastAsia="zh-CN"/>
        </w:rPr>
        <w:t>RAN4 94e and</w:t>
      </w:r>
      <w:r>
        <w:rPr>
          <w:rFonts w:eastAsiaTheme="minorEastAsia"/>
          <w:lang w:val="en-US" w:eastAsia="zh-CN"/>
        </w:rPr>
        <w:t xml:space="preserve"> RAN4 </w:t>
      </w:r>
      <w:r w:rsidR="007F1E46">
        <w:rPr>
          <w:rFonts w:eastAsiaTheme="minorEastAsia"/>
          <w:lang w:val="en-US" w:eastAsia="zh-CN"/>
        </w:rPr>
        <w:t>94</w:t>
      </w:r>
      <w:r w:rsidR="007F1E46">
        <w:rPr>
          <w:rFonts w:eastAsiaTheme="minorEastAsia" w:hint="eastAsia"/>
          <w:lang w:val="en-US" w:eastAsia="zh-CN"/>
        </w:rPr>
        <w:t>-</w:t>
      </w:r>
      <w:r w:rsidR="007F1E46">
        <w:rPr>
          <w:rFonts w:eastAsiaTheme="minorEastAsia"/>
          <w:lang w:val="en-US" w:eastAsia="zh-CN"/>
        </w:rPr>
        <w:t>e</w:t>
      </w:r>
      <w:r w:rsidR="007F1E46">
        <w:rPr>
          <w:rFonts w:eastAsiaTheme="minorEastAsia" w:hint="eastAsia"/>
          <w:lang w:val="en-US" w:eastAsia="zh-CN"/>
        </w:rPr>
        <w:t>-</w:t>
      </w:r>
      <w:r w:rsidR="007F1E46">
        <w:rPr>
          <w:rFonts w:eastAsiaTheme="minorEastAsia"/>
          <w:lang w:val="en-US" w:eastAsia="zh-CN"/>
        </w:rPr>
        <w:t>bis</w:t>
      </w:r>
      <w:r>
        <w:rPr>
          <w:rFonts w:eastAsiaTheme="minorEastAsia"/>
          <w:lang w:val="en-US" w:eastAsia="zh-CN"/>
        </w:rPr>
        <w:t xml:space="preserve"> meeting</w:t>
      </w:r>
      <w:r w:rsidR="009F06FB">
        <w:rPr>
          <w:rFonts w:eastAsiaTheme="minorEastAsia"/>
          <w:lang w:val="en-US" w:eastAsia="zh-CN"/>
        </w:rPr>
        <w:t>s</w:t>
      </w:r>
      <w:r>
        <w:rPr>
          <w:rFonts w:eastAsiaTheme="minorEastAsia"/>
          <w:lang w:val="en-US" w:eastAsia="zh-CN"/>
        </w:rPr>
        <w:t xml:space="preserve">, </w:t>
      </w:r>
      <w:r w:rsidR="009F06FB">
        <w:rPr>
          <w:rFonts w:eastAsiaTheme="minorEastAsia"/>
          <w:lang w:val="en-US" w:eastAsia="zh-CN"/>
        </w:rPr>
        <w:t xml:space="preserve">the requirements for BFD and CBD were discussed with following agreements: </w:t>
      </w:r>
    </w:p>
    <w:tbl>
      <w:tblPr>
        <w:tblStyle w:val="a7"/>
        <w:tblW w:w="0" w:type="auto"/>
        <w:tblLook w:val="04A0" w:firstRow="1" w:lastRow="0" w:firstColumn="1" w:lastColumn="0" w:noHBand="0" w:noVBand="1"/>
      </w:tblPr>
      <w:tblGrid>
        <w:gridCol w:w="9562"/>
      </w:tblGrid>
      <w:tr w:rsidR="007F1E46" w:rsidTr="007F1E46">
        <w:tc>
          <w:tcPr>
            <w:tcW w:w="9562" w:type="dxa"/>
          </w:tcPr>
          <w:p w:rsidR="007F1E46" w:rsidRDefault="009F06FB" w:rsidP="009F06FB">
            <w:pPr>
              <w:spacing w:after="120"/>
              <w:ind w:leftChars="26" w:left="52"/>
              <w:rPr>
                <w:rFonts w:eastAsiaTheme="minorEastAsia"/>
                <w:highlight w:val="green"/>
                <w:lang w:eastAsia="zh-CN"/>
              </w:rPr>
            </w:pPr>
            <w:r w:rsidRPr="009F06FB">
              <w:rPr>
                <w:rFonts w:eastAsiaTheme="minorEastAsia" w:hint="eastAsia"/>
                <w:highlight w:val="green"/>
                <w:lang w:eastAsia="zh-CN"/>
              </w:rPr>
              <w:t>R</w:t>
            </w:r>
            <w:r w:rsidRPr="009F06FB">
              <w:rPr>
                <w:rFonts w:eastAsiaTheme="minorEastAsia"/>
                <w:highlight w:val="green"/>
                <w:lang w:eastAsia="zh-CN"/>
              </w:rPr>
              <w:t>AN4 94e</w:t>
            </w:r>
            <w:r>
              <w:rPr>
                <w:rFonts w:eastAsiaTheme="minorEastAsia"/>
                <w:highlight w:val="green"/>
                <w:lang w:eastAsia="zh-CN"/>
              </w:rPr>
              <w:t>:</w:t>
            </w:r>
          </w:p>
          <w:p w:rsidR="009F06FB" w:rsidRDefault="009F06FB" w:rsidP="009F06FB">
            <w:pPr>
              <w:ind w:left="284"/>
            </w:pPr>
            <w:r w:rsidRPr="00B27672">
              <w:rPr>
                <w:highlight w:val="green"/>
              </w:rPr>
              <w:t>Agreement: BFD/CBD requirements for IAB-MTs are defined for no-DRX mode only.</w:t>
            </w:r>
          </w:p>
          <w:p w:rsidR="009F06FB" w:rsidRDefault="009F06FB" w:rsidP="009F06FB">
            <w:pPr>
              <w:spacing w:after="0"/>
              <w:ind w:firstLineChars="150" w:firstLine="300"/>
              <w:rPr>
                <w:rFonts w:eastAsia="Malgun Gothic"/>
                <w:highlight w:val="green"/>
                <w:lang w:val="en-US" w:eastAsia="ko-KR"/>
              </w:rPr>
            </w:pPr>
            <w:r w:rsidRPr="008749E6">
              <w:rPr>
                <w:rFonts w:eastAsiaTheme="minorEastAsia"/>
                <w:highlight w:val="green"/>
                <w:lang w:val="en-US"/>
              </w:rPr>
              <w:t>Rel-15 BFD OOS and IS BLER levels are reused for IAB-MTs.</w:t>
            </w:r>
          </w:p>
          <w:p w:rsidR="009F06FB" w:rsidRPr="009F06FB" w:rsidRDefault="009F06FB" w:rsidP="009F06FB">
            <w:pPr>
              <w:spacing w:after="0"/>
              <w:ind w:firstLineChars="150" w:firstLine="300"/>
              <w:rPr>
                <w:rFonts w:eastAsia="Malgun Gothic"/>
                <w:highlight w:val="green"/>
                <w:lang w:val="en-US" w:eastAsia="ko-KR"/>
              </w:rPr>
            </w:pPr>
          </w:p>
          <w:p w:rsidR="009F06FB" w:rsidRPr="009F06FB" w:rsidRDefault="009F06FB" w:rsidP="009F06FB">
            <w:pPr>
              <w:spacing w:after="120"/>
              <w:ind w:leftChars="26" w:left="52"/>
              <w:rPr>
                <w:rFonts w:eastAsiaTheme="minorEastAsia"/>
                <w:highlight w:val="green"/>
                <w:lang w:eastAsia="zh-CN"/>
              </w:rPr>
            </w:pPr>
            <w:r w:rsidRPr="009F06FB">
              <w:rPr>
                <w:rFonts w:eastAsiaTheme="minorEastAsia"/>
                <w:highlight w:val="green"/>
                <w:lang w:eastAsia="zh-CN"/>
              </w:rPr>
              <w:t>RAN4 94-e-bis</w:t>
            </w:r>
          </w:p>
          <w:p w:rsidR="009F06FB" w:rsidRPr="00546611" w:rsidRDefault="009F06FB" w:rsidP="009F06FB">
            <w:pPr>
              <w:ind w:left="284" w:firstLine="284"/>
              <w:rPr>
                <w:bCs/>
              </w:rPr>
            </w:pPr>
            <w:r w:rsidRPr="00546611">
              <w:rPr>
                <w:bCs/>
                <w:highlight w:val="green"/>
              </w:rPr>
              <w:t xml:space="preserve">Agreement: </w:t>
            </w:r>
            <w:r w:rsidRPr="00546611">
              <w:rPr>
                <w:rFonts w:eastAsiaTheme="minorEastAsia"/>
                <w:highlight w:val="green"/>
                <w:lang w:val="en-US" w:eastAsia="zh-CN"/>
              </w:rPr>
              <w:t>T</w:t>
            </w:r>
            <w:r w:rsidRPr="00546611">
              <w:rPr>
                <w:rFonts w:eastAsiaTheme="minorEastAsia"/>
                <w:bCs/>
                <w:highlight w:val="green"/>
                <w:lang w:eastAsia="zh-CN"/>
              </w:rPr>
              <w:t xml:space="preserve">he CSI-RS requirements shall apply only for CSI-RS density 3 over the bandwidth </w:t>
            </w:r>
            <w:r w:rsidRPr="00546611">
              <w:rPr>
                <w:rFonts w:eastAsiaTheme="minorEastAsia" w:hint="eastAsia"/>
                <w:bCs/>
                <w:highlight w:val="green"/>
                <w:lang w:eastAsia="zh-CN"/>
              </w:rPr>
              <w:t>≥</w:t>
            </w:r>
            <w:r w:rsidRPr="00546611">
              <w:rPr>
                <w:rFonts w:eastAsiaTheme="minorEastAsia"/>
                <w:bCs/>
                <w:highlight w:val="green"/>
                <w:lang w:eastAsia="zh-CN"/>
              </w:rPr>
              <w:t xml:space="preserve"> 24 PRBs.</w:t>
            </w:r>
          </w:p>
          <w:p w:rsidR="009F06FB" w:rsidRPr="000C1DEE" w:rsidRDefault="009F06FB" w:rsidP="009F06FB">
            <w:pPr>
              <w:spacing w:after="120"/>
              <w:ind w:left="568"/>
              <w:rPr>
                <w:bCs/>
                <w:highlight w:val="green"/>
              </w:rPr>
            </w:pPr>
            <w:r w:rsidRPr="000C1DEE">
              <w:rPr>
                <w:bCs/>
                <w:highlight w:val="green"/>
              </w:rPr>
              <w:t xml:space="preserve">Agreement: The following CBD related </w:t>
            </w:r>
            <w:proofErr w:type="gramStart"/>
            <w:r w:rsidRPr="000C1DEE">
              <w:rPr>
                <w:bCs/>
                <w:highlight w:val="green"/>
              </w:rPr>
              <w:t>requirements, that have been defined in 38.133 for Rel-15 UEs,</w:t>
            </w:r>
            <w:proofErr w:type="gramEnd"/>
            <w:r w:rsidRPr="000C1DEE">
              <w:rPr>
                <w:bCs/>
                <w:highlight w:val="green"/>
              </w:rPr>
              <w:t xml:space="preserve"> can be reused for IAB-MTs.</w:t>
            </w:r>
          </w:p>
          <w:p w:rsidR="009F06FB" w:rsidRPr="000C1DEE" w:rsidRDefault="009F06FB" w:rsidP="009F06FB">
            <w:pPr>
              <w:pStyle w:val="a6"/>
              <w:numPr>
                <w:ilvl w:val="0"/>
                <w:numId w:val="18"/>
              </w:numPr>
              <w:spacing w:after="120"/>
              <w:ind w:left="1572" w:firstLineChars="0"/>
              <w:rPr>
                <w:highlight w:val="green"/>
              </w:rPr>
            </w:pPr>
            <w:r w:rsidRPr="000C1DEE">
              <w:rPr>
                <w:highlight w:val="green"/>
              </w:rPr>
              <w:t>Measurement restrictions for SSB based CBD and CSI-RS based CBD</w:t>
            </w:r>
          </w:p>
          <w:p w:rsidR="009F06FB" w:rsidRPr="000C1DEE" w:rsidRDefault="009F06FB" w:rsidP="009F06FB">
            <w:pPr>
              <w:pStyle w:val="a6"/>
              <w:numPr>
                <w:ilvl w:val="0"/>
                <w:numId w:val="18"/>
              </w:numPr>
              <w:spacing w:after="120"/>
              <w:ind w:left="1572" w:firstLineChars="0"/>
              <w:rPr>
                <w:highlight w:val="green"/>
              </w:rPr>
            </w:pPr>
            <w:r w:rsidRPr="000C1DEE">
              <w:rPr>
                <w:highlight w:val="green"/>
              </w:rPr>
              <w:t>Scheduling availability during CBD</w:t>
            </w:r>
          </w:p>
          <w:p w:rsidR="007F1E46" w:rsidRPr="007F1E46" w:rsidRDefault="007F1E46" w:rsidP="006A7217">
            <w:pPr>
              <w:overflowPunct w:val="0"/>
              <w:autoSpaceDE w:val="0"/>
              <w:autoSpaceDN w:val="0"/>
              <w:adjustRightInd w:val="0"/>
              <w:textAlignment w:val="baseline"/>
              <w:rPr>
                <w:rFonts w:eastAsiaTheme="minorEastAsia"/>
                <w:lang w:val="en-US" w:eastAsia="zh-CN"/>
              </w:rPr>
            </w:pPr>
          </w:p>
        </w:tc>
      </w:tr>
    </w:tbl>
    <w:p w:rsidR="007F1E46" w:rsidRDefault="007F1E46" w:rsidP="00FC625D">
      <w:pPr>
        <w:overflowPunct w:val="0"/>
        <w:autoSpaceDE w:val="0"/>
        <w:autoSpaceDN w:val="0"/>
        <w:adjustRightInd w:val="0"/>
        <w:textAlignment w:val="baseline"/>
        <w:rPr>
          <w:rFonts w:eastAsiaTheme="minorEastAsia"/>
          <w:lang w:val="en-US" w:eastAsia="zh-CN"/>
        </w:rPr>
      </w:pPr>
    </w:p>
    <w:p w:rsidR="00BA0200" w:rsidRDefault="00BA0200"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s discussed in RLM in RAN4 94-e-meeting, the s</w:t>
      </w:r>
      <w:r w:rsidRPr="00BA0200">
        <w:rPr>
          <w:rFonts w:eastAsiaTheme="minorEastAsia"/>
          <w:lang w:val="en-US" w:eastAsia="zh-CN"/>
        </w:rPr>
        <w:t>haring factor P is also necessary since measurement gap can be configured for IAB-MTs</w:t>
      </w:r>
      <w:r>
        <w:rPr>
          <w:rFonts w:eastAsiaTheme="minorEastAsia"/>
          <w:lang w:val="en-US" w:eastAsia="zh-CN"/>
        </w:rPr>
        <w:t>. So it is suggested to adopt the same principle for BFD and CBD to keep the sharing factor P unchanged,</w:t>
      </w:r>
    </w:p>
    <w:p w:rsidR="00BA0200" w:rsidRPr="00BA0200" w:rsidRDefault="00BA0200" w:rsidP="00FC625D">
      <w:pPr>
        <w:overflowPunct w:val="0"/>
        <w:autoSpaceDE w:val="0"/>
        <w:autoSpaceDN w:val="0"/>
        <w:adjustRightInd w:val="0"/>
        <w:textAlignment w:val="baseline"/>
        <w:rPr>
          <w:rFonts w:eastAsiaTheme="minorEastAsia"/>
          <w:b/>
          <w:lang w:val="en-US" w:eastAsia="zh-CN"/>
        </w:rPr>
      </w:pPr>
      <w:r w:rsidRPr="00BA0200">
        <w:rPr>
          <w:rFonts w:eastAsiaTheme="minorEastAsia"/>
          <w:b/>
          <w:lang w:val="en-US" w:eastAsia="zh-CN"/>
        </w:rPr>
        <w:t>Proposal 1: There is no need to remove the sharing factor P in BFD and CBD requirements for IAB-MT.</w:t>
      </w:r>
    </w:p>
    <w:p w:rsidR="006A7217" w:rsidRDefault="006A7217"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F</w:t>
      </w:r>
      <w:r>
        <w:rPr>
          <w:rFonts w:eastAsiaTheme="minorEastAsia"/>
          <w:lang w:val="en-US" w:eastAsia="zh-CN"/>
        </w:rPr>
        <w:t>or the evaluation period requirements for BFD and CBD, as discussed in RAN4 94e meeting, it is reasonable to reuse the similar requirements as Rel-15 UE provided that the sharing factor is kept unchanged.</w:t>
      </w:r>
    </w:p>
    <w:p w:rsidR="006A7217" w:rsidRPr="00BA0200" w:rsidRDefault="006A7217" w:rsidP="00FC625D">
      <w:pPr>
        <w:overflowPunct w:val="0"/>
        <w:autoSpaceDE w:val="0"/>
        <w:autoSpaceDN w:val="0"/>
        <w:adjustRightInd w:val="0"/>
        <w:textAlignment w:val="baseline"/>
        <w:rPr>
          <w:rFonts w:eastAsiaTheme="minorEastAsia"/>
          <w:b/>
          <w:lang w:val="en-US" w:eastAsia="zh-CN"/>
        </w:rPr>
      </w:pPr>
      <w:r w:rsidRPr="00BA0200">
        <w:rPr>
          <w:rFonts w:eastAsiaTheme="minorEastAsia"/>
          <w:b/>
          <w:lang w:val="en-US" w:eastAsia="zh-CN"/>
        </w:rPr>
        <w:t>Proposal 2:</w:t>
      </w:r>
      <w:r w:rsidR="00BA0200" w:rsidRPr="00BA0200">
        <w:rPr>
          <w:rFonts w:eastAsiaTheme="minorEastAsia"/>
          <w:b/>
          <w:lang w:val="en-US" w:eastAsia="zh-CN"/>
        </w:rPr>
        <w:t xml:space="preserve"> The requirements of evaluation period of BFD/CBD for Rel-15 UE can apply for IAB-MT.</w:t>
      </w:r>
    </w:p>
    <w:p w:rsidR="006A7217" w:rsidRDefault="006A7217" w:rsidP="006A7217">
      <w:pPr>
        <w:rPr>
          <w:rFonts w:eastAsiaTheme="minorEastAsia"/>
          <w:lang w:eastAsia="zh-CN"/>
        </w:rPr>
      </w:pPr>
      <w:r>
        <w:rPr>
          <w:rFonts w:eastAsiaTheme="minorEastAsia"/>
          <w:lang w:eastAsia="zh-CN"/>
        </w:rPr>
        <w:t>Another issues is about the beam sweeping factor for FR2. It can be observed that the beam sweeping factor N = 8 in the existing TS 38.133 for RLM and Link recovery procedure regardless of the UE type. The same sweeping factor also applies to UE PC1, which is the also fixed node. Thus for fixed IAB node, it is suggested to adopt the same beam sweeping factor which is 8 for RLM and Link recovery in TS 38.174.</w:t>
      </w:r>
    </w:p>
    <w:p w:rsidR="006A7217" w:rsidRPr="001F2AE4" w:rsidRDefault="006A7217" w:rsidP="006A7217">
      <w:pPr>
        <w:rPr>
          <w:rFonts w:eastAsiaTheme="minorEastAsia"/>
          <w:b/>
          <w:lang w:eastAsia="zh-CN"/>
        </w:rPr>
      </w:pPr>
      <w:r w:rsidRPr="001F2AE4">
        <w:rPr>
          <w:rFonts w:eastAsiaTheme="minorEastAsia" w:hint="eastAsia"/>
          <w:b/>
          <w:lang w:eastAsia="zh-CN"/>
        </w:rPr>
        <w:t>P</w:t>
      </w:r>
      <w:r w:rsidRPr="001F2AE4">
        <w:rPr>
          <w:rFonts w:eastAsiaTheme="minorEastAsia"/>
          <w:b/>
          <w:lang w:eastAsia="zh-CN"/>
        </w:rPr>
        <w:t xml:space="preserve">roposal </w:t>
      </w:r>
      <w:r>
        <w:rPr>
          <w:rFonts w:eastAsiaTheme="minorEastAsia"/>
          <w:b/>
          <w:lang w:eastAsia="zh-CN"/>
        </w:rPr>
        <w:t>3</w:t>
      </w:r>
      <w:r w:rsidRPr="001F2AE4">
        <w:rPr>
          <w:rFonts w:eastAsiaTheme="minorEastAsia"/>
          <w:b/>
          <w:lang w:eastAsia="zh-CN"/>
        </w:rPr>
        <w:t>: Adopt the same beam sweeping factor which is 8 for RLM and Link recovery for FR2 in TS 38.174.</w:t>
      </w:r>
    </w:p>
    <w:p w:rsidR="001F2AE4" w:rsidRPr="006A7217" w:rsidRDefault="001F2AE4" w:rsidP="001F2AE4">
      <w:pPr>
        <w:rPr>
          <w:rFonts w:eastAsiaTheme="minorEastAsia"/>
          <w:lang w:eastAsia="zh-CN"/>
        </w:rPr>
      </w:pPr>
    </w:p>
    <w:p w:rsidR="0050339C" w:rsidRDefault="0050339C" w:rsidP="0050339C">
      <w:pPr>
        <w:pStyle w:val="1"/>
        <w:numPr>
          <w:ilvl w:val="0"/>
          <w:numId w:val="1"/>
        </w:numPr>
        <w:rPr>
          <w:lang w:val="en-US"/>
        </w:rPr>
      </w:pPr>
      <w:r>
        <w:rPr>
          <w:lang w:val="en-US"/>
        </w:rPr>
        <w:lastRenderedPageBreak/>
        <w:t>Conclusion</w:t>
      </w:r>
    </w:p>
    <w:p w:rsidR="00BA0200" w:rsidRPr="00BA0200" w:rsidRDefault="00BA0200" w:rsidP="00BA0200">
      <w:pPr>
        <w:overflowPunct w:val="0"/>
        <w:autoSpaceDE w:val="0"/>
        <w:autoSpaceDN w:val="0"/>
        <w:adjustRightInd w:val="0"/>
        <w:textAlignment w:val="baseline"/>
        <w:rPr>
          <w:rFonts w:eastAsiaTheme="minorEastAsia"/>
          <w:b/>
          <w:lang w:val="en-US" w:eastAsia="zh-CN"/>
        </w:rPr>
      </w:pPr>
      <w:r w:rsidRPr="00BA0200">
        <w:rPr>
          <w:rFonts w:eastAsiaTheme="minorEastAsia"/>
          <w:b/>
          <w:lang w:val="en-US" w:eastAsia="zh-CN"/>
        </w:rPr>
        <w:t>Proposal 1: There is no need to remove the sharing factor P in BFD and CBD requirements for IAB-MT.</w:t>
      </w:r>
    </w:p>
    <w:p w:rsidR="00BA0200" w:rsidRPr="00BA0200" w:rsidRDefault="00BA0200" w:rsidP="00BA0200">
      <w:pPr>
        <w:overflowPunct w:val="0"/>
        <w:autoSpaceDE w:val="0"/>
        <w:autoSpaceDN w:val="0"/>
        <w:adjustRightInd w:val="0"/>
        <w:textAlignment w:val="baseline"/>
        <w:rPr>
          <w:rFonts w:eastAsiaTheme="minorEastAsia"/>
          <w:b/>
          <w:lang w:val="en-US" w:eastAsia="zh-CN"/>
        </w:rPr>
      </w:pPr>
      <w:r w:rsidRPr="00BA0200">
        <w:rPr>
          <w:rFonts w:eastAsiaTheme="minorEastAsia"/>
          <w:b/>
          <w:lang w:val="en-US" w:eastAsia="zh-CN"/>
        </w:rPr>
        <w:t>Proposal 2: The requirements of evaluation period of BFD/CBD for Rel-15 UE can apply for IAB-MT.</w:t>
      </w:r>
    </w:p>
    <w:p w:rsidR="00BA0200" w:rsidRPr="00BA0200" w:rsidRDefault="00BA0200" w:rsidP="00BA0200">
      <w:pPr>
        <w:rPr>
          <w:rFonts w:eastAsiaTheme="minorEastAsia"/>
          <w:b/>
          <w:lang w:eastAsia="zh-CN"/>
        </w:rPr>
      </w:pPr>
      <w:r w:rsidRPr="001F2AE4">
        <w:rPr>
          <w:rFonts w:eastAsiaTheme="minorEastAsia" w:hint="eastAsia"/>
          <w:b/>
          <w:lang w:eastAsia="zh-CN"/>
        </w:rPr>
        <w:t>P</w:t>
      </w:r>
      <w:r w:rsidRPr="001F2AE4">
        <w:rPr>
          <w:rFonts w:eastAsiaTheme="minorEastAsia"/>
          <w:b/>
          <w:lang w:eastAsia="zh-CN"/>
        </w:rPr>
        <w:t xml:space="preserve">roposal </w:t>
      </w:r>
      <w:r>
        <w:rPr>
          <w:rFonts w:eastAsiaTheme="minorEastAsia"/>
          <w:b/>
          <w:lang w:eastAsia="zh-CN"/>
        </w:rPr>
        <w:t>3</w:t>
      </w:r>
      <w:r w:rsidRPr="001F2AE4">
        <w:rPr>
          <w:rFonts w:eastAsiaTheme="minorEastAsia"/>
          <w:b/>
          <w:lang w:eastAsia="zh-CN"/>
        </w:rPr>
        <w:t xml:space="preserve">: Adopt the same beam </w:t>
      </w:r>
      <w:r w:rsidR="00733E6C">
        <w:rPr>
          <w:rFonts w:eastAsiaTheme="minorEastAsia"/>
          <w:b/>
          <w:lang w:eastAsia="zh-CN"/>
        </w:rPr>
        <w:t>sweeping factor which is 8</w:t>
      </w:r>
      <w:r w:rsidRPr="001F2AE4">
        <w:rPr>
          <w:rFonts w:eastAsiaTheme="minorEastAsia"/>
          <w:b/>
          <w:lang w:eastAsia="zh-CN"/>
        </w:rPr>
        <w:t xml:space="preserve"> for FR2 in TS 38.174.</w:t>
      </w:r>
    </w:p>
    <w:p w:rsidR="00DF0231" w:rsidRPr="002D2977" w:rsidRDefault="00DF0231" w:rsidP="00DF0231">
      <w:pPr>
        <w:pStyle w:val="1"/>
        <w:tabs>
          <w:tab w:val="clear" w:pos="432"/>
        </w:tabs>
        <w:ind w:left="0" w:firstLine="0"/>
        <w:rPr>
          <w:lang w:val="en-US"/>
        </w:rPr>
      </w:pPr>
      <w:r w:rsidRPr="002D2977">
        <w:rPr>
          <w:lang w:val="en-US"/>
        </w:rPr>
        <w:t>References</w:t>
      </w:r>
    </w:p>
    <w:p w:rsidR="007F1E46" w:rsidRPr="007F1E46" w:rsidRDefault="00DF0231" w:rsidP="007F1E46">
      <w:pPr>
        <w:rPr>
          <w:lang w:val="en-US"/>
        </w:rPr>
      </w:pPr>
      <w:r w:rsidRPr="002D2977">
        <w:rPr>
          <w:lang w:val="en-US"/>
        </w:rPr>
        <w:t xml:space="preserve">[1] </w:t>
      </w:r>
      <w:r w:rsidR="007F1E46" w:rsidRPr="007F1E46">
        <w:rPr>
          <w:lang w:val="en-US"/>
        </w:rPr>
        <w:t>R4-2005322</w:t>
      </w:r>
      <w:r w:rsidR="007F1E46">
        <w:rPr>
          <w:lang w:val="en-US"/>
        </w:rPr>
        <w:t xml:space="preserve">, </w:t>
      </w:r>
      <w:r w:rsidR="007F1E46" w:rsidRPr="007F1E46">
        <w:t>WF on RLM requirements and sharing factor in RLM/BFD/CBD evaluation for IAB-MTs</w:t>
      </w:r>
    </w:p>
    <w:p w:rsidR="007D0DF7" w:rsidRDefault="007D0DF7" w:rsidP="007B692E"/>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E79" w:rsidRDefault="00D70E79">
      <w:pPr>
        <w:spacing w:after="0"/>
      </w:pPr>
      <w:r>
        <w:separator/>
      </w:r>
    </w:p>
  </w:endnote>
  <w:endnote w:type="continuationSeparator" w:id="0">
    <w:p w:rsidR="00D70E79" w:rsidRDefault="00D70E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8D2271" w:rsidRDefault="008D22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C4746">
      <w:rPr>
        <w:rStyle w:val="a5"/>
      </w:rPr>
      <w:t>1</w:t>
    </w:r>
    <w:r>
      <w:rPr>
        <w:rStyle w:val="a5"/>
      </w:rPr>
      <w:fldChar w:fldCharType="end"/>
    </w:r>
  </w:p>
  <w:p w:rsidR="008D2271" w:rsidRDefault="008D22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E79" w:rsidRDefault="00D70E79">
      <w:pPr>
        <w:spacing w:after="0"/>
      </w:pPr>
      <w:r>
        <w:separator/>
      </w:r>
    </w:p>
  </w:footnote>
  <w:footnote w:type="continuationSeparator" w:id="0">
    <w:p w:rsidR="00D70E79" w:rsidRDefault="00D70E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237E6"/>
    <w:multiLevelType w:val="hybridMultilevel"/>
    <w:tmpl w:val="8402AE92"/>
    <w:lvl w:ilvl="0" w:tplc="ABB49BE4">
      <w:start w:val="1"/>
      <w:numFmt w:val="bullet"/>
      <w:lvlText w:val="•"/>
      <w:lvlJc w:val="left"/>
      <w:pPr>
        <w:tabs>
          <w:tab w:val="num" w:pos="720"/>
        </w:tabs>
        <w:ind w:left="720" w:hanging="360"/>
      </w:pPr>
      <w:rPr>
        <w:rFonts w:ascii="Arial" w:hAnsi="Arial" w:hint="default"/>
      </w:rPr>
    </w:lvl>
    <w:lvl w:ilvl="1" w:tplc="26CA8348">
      <w:numFmt w:val="bullet"/>
      <w:lvlText w:val="–"/>
      <w:lvlJc w:val="left"/>
      <w:pPr>
        <w:tabs>
          <w:tab w:val="num" w:pos="1440"/>
        </w:tabs>
        <w:ind w:left="1440" w:hanging="360"/>
      </w:pPr>
      <w:rPr>
        <w:rFonts w:ascii="Arial" w:hAnsi="Arial" w:hint="default"/>
      </w:rPr>
    </w:lvl>
    <w:lvl w:ilvl="2" w:tplc="DBE8E200" w:tentative="1">
      <w:start w:val="1"/>
      <w:numFmt w:val="bullet"/>
      <w:lvlText w:val="•"/>
      <w:lvlJc w:val="left"/>
      <w:pPr>
        <w:tabs>
          <w:tab w:val="num" w:pos="2160"/>
        </w:tabs>
        <w:ind w:left="2160" w:hanging="360"/>
      </w:pPr>
      <w:rPr>
        <w:rFonts w:ascii="Arial" w:hAnsi="Arial" w:hint="default"/>
      </w:rPr>
    </w:lvl>
    <w:lvl w:ilvl="3" w:tplc="96F235BC" w:tentative="1">
      <w:start w:val="1"/>
      <w:numFmt w:val="bullet"/>
      <w:lvlText w:val="•"/>
      <w:lvlJc w:val="left"/>
      <w:pPr>
        <w:tabs>
          <w:tab w:val="num" w:pos="2880"/>
        </w:tabs>
        <w:ind w:left="2880" w:hanging="360"/>
      </w:pPr>
      <w:rPr>
        <w:rFonts w:ascii="Arial" w:hAnsi="Arial" w:hint="default"/>
      </w:rPr>
    </w:lvl>
    <w:lvl w:ilvl="4" w:tplc="FB8EFAAE" w:tentative="1">
      <w:start w:val="1"/>
      <w:numFmt w:val="bullet"/>
      <w:lvlText w:val="•"/>
      <w:lvlJc w:val="left"/>
      <w:pPr>
        <w:tabs>
          <w:tab w:val="num" w:pos="3600"/>
        </w:tabs>
        <w:ind w:left="3600" w:hanging="360"/>
      </w:pPr>
      <w:rPr>
        <w:rFonts w:ascii="Arial" w:hAnsi="Arial" w:hint="default"/>
      </w:rPr>
    </w:lvl>
    <w:lvl w:ilvl="5" w:tplc="6FDEFBC2" w:tentative="1">
      <w:start w:val="1"/>
      <w:numFmt w:val="bullet"/>
      <w:lvlText w:val="•"/>
      <w:lvlJc w:val="left"/>
      <w:pPr>
        <w:tabs>
          <w:tab w:val="num" w:pos="4320"/>
        </w:tabs>
        <w:ind w:left="4320" w:hanging="360"/>
      </w:pPr>
      <w:rPr>
        <w:rFonts w:ascii="Arial" w:hAnsi="Arial" w:hint="default"/>
      </w:rPr>
    </w:lvl>
    <w:lvl w:ilvl="6" w:tplc="CE52DE10" w:tentative="1">
      <w:start w:val="1"/>
      <w:numFmt w:val="bullet"/>
      <w:lvlText w:val="•"/>
      <w:lvlJc w:val="left"/>
      <w:pPr>
        <w:tabs>
          <w:tab w:val="num" w:pos="5040"/>
        </w:tabs>
        <w:ind w:left="5040" w:hanging="360"/>
      </w:pPr>
      <w:rPr>
        <w:rFonts w:ascii="Arial" w:hAnsi="Arial" w:hint="default"/>
      </w:rPr>
    </w:lvl>
    <w:lvl w:ilvl="7" w:tplc="8ABA7AE8" w:tentative="1">
      <w:start w:val="1"/>
      <w:numFmt w:val="bullet"/>
      <w:lvlText w:val="•"/>
      <w:lvlJc w:val="left"/>
      <w:pPr>
        <w:tabs>
          <w:tab w:val="num" w:pos="5760"/>
        </w:tabs>
        <w:ind w:left="5760" w:hanging="360"/>
      </w:pPr>
      <w:rPr>
        <w:rFonts w:ascii="Arial" w:hAnsi="Arial" w:hint="default"/>
      </w:rPr>
    </w:lvl>
    <w:lvl w:ilvl="8" w:tplc="BB94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6D6612"/>
    <w:multiLevelType w:val="hybridMultilevel"/>
    <w:tmpl w:val="0BC0076C"/>
    <w:lvl w:ilvl="0" w:tplc="11622EEE">
      <w:start w:val="1"/>
      <w:numFmt w:val="bullet"/>
      <w:lvlText w:val="•"/>
      <w:lvlJc w:val="left"/>
      <w:pPr>
        <w:tabs>
          <w:tab w:val="num" w:pos="720"/>
        </w:tabs>
        <w:ind w:left="720" w:hanging="360"/>
      </w:pPr>
      <w:rPr>
        <w:rFonts w:ascii="Arial" w:hAnsi="Arial" w:hint="default"/>
      </w:rPr>
    </w:lvl>
    <w:lvl w:ilvl="1" w:tplc="D172B67C" w:tentative="1">
      <w:start w:val="1"/>
      <w:numFmt w:val="bullet"/>
      <w:lvlText w:val="•"/>
      <w:lvlJc w:val="left"/>
      <w:pPr>
        <w:tabs>
          <w:tab w:val="num" w:pos="1440"/>
        </w:tabs>
        <w:ind w:left="1440" w:hanging="360"/>
      </w:pPr>
      <w:rPr>
        <w:rFonts w:ascii="Arial" w:hAnsi="Arial" w:hint="default"/>
      </w:rPr>
    </w:lvl>
    <w:lvl w:ilvl="2" w:tplc="589024D8" w:tentative="1">
      <w:start w:val="1"/>
      <w:numFmt w:val="bullet"/>
      <w:lvlText w:val="•"/>
      <w:lvlJc w:val="left"/>
      <w:pPr>
        <w:tabs>
          <w:tab w:val="num" w:pos="2160"/>
        </w:tabs>
        <w:ind w:left="2160" w:hanging="360"/>
      </w:pPr>
      <w:rPr>
        <w:rFonts w:ascii="Arial" w:hAnsi="Arial" w:hint="default"/>
      </w:rPr>
    </w:lvl>
    <w:lvl w:ilvl="3" w:tplc="BA2A7554" w:tentative="1">
      <w:start w:val="1"/>
      <w:numFmt w:val="bullet"/>
      <w:lvlText w:val="•"/>
      <w:lvlJc w:val="left"/>
      <w:pPr>
        <w:tabs>
          <w:tab w:val="num" w:pos="2880"/>
        </w:tabs>
        <w:ind w:left="2880" w:hanging="360"/>
      </w:pPr>
      <w:rPr>
        <w:rFonts w:ascii="Arial" w:hAnsi="Arial" w:hint="default"/>
      </w:rPr>
    </w:lvl>
    <w:lvl w:ilvl="4" w:tplc="717CFAA4" w:tentative="1">
      <w:start w:val="1"/>
      <w:numFmt w:val="bullet"/>
      <w:lvlText w:val="•"/>
      <w:lvlJc w:val="left"/>
      <w:pPr>
        <w:tabs>
          <w:tab w:val="num" w:pos="3600"/>
        </w:tabs>
        <w:ind w:left="3600" w:hanging="360"/>
      </w:pPr>
      <w:rPr>
        <w:rFonts w:ascii="Arial" w:hAnsi="Arial" w:hint="default"/>
      </w:rPr>
    </w:lvl>
    <w:lvl w:ilvl="5" w:tplc="1200112E" w:tentative="1">
      <w:start w:val="1"/>
      <w:numFmt w:val="bullet"/>
      <w:lvlText w:val="•"/>
      <w:lvlJc w:val="left"/>
      <w:pPr>
        <w:tabs>
          <w:tab w:val="num" w:pos="4320"/>
        </w:tabs>
        <w:ind w:left="4320" w:hanging="360"/>
      </w:pPr>
      <w:rPr>
        <w:rFonts w:ascii="Arial" w:hAnsi="Arial" w:hint="default"/>
      </w:rPr>
    </w:lvl>
    <w:lvl w:ilvl="6" w:tplc="4EBABE5C" w:tentative="1">
      <w:start w:val="1"/>
      <w:numFmt w:val="bullet"/>
      <w:lvlText w:val="•"/>
      <w:lvlJc w:val="left"/>
      <w:pPr>
        <w:tabs>
          <w:tab w:val="num" w:pos="5040"/>
        </w:tabs>
        <w:ind w:left="5040" w:hanging="360"/>
      </w:pPr>
      <w:rPr>
        <w:rFonts w:ascii="Arial" w:hAnsi="Arial" w:hint="default"/>
      </w:rPr>
    </w:lvl>
    <w:lvl w:ilvl="7" w:tplc="48683AC0" w:tentative="1">
      <w:start w:val="1"/>
      <w:numFmt w:val="bullet"/>
      <w:lvlText w:val="•"/>
      <w:lvlJc w:val="left"/>
      <w:pPr>
        <w:tabs>
          <w:tab w:val="num" w:pos="5760"/>
        </w:tabs>
        <w:ind w:left="5760" w:hanging="360"/>
      </w:pPr>
      <w:rPr>
        <w:rFonts w:ascii="Arial" w:hAnsi="Arial" w:hint="default"/>
      </w:rPr>
    </w:lvl>
    <w:lvl w:ilvl="8" w:tplc="65E68E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0"/>
  </w:num>
  <w:num w:numId="2">
    <w:abstractNumId w:val="0"/>
  </w:num>
  <w:num w:numId="3">
    <w:abstractNumId w:val="15"/>
  </w:num>
  <w:num w:numId="4">
    <w:abstractNumId w:val="17"/>
  </w:num>
  <w:num w:numId="5">
    <w:abstractNumId w:val="13"/>
  </w:num>
  <w:num w:numId="6">
    <w:abstractNumId w:val="7"/>
  </w:num>
  <w:num w:numId="7">
    <w:abstractNumId w:val="12"/>
  </w:num>
  <w:num w:numId="8">
    <w:abstractNumId w:val="3"/>
  </w:num>
  <w:num w:numId="9">
    <w:abstractNumId w:val="6"/>
  </w:num>
  <w:num w:numId="10">
    <w:abstractNumId w:val="4"/>
  </w:num>
  <w:num w:numId="11">
    <w:abstractNumId w:val="8"/>
  </w:num>
  <w:num w:numId="12">
    <w:abstractNumId w:val="9"/>
  </w:num>
  <w:num w:numId="13">
    <w:abstractNumId w:val="11"/>
  </w:num>
  <w:num w:numId="14">
    <w:abstractNumId w:val="1"/>
  </w:num>
  <w:num w:numId="15">
    <w:abstractNumId w:val="2"/>
  </w:num>
  <w:num w:numId="16">
    <w:abstractNumId w:val="14"/>
  </w:num>
  <w:num w:numId="17">
    <w:abstractNumId w:val="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D2930"/>
    <w:rsid w:val="000E2C03"/>
    <w:rsid w:val="00100360"/>
    <w:rsid w:val="00187A32"/>
    <w:rsid w:val="00192DA7"/>
    <w:rsid w:val="001E7174"/>
    <w:rsid w:val="001F2AE4"/>
    <w:rsid w:val="0020033A"/>
    <w:rsid w:val="002129CD"/>
    <w:rsid w:val="002221AC"/>
    <w:rsid w:val="00222D7E"/>
    <w:rsid w:val="002328DD"/>
    <w:rsid w:val="00254F38"/>
    <w:rsid w:val="00282D3C"/>
    <w:rsid w:val="002A5E54"/>
    <w:rsid w:val="002B45C3"/>
    <w:rsid w:val="002E668C"/>
    <w:rsid w:val="002F579F"/>
    <w:rsid w:val="00311CF9"/>
    <w:rsid w:val="00336939"/>
    <w:rsid w:val="00356FB6"/>
    <w:rsid w:val="003664ED"/>
    <w:rsid w:val="003A5E2B"/>
    <w:rsid w:val="003F37DD"/>
    <w:rsid w:val="003F37F1"/>
    <w:rsid w:val="003F5BF9"/>
    <w:rsid w:val="003F762D"/>
    <w:rsid w:val="00406810"/>
    <w:rsid w:val="00430F24"/>
    <w:rsid w:val="00435EBD"/>
    <w:rsid w:val="00466D02"/>
    <w:rsid w:val="00477263"/>
    <w:rsid w:val="00490A38"/>
    <w:rsid w:val="0049501A"/>
    <w:rsid w:val="004A678E"/>
    <w:rsid w:val="004A7CF2"/>
    <w:rsid w:val="004C4746"/>
    <w:rsid w:val="004C4868"/>
    <w:rsid w:val="004E0927"/>
    <w:rsid w:val="004F0167"/>
    <w:rsid w:val="0050339C"/>
    <w:rsid w:val="005235DB"/>
    <w:rsid w:val="00530EB0"/>
    <w:rsid w:val="005449A0"/>
    <w:rsid w:val="00545EC2"/>
    <w:rsid w:val="0054734A"/>
    <w:rsid w:val="0055510A"/>
    <w:rsid w:val="00574536"/>
    <w:rsid w:val="005F5231"/>
    <w:rsid w:val="0061475E"/>
    <w:rsid w:val="006A7217"/>
    <w:rsid w:val="006C6191"/>
    <w:rsid w:val="006D43CD"/>
    <w:rsid w:val="00701598"/>
    <w:rsid w:val="00712608"/>
    <w:rsid w:val="007200C7"/>
    <w:rsid w:val="00723883"/>
    <w:rsid w:val="00733E6C"/>
    <w:rsid w:val="00736D84"/>
    <w:rsid w:val="0077159B"/>
    <w:rsid w:val="007902A8"/>
    <w:rsid w:val="007A37DA"/>
    <w:rsid w:val="007B692E"/>
    <w:rsid w:val="007B71D5"/>
    <w:rsid w:val="007D0DF7"/>
    <w:rsid w:val="007D3409"/>
    <w:rsid w:val="007E5F97"/>
    <w:rsid w:val="007E67EC"/>
    <w:rsid w:val="007F1E46"/>
    <w:rsid w:val="007F2E6A"/>
    <w:rsid w:val="00803073"/>
    <w:rsid w:val="00804945"/>
    <w:rsid w:val="008446CE"/>
    <w:rsid w:val="00865708"/>
    <w:rsid w:val="00865DAD"/>
    <w:rsid w:val="0087326D"/>
    <w:rsid w:val="00873C1C"/>
    <w:rsid w:val="00892EAE"/>
    <w:rsid w:val="008A1C4E"/>
    <w:rsid w:val="008B4F73"/>
    <w:rsid w:val="008D2271"/>
    <w:rsid w:val="008D3137"/>
    <w:rsid w:val="008D55C5"/>
    <w:rsid w:val="008E2591"/>
    <w:rsid w:val="008E4053"/>
    <w:rsid w:val="00914A03"/>
    <w:rsid w:val="009450D8"/>
    <w:rsid w:val="00951825"/>
    <w:rsid w:val="009708D0"/>
    <w:rsid w:val="00985077"/>
    <w:rsid w:val="009968CF"/>
    <w:rsid w:val="009C4E39"/>
    <w:rsid w:val="009C7D5E"/>
    <w:rsid w:val="009D03C6"/>
    <w:rsid w:val="009D2942"/>
    <w:rsid w:val="009E6763"/>
    <w:rsid w:val="009E6DC8"/>
    <w:rsid w:val="009F06FB"/>
    <w:rsid w:val="00A1597D"/>
    <w:rsid w:val="00A22790"/>
    <w:rsid w:val="00A26AB0"/>
    <w:rsid w:val="00A42E3A"/>
    <w:rsid w:val="00A90E6D"/>
    <w:rsid w:val="00AC2C97"/>
    <w:rsid w:val="00AD69AA"/>
    <w:rsid w:val="00AE6BE0"/>
    <w:rsid w:val="00AF0E37"/>
    <w:rsid w:val="00AF5966"/>
    <w:rsid w:val="00B10C6E"/>
    <w:rsid w:val="00B23292"/>
    <w:rsid w:val="00B41E6D"/>
    <w:rsid w:val="00B474B6"/>
    <w:rsid w:val="00B53963"/>
    <w:rsid w:val="00B73A82"/>
    <w:rsid w:val="00BA0200"/>
    <w:rsid w:val="00BB2A32"/>
    <w:rsid w:val="00BC47AB"/>
    <w:rsid w:val="00BD2AB1"/>
    <w:rsid w:val="00BE1FD4"/>
    <w:rsid w:val="00BE677A"/>
    <w:rsid w:val="00BF00A7"/>
    <w:rsid w:val="00BF33D9"/>
    <w:rsid w:val="00C11B10"/>
    <w:rsid w:val="00C338CA"/>
    <w:rsid w:val="00C50A0A"/>
    <w:rsid w:val="00C83525"/>
    <w:rsid w:val="00CA1729"/>
    <w:rsid w:val="00CA1DAE"/>
    <w:rsid w:val="00CE0DA0"/>
    <w:rsid w:val="00CF40B2"/>
    <w:rsid w:val="00D41D2D"/>
    <w:rsid w:val="00D70E79"/>
    <w:rsid w:val="00DB1DD4"/>
    <w:rsid w:val="00DB61B3"/>
    <w:rsid w:val="00DD1DFF"/>
    <w:rsid w:val="00DD38B2"/>
    <w:rsid w:val="00DF0231"/>
    <w:rsid w:val="00E17F78"/>
    <w:rsid w:val="00E52FB0"/>
    <w:rsid w:val="00E5666B"/>
    <w:rsid w:val="00E577DD"/>
    <w:rsid w:val="00E9184C"/>
    <w:rsid w:val="00EA4E79"/>
    <w:rsid w:val="00EA5149"/>
    <w:rsid w:val="00EB02DF"/>
    <w:rsid w:val="00EE6F45"/>
    <w:rsid w:val="00F0497C"/>
    <w:rsid w:val="00F076D1"/>
    <w:rsid w:val="00F12F0F"/>
    <w:rsid w:val="00F14AB2"/>
    <w:rsid w:val="00F303F4"/>
    <w:rsid w:val="00F413E7"/>
    <w:rsid w:val="00FA4943"/>
    <w:rsid w:val="00FC0F9D"/>
    <w:rsid w:val="00FC27EC"/>
    <w:rsid w:val="00FC3492"/>
    <w:rsid w:val="00FC6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63803196">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4302551">
      <w:bodyDiv w:val="1"/>
      <w:marLeft w:val="0"/>
      <w:marRight w:val="0"/>
      <w:marTop w:val="0"/>
      <w:marBottom w:val="0"/>
      <w:divBdr>
        <w:top w:val="none" w:sz="0" w:space="0" w:color="auto"/>
        <w:left w:val="none" w:sz="0" w:space="0" w:color="auto"/>
        <w:bottom w:val="none" w:sz="0" w:space="0" w:color="auto"/>
        <w:right w:val="none" w:sz="0" w:space="0" w:color="auto"/>
      </w:divBdr>
      <w:divsChild>
        <w:div w:id="2006321602">
          <w:marLeft w:val="547"/>
          <w:marRight w:val="0"/>
          <w:marTop w:val="134"/>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17614557">
      <w:bodyDiv w:val="1"/>
      <w:marLeft w:val="0"/>
      <w:marRight w:val="0"/>
      <w:marTop w:val="0"/>
      <w:marBottom w:val="0"/>
      <w:divBdr>
        <w:top w:val="none" w:sz="0" w:space="0" w:color="auto"/>
        <w:left w:val="none" w:sz="0" w:space="0" w:color="auto"/>
        <w:bottom w:val="none" w:sz="0" w:space="0" w:color="auto"/>
        <w:right w:val="none" w:sz="0" w:space="0" w:color="auto"/>
      </w:divBdr>
      <w:divsChild>
        <w:div w:id="698701343">
          <w:marLeft w:val="547"/>
          <w:marRight w:val="0"/>
          <w:marTop w:val="134"/>
          <w:marBottom w:val="0"/>
          <w:divBdr>
            <w:top w:val="none" w:sz="0" w:space="0" w:color="auto"/>
            <w:left w:val="none" w:sz="0" w:space="0" w:color="auto"/>
            <w:bottom w:val="none" w:sz="0" w:space="0" w:color="auto"/>
            <w:right w:val="none" w:sz="0" w:space="0" w:color="auto"/>
          </w:divBdr>
        </w:div>
        <w:div w:id="930548914">
          <w:marLeft w:val="1166"/>
          <w:marRight w:val="0"/>
          <w:marTop w:val="118"/>
          <w:marBottom w:val="0"/>
          <w:divBdr>
            <w:top w:val="none" w:sz="0" w:space="0" w:color="auto"/>
            <w:left w:val="none" w:sz="0" w:space="0" w:color="auto"/>
            <w:bottom w:val="none" w:sz="0" w:space="0" w:color="auto"/>
            <w:right w:val="none" w:sz="0" w:space="0" w:color="auto"/>
          </w:divBdr>
        </w:div>
        <w:div w:id="878395012">
          <w:marLeft w:val="1166"/>
          <w:marRight w:val="0"/>
          <w:marTop w:val="134"/>
          <w:marBottom w:val="0"/>
          <w:divBdr>
            <w:top w:val="none" w:sz="0" w:space="0" w:color="auto"/>
            <w:left w:val="none" w:sz="0" w:space="0" w:color="auto"/>
            <w:bottom w:val="none" w:sz="0" w:space="0" w:color="auto"/>
            <w:right w:val="none" w:sz="0" w:space="0" w:color="auto"/>
          </w:divBdr>
        </w:div>
        <w:div w:id="1387484556">
          <w:marLeft w:val="1166"/>
          <w:marRight w:val="0"/>
          <w:marTop w:val="134"/>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2060</TotalTime>
  <Pages>2</Pages>
  <Words>393</Words>
  <Characters>2245</Characters>
  <Application>Microsoft Office Word</Application>
  <DocSecurity>0</DocSecurity>
  <Lines>18</Lines>
  <Paragraphs>5</Paragraphs>
  <ScaleCrop>false</ScaleCrop>
  <Company>HUAWEI</Company>
  <LinksUpToDate>false</LinksUpToDate>
  <CharactersWithSpaces>2633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67</cp:revision>
  <dcterms:created xsi:type="dcterms:W3CDTF">2019-09-18T02:52:00Z</dcterms:created>
  <dcterms:modified xsi:type="dcterms:W3CDTF">2020-05-15T15:38:00Z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(3)ziLFST+6JQBwRE5PICOFOlijOPXZ1eGdfgBxZJhIyyYTBk3vEKdio5gD0wVsVU2Hfb5Wk7PZ
be2eAV70lXyNtFHVEcK22mzLcfmpZXvHdeeWBpH5vikfYN+9aHcPwBt2PnWXaHq5/yCizRVd
LJQC3D4kKfsJnZO8eGyAIBYm0aIvcnuTi/xGvgEUCj/H/kmKS6808fiptZTEpFq194BIorE0
jm8cdWjKaNDukLkUEG</vt:lpwstr>
  </property>
  <property fmtid="{D5CDD505-2E9C-101B-9397-08002B2CF9AE}" pid="3" name="_2015_ms_pID_7253431">
    <vt:lpwstr>mJ3Kez4iMxC3AsgG9YImvnHDWNW1snBZE6iF6McRHhU/9MvzelHNkL
kfJNglIuhKMIj8fxD7q7cxe8objRk4jnL9ZPzSu+93nJR8CiHrd8wfHgHRTlqsvyLw3KLPKU
YimvLSzHI+Xzm8as+rB9alGbPJAiNz5K33NjieS1DTbu6c4cc+yIGU8bTRsElNB8F+aHRIKC
F6bG90NVsPoBogt3W/A/iNuXLoU9v4PoVxIc</vt:lpwstr>
  </property>
  <property fmtid="{D5CDD505-2E9C-101B-9397-08002B2CF9AE}" pid="4" name="_2015_ms_pID_7253432">
    <vt:lpwstr>9iSHisfiupH/iFjveg1mTDE=</vt:lpwstr>
  </property>
</Properties>
</file>