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44FA" w:rsidRPr="00C94DBE" w:rsidRDefault="006344FA" w:rsidP="006344FA">
      <w:pPr>
        <w:pStyle w:val="a"/>
        <w:rPr>
          <w:rFonts w:eastAsia="SimSun" w:cs="Arial"/>
          <w:lang w:eastAsia="zh-CN"/>
        </w:rPr>
      </w:pPr>
      <w:r w:rsidRPr="00C94DBE">
        <w:rPr>
          <w:rFonts w:cs="Arial"/>
        </w:rPr>
        <w:t>3GPP TSG-RAN WG4 Meeting #</w:t>
      </w:r>
      <w:r w:rsidRPr="00C94DBE">
        <w:rPr>
          <w:rFonts w:eastAsia="SimSun" w:cs="Arial"/>
          <w:lang w:eastAsia="zh-CN"/>
        </w:rPr>
        <w:t>9</w:t>
      </w:r>
      <w:r>
        <w:rPr>
          <w:rFonts w:eastAsia="SimSun" w:cs="Arial" w:hint="eastAsia"/>
          <w:lang w:eastAsia="zh-CN"/>
        </w:rPr>
        <w:t>4-e</w:t>
      </w:r>
      <w:r>
        <w:rPr>
          <w:rFonts w:eastAsia="SimSun" w:cs="Arial"/>
          <w:lang w:eastAsia="zh-CN"/>
        </w:rPr>
        <w:t>-bis</w:t>
      </w:r>
      <w:r>
        <w:rPr>
          <w:rFonts w:eastAsia="SimSun" w:cs="Arial" w:hint="eastAsia"/>
          <w:lang w:eastAsia="zh-CN"/>
        </w:rPr>
        <w:t xml:space="preserve">                                </w:t>
      </w:r>
      <w:r>
        <w:rPr>
          <w:rFonts w:eastAsia="SimSun" w:cs="Arial"/>
          <w:lang w:eastAsia="zh-CN"/>
        </w:rPr>
        <w:t xml:space="preserve">                                </w:t>
      </w:r>
      <w:r>
        <w:rPr>
          <w:rFonts w:eastAsia="SimSun" w:cs="Arial" w:hint="eastAsia"/>
          <w:lang w:eastAsia="zh-CN"/>
        </w:rPr>
        <w:t xml:space="preserve">       R4-200</w:t>
      </w:r>
      <w:r w:rsidR="00860F39">
        <w:rPr>
          <w:rFonts w:eastAsia="SimSun" w:cs="Arial"/>
          <w:lang w:eastAsia="zh-CN"/>
        </w:rPr>
        <w:t>5029</w:t>
      </w:r>
      <w:bookmarkStart w:id="0" w:name="_GoBack"/>
      <w:bookmarkEnd w:id="0"/>
      <w:r w:rsidRPr="00C94DBE">
        <w:rPr>
          <w:rFonts w:eastAsia="SimSun" w:cs="Arial"/>
          <w:lang w:eastAsia="zh-CN"/>
        </w:rPr>
        <w:t xml:space="preserve">                                       </w:t>
      </w:r>
      <w:r>
        <w:rPr>
          <w:rFonts w:eastAsia="SimSun" w:cs="Arial"/>
          <w:lang w:eastAsia="zh-CN"/>
        </w:rPr>
        <w:t xml:space="preserve">                             </w:t>
      </w:r>
    </w:p>
    <w:p w:rsidR="006344FA" w:rsidRPr="00051CD8" w:rsidRDefault="006344FA" w:rsidP="006344FA">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20</w:t>
      </w:r>
      <w:r w:rsidRPr="00F02CB0">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30</w:t>
      </w:r>
      <w:r>
        <w:rPr>
          <w:rFonts w:cs="Arial"/>
          <w:vertAlign w:val="superscript"/>
        </w:rPr>
        <w:t>th</w:t>
      </w:r>
      <w:r>
        <w:rPr>
          <w:rFonts w:eastAsiaTheme="minorEastAsia" w:cs="Arial" w:hint="eastAsia"/>
          <w:lang w:eastAsia="zh-CN"/>
        </w:rPr>
        <w:t xml:space="preserve"> </w:t>
      </w:r>
      <w:r>
        <w:rPr>
          <w:rFonts w:eastAsiaTheme="minorEastAsia" w:cs="Arial"/>
          <w:lang w:eastAsia="zh-CN"/>
        </w:rPr>
        <w:t>Ap</w:t>
      </w:r>
      <w:r>
        <w:rPr>
          <w:rFonts w:eastAsiaTheme="minorEastAsia" w:cs="Arial" w:hint="eastAsia"/>
          <w:lang w:eastAsia="zh-CN"/>
        </w:rPr>
        <w:t>r</w:t>
      </w:r>
      <w:r>
        <w:rPr>
          <w:rFonts w:eastAsiaTheme="minorEastAsia" w:cs="Arial"/>
          <w:lang w:eastAsia="zh-CN"/>
        </w:rPr>
        <w:t>il</w:t>
      </w:r>
      <w:r w:rsidRPr="00051CD8">
        <w:rPr>
          <w:rFonts w:cs="Arial"/>
        </w:rPr>
        <w:t>, 20</w:t>
      </w:r>
      <w:r>
        <w:rPr>
          <w:rFonts w:eastAsiaTheme="minorEastAsia" w:cs="Arial" w:hint="eastAsia"/>
          <w:lang w:eastAsia="zh-CN"/>
        </w:rPr>
        <w:t>20</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SimSun" w:hAnsi="Arial" w:cs="Arial"/>
          <w:b/>
          <w:noProof/>
          <w:kern w:val="0"/>
          <w:sz w:val="22"/>
          <w:szCs w:val="22"/>
          <w:lang w:val="en-GB"/>
        </w:rPr>
      </w:pPr>
      <w:r w:rsidRPr="003F6833">
        <w:rPr>
          <w:rFonts w:ascii="Arial" w:eastAsia="SimSun" w:hAnsi="Arial" w:cs="Arial"/>
          <w:b/>
          <w:noProof/>
          <w:kern w:val="0"/>
          <w:sz w:val="22"/>
          <w:szCs w:val="22"/>
          <w:lang w:val="en-GB" w:eastAsia="en-US"/>
        </w:rPr>
        <w:tab/>
      </w:r>
    </w:p>
    <w:p w:rsidR="003F6833" w:rsidRPr="006344FA"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SimSun" w:hAnsi="Arial" w:cs="Arial"/>
          <w:noProof/>
          <w:kern w:val="0"/>
          <w:sz w:val="22"/>
          <w:szCs w:val="22"/>
          <w:lang w:val="en-GB" w:eastAsia="en-US"/>
        </w:rPr>
      </w:pPr>
      <w:r w:rsidRPr="003F6833">
        <w:rPr>
          <w:rFonts w:ascii="Arial" w:eastAsia="SimSun" w:hAnsi="Arial" w:cs="Arial"/>
          <w:b/>
          <w:noProof/>
          <w:kern w:val="0"/>
          <w:sz w:val="22"/>
          <w:szCs w:val="22"/>
          <w:lang w:val="en-GB" w:eastAsia="en-US"/>
        </w:rPr>
        <w:t xml:space="preserve">Source: </w:t>
      </w:r>
      <w:r w:rsidRPr="003F6833">
        <w:rPr>
          <w:rFonts w:ascii="Arial" w:eastAsia="SimSun" w:hAnsi="Arial" w:cs="Arial"/>
          <w:b/>
          <w:noProof/>
          <w:kern w:val="0"/>
          <w:sz w:val="22"/>
          <w:szCs w:val="22"/>
          <w:lang w:val="en-GB"/>
        </w:rPr>
        <w:t xml:space="preserve">     </w:t>
      </w:r>
      <w:r w:rsidRPr="006344FA">
        <w:rPr>
          <w:rFonts w:ascii="Arial" w:eastAsia="SimSun" w:hAnsi="Arial" w:cs="Arial"/>
          <w:noProof/>
          <w:kern w:val="0"/>
          <w:sz w:val="22"/>
          <w:szCs w:val="22"/>
          <w:lang w:val="en-GB"/>
        </w:rPr>
        <w:t xml:space="preserve">  </w:t>
      </w:r>
      <w:r w:rsidRPr="006344FA">
        <w:rPr>
          <w:rFonts w:ascii="Arial" w:eastAsia="SimSun" w:hAnsi="Arial" w:cs="Arial"/>
          <w:noProof/>
          <w:kern w:val="0"/>
          <w:sz w:val="22"/>
          <w:szCs w:val="22"/>
          <w:lang w:val="en-GB" w:eastAsia="en-US"/>
        </w:rPr>
        <w:t>Samsung</w:t>
      </w:r>
    </w:p>
    <w:p w:rsidR="00FF76F4" w:rsidRDefault="00FF76F4" w:rsidP="000F5165">
      <w:pPr>
        <w:jc w:val="left"/>
        <w:rPr>
          <w:rFonts w:ascii="Arial" w:eastAsia="SimSun" w:hAnsi="Arial" w:cs="Arial"/>
          <w:b/>
          <w:noProof/>
          <w:kern w:val="0"/>
          <w:sz w:val="22"/>
          <w:lang w:val="en-GB"/>
        </w:rPr>
      </w:pPr>
      <w:r w:rsidRPr="003F6833">
        <w:rPr>
          <w:rFonts w:ascii="Arial" w:eastAsia="SimSun" w:hAnsi="Arial" w:cs="Arial"/>
          <w:b/>
          <w:noProof/>
          <w:kern w:val="0"/>
          <w:sz w:val="22"/>
          <w:lang w:val="en-GB" w:eastAsia="en-US"/>
        </w:rPr>
        <w:t xml:space="preserve">Title: </w:t>
      </w:r>
      <w:r w:rsidRPr="003F6833">
        <w:rPr>
          <w:rFonts w:ascii="Arial" w:eastAsia="SimSun" w:hAnsi="Arial" w:cs="Arial" w:hint="eastAsia"/>
          <w:b/>
          <w:noProof/>
          <w:kern w:val="0"/>
          <w:sz w:val="22"/>
          <w:lang w:val="en-GB" w:eastAsia="en-US"/>
        </w:rPr>
        <w:t xml:space="preserve">       </w:t>
      </w:r>
      <w:r w:rsidR="00BC684D">
        <w:rPr>
          <w:rFonts w:ascii="Arial" w:eastAsia="SimSun" w:hAnsi="Arial" w:cs="Arial"/>
          <w:b/>
          <w:noProof/>
          <w:kern w:val="0"/>
          <w:sz w:val="22"/>
          <w:lang w:val="en-GB" w:eastAsia="en-US"/>
        </w:rPr>
        <w:t xml:space="preserve"> </w:t>
      </w:r>
      <w:r w:rsidRPr="003F6833">
        <w:rPr>
          <w:rFonts w:ascii="Arial" w:eastAsia="SimSun" w:hAnsi="Arial" w:cs="Arial" w:hint="eastAsia"/>
          <w:b/>
          <w:noProof/>
          <w:kern w:val="0"/>
          <w:sz w:val="22"/>
          <w:lang w:val="en-GB" w:eastAsia="en-US"/>
        </w:rPr>
        <w:t xml:space="preserve"> </w:t>
      </w:r>
      <w:r w:rsidR="00197EF8" w:rsidRPr="006344FA">
        <w:rPr>
          <w:rFonts w:ascii="Arial" w:eastAsia="SimSun" w:hAnsi="Arial" w:cs="Arial" w:hint="eastAsia"/>
          <w:noProof/>
          <w:kern w:val="0"/>
          <w:sz w:val="22"/>
          <w:lang w:val="en-GB"/>
        </w:rPr>
        <w:t xml:space="preserve"> </w:t>
      </w:r>
      <w:r w:rsidR="00BC684D" w:rsidRPr="006344FA">
        <w:rPr>
          <w:rFonts w:ascii="Arial" w:eastAsia="SimSun" w:hAnsi="Arial" w:cs="Arial"/>
          <w:noProof/>
          <w:kern w:val="0"/>
          <w:sz w:val="22"/>
          <w:lang w:val="en-GB"/>
        </w:rPr>
        <w:t xml:space="preserve">IAB-MT mandatory feature </w:t>
      </w:r>
    </w:p>
    <w:p w:rsidR="008E1C42" w:rsidRPr="006344FA" w:rsidRDefault="008E1C42" w:rsidP="000F5165">
      <w:pPr>
        <w:jc w:val="left"/>
        <w:rPr>
          <w:rFonts w:ascii="Arial" w:eastAsia="SimSun" w:hAnsi="Arial" w:cs="Arial"/>
          <w:noProof/>
          <w:kern w:val="0"/>
          <w:sz w:val="22"/>
          <w:lang w:val="en-GB"/>
        </w:rPr>
      </w:pPr>
      <w:r>
        <w:rPr>
          <w:rFonts w:ascii="Arial" w:eastAsia="SimSun" w:hAnsi="Arial" w:cs="Arial"/>
          <w:b/>
          <w:noProof/>
          <w:kern w:val="0"/>
          <w:sz w:val="22"/>
          <w:lang w:val="en-GB"/>
        </w:rPr>
        <w:t xml:space="preserve">Agenda:      </w:t>
      </w:r>
      <w:r w:rsidR="00BC684D">
        <w:rPr>
          <w:rFonts w:ascii="Arial" w:eastAsia="SimSun" w:hAnsi="Arial" w:cs="Arial"/>
          <w:b/>
          <w:noProof/>
          <w:kern w:val="0"/>
          <w:sz w:val="22"/>
          <w:lang w:val="en-GB"/>
        </w:rPr>
        <w:t xml:space="preserve"> </w:t>
      </w:r>
      <w:r w:rsidRPr="006344FA">
        <w:rPr>
          <w:rFonts w:ascii="Arial" w:eastAsia="SimSun" w:hAnsi="Arial" w:cs="Arial"/>
          <w:noProof/>
          <w:kern w:val="0"/>
          <w:sz w:val="22"/>
          <w:lang w:val="en-GB"/>
        </w:rPr>
        <w:t xml:space="preserve"> 6.5.1.3</w:t>
      </w:r>
    </w:p>
    <w:p w:rsidR="00FF76F4" w:rsidRPr="006344FA"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SimSun" w:hAnsi="Arial" w:cs="Arial"/>
          <w:noProof/>
          <w:kern w:val="0"/>
          <w:sz w:val="22"/>
          <w:szCs w:val="22"/>
          <w:lang w:val="en-GB"/>
        </w:rPr>
      </w:pPr>
      <w:r w:rsidRPr="003F6833">
        <w:rPr>
          <w:rFonts w:ascii="Arial" w:eastAsia="SimSun" w:hAnsi="Arial" w:cs="Arial"/>
          <w:b/>
          <w:noProof/>
          <w:kern w:val="0"/>
          <w:sz w:val="22"/>
          <w:szCs w:val="22"/>
          <w:lang w:val="en-GB" w:eastAsia="en-US"/>
        </w:rPr>
        <w:t>Document for:</w:t>
      </w:r>
      <w:r w:rsidRPr="003F6833">
        <w:rPr>
          <w:rFonts w:ascii="Arial" w:eastAsia="SimSun" w:hAnsi="Arial" w:cs="Arial" w:hint="eastAsia"/>
          <w:b/>
          <w:noProof/>
          <w:kern w:val="0"/>
          <w:sz w:val="22"/>
          <w:szCs w:val="22"/>
          <w:lang w:val="en-GB" w:eastAsia="en-US"/>
        </w:rPr>
        <w:t xml:space="preserve"> </w:t>
      </w:r>
      <w:r w:rsidR="00E75A88">
        <w:rPr>
          <w:rFonts w:ascii="Arial" w:eastAsia="SimSun" w:hAnsi="Arial" w:cs="Arial" w:hint="eastAsia"/>
          <w:b/>
          <w:noProof/>
          <w:kern w:val="0"/>
          <w:sz w:val="22"/>
          <w:szCs w:val="22"/>
          <w:lang w:val="en-GB"/>
        </w:rPr>
        <w:t xml:space="preserve"> </w:t>
      </w:r>
      <w:r w:rsidR="00F71A3A" w:rsidRPr="006344FA">
        <w:rPr>
          <w:rFonts w:ascii="Arial" w:eastAsia="SimSun" w:hAnsi="Arial" w:cs="Arial" w:hint="eastAsia"/>
          <w:noProof/>
          <w:kern w:val="0"/>
          <w:sz w:val="22"/>
          <w:szCs w:val="22"/>
          <w:lang w:val="en-GB"/>
        </w:rPr>
        <w:t>Approval</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Default="00FB2FF5" w:rsidP="001455C3">
      <w:pPr>
        <w:rPr>
          <w:szCs w:val="21"/>
        </w:rPr>
      </w:pPr>
      <w:r>
        <w:rPr>
          <w:szCs w:val="21"/>
        </w:rPr>
        <w:t>In RAN</w:t>
      </w:r>
      <w:r w:rsidR="00A76422">
        <w:rPr>
          <w:szCs w:val="21"/>
        </w:rPr>
        <w:t xml:space="preserve">#87e there was extensive discussion on whether IAB-MT will comply with Rel-15 UE mandatory feature list. Due to diverse views from companies, no agreement achieved. Hence it is suggested to  </w:t>
      </w:r>
    </w:p>
    <w:p w:rsidR="00A76422" w:rsidRPr="00A76422" w:rsidRDefault="00A76422" w:rsidP="00A76422">
      <w:pPr>
        <w:pStyle w:val="ListParagraph"/>
        <w:numPr>
          <w:ilvl w:val="0"/>
          <w:numId w:val="34"/>
        </w:numPr>
        <w:ind w:firstLineChars="0"/>
        <w:jc w:val="both"/>
        <w:rPr>
          <w:rFonts w:asciiTheme="minorHAnsi" w:eastAsiaTheme="minorEastAsia" w:hAnsiTheme="minorHAnsi" w:cstheme="minorBidi"/>
          <w:kern w:val="2"/>
          <w:sz w:val="21"/>
          <w:szCs w:val="21"/>
        </w:rPr>
      </w:pPr>
      <w:r w:rsidRPr="00A76422">
        <w:rPr>
          <w:rFonts w:asciiTheme="minorHAnsi" w:eastAsiaTheme="minorEastAsia" w:hAnsiTheme="minorHAnsi" w:cstheme="minorBidi"/>
          <w:kern w:val="2"/>
          <w:sz w:val="21"/>
          <w:szCs w:val="21"/>
        </w:rPr>
        <w:t>RAN WGs to investigate which of the mandatory Rel-15 UE features (as defined in TR 38.822) can be optional for basic operation (and if found useful, for different classes of IAB-MTs as being defined by RAN4).</w:t>
      </w:r>
    </w:p>
    <w:p w:rsidR="00A76422" w:rsidRPr="00A76422" w:rsidRDefault="00A76422" w:rsidP="00A76422">
      <w:pPr>
        <w:pStyle w:val="ListParagraph"/>
        <w:numPr>
          <w:ilvl w:val="0"/>
          <w:numId w:val="34"/>
        </w:numPr>
        <w:ind w:firstLineChars="0"/>
        <w:jc w:val="both"/>
        <w:rPr>
          <w:rFonts w:asciiTheme="minorHAnsi" w:eastAsiaTheme="minorEastAsia" w:hAnsiTheme="minorHAnsi" w:cstheme="minorBidi"/>
          <w:kern w:val="2"/>
          <w:sz w:val="21"/>
          <w:szCs w:val="21"/>
        </w:rPr>
      </w:pPr>
      <w:r w:rsidRPr="00A76422">
        <w:rPr>
          <w:rFonts w:asciiTheme="minorHAnsi" w:eastAsiaTheme="minorEastAsia" w:hAnsiTheme="minorHAnsi" w:cstheme="minorBidi"/>
          <w:kern w:val="2"/>
          <w:sz w:val="21"/>
          <w:szCs w:val="21"/>
        </w:rPr>
        <w:t>RAN WGs should strive to minimize specification impact.</w:t>
      </w:r>
    </w:p>
    <w:p w:rsidR="00A76422" w:rsidRDefault="00A76422" w:rsidP="001455C3">
      <w:pPr>
        <w:rPr>
          <w:szCs w:val="21"/>
        </w:rPr>
      </w:pPr>
      <w:r>
        <w:rPr>
          <w:rFonts w:hint="eastAsia"/>
          <w:szCs w:val="21"/>
        </w:rPr>
        <w:t>T</w:t>
      </w:r>
      <w:r>
        <w:rPr>
          <w:szCs w:val="21"/>
        </w:rPr>
        <w:t xml:space="preserve">his contribution provides our understanding on this aspect. In discussion part, the RAN4 related RRM and RF mandatory features captured in table 4.3-1 of TR38.822 are abstracted in two tables as for system parameter and RF aspect respectively since no mandatory feature under list of baseband feature. </w:t>
      </w:r>
    </w:p>
    <w:p w:rsidR="00F02DC4" w:rsidRDefault="00FB2FF5" w:rsidP="00DF4456">
      <w:pPr>
        <w:pStyle w:val="Heading1"/>
        <w:rPr>
          <w:rFonts w:cs="Arial"/>
          <w:lang w:eastAsia="zh-CN"/>
        </w:rPr>
      </w:pPr>
      <w:r>
        <w:rPr>
          <w:rFonts w:cs="Arial" w:hint="eastAsia"/>
          <w:lang w:eastAsia="zh-CN"/>
        </w:rPr>
        <w:t>D</w:t>
      </w:r>
      <w:r>
        <w:rPr>
          <w:rFonts w:cs="Arial"/>
          <w:lang w:eastAsia="zh-CN"/>
        </w:rPr>
        <w:t>iscussion</w:t>
      </w:r>
    </w:p>
    <w:p w:rsidR="008E1C42" w:rsidRPr="00003C69" w:rsidRDefault="00003C69" w:rsidP="008E1C42">
      <w:pPr>
        <w:rPr>
          <w:b/>
          <w:lang w:val="en-GB"/>
        </w:rPr>
      </w:pPr>
      <w:r w:rsidRPr="00003C69">
        <w:rPr>
          <w:rFonts w:hint="eastAsia"/>
          <w:b/>
          <w:lang w:val="en-GB"/>
        </w:rPr>
        <w:t>T</w:t>
      </w:r>
      <w:r w:rsidRPr="00003C69">
        <w:rPr>
          <w:b/>
          <w:lang w:val="en-GB"/>
        </w:rPr>
        <w:t xml:space="preserve">able 1: Mandatory feature review on system parameters </w:t>
      </w:r>
    </w:p>
    <w:tbl>
      <w:tblPr>
        <w:tblW w:w="5000" w:type="pct"/>
        <w:tblLook w:val="04A0" w:firstRow="1" w:lastRow="0" w:firstColumn="1" w:lastColumn="0" w:noHBand="0" w:noVBand="1"/>
      </w:tblPr>
      <w:tblGrid>
        <w:gridCol w:w="797"/>
        <w:gridCol w:w="3188"/>
        <w:gridCol w:w="2592"/>
        <w:gridCol w:w="1783"/>
        <w:gridCol w:w="5588"/>
      </w:tblGrid>
      <w:tr w:rsidR="00C93C35" w:rsidRPr="00C93C35" w:rsidTr="00C93C35">
        <w:trPr>
          <w:trHeight w:val="280"/>
        </w:trPr>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3C35" w:rsidRPr="008818BC" w:rsidRDefault="00C93C35" w:rsidP="00F40C58">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Index in 38.822</w:t>
            </w:r>
          </w:p>
        </w:tc>
        <w:tc>
          <w:tcPr>
            <w:tcW w:w="1143" w:type="pct"/>
            <w:tcBorders>
              <w:top w:val="single" w:sz="4" w:space="0" w:color="auto"/>
              <w:left w:val="nil"/>
              <w:bottom w:val="single" w:sz="4" w:space="0" w:color="auto"/>
              <w:right w:val="single" w:sz="4" w:space="0" w:color="auto"/>
            </w:tcBorders>
            <w:shd w:val="clear" w:color="auto" w:fill="auto"/>
            <w:vAlign w:val="center"/>
            <w:hideMark/>
          </w:tcPr>
          <w:p w:rsidR="00C93C35" w:rsidRPr="008818BC" w:rsidRDefault="00C93C35" w:rsidP="00F40C58">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 xml:space="preserve">Feature group </w:t>
            </w:r>
          </w:p>
        </w:tc>
        <w:tc>
          <w:tcPr>
            <w:tcW w:w="929" w:type="pct"/>
            <w:tcBorders>
              <w:top w:val="single" w:sz="4" w:space="0" w:color="auto"/>
              <w:left w:val="nil"/>
              <w:bottom w:val="single" w:sz="4" w:space="0" w:color="auto"/>
              <w:right w:val="single" w:sz="4" w:space="0" w:color="auto"/>
            </w:tcBorders>
            <w:shd w:val="clear" w:color="auto" w:fill="auto"/>
            <w:vAlign w:val="center"/>
            <w:hideMark/>
          </w:tcPr>
          <w:p w:rsidR="00C93C35" w:rsidRPr="008818BC" w:rsidRDefault="00C93C35" w:rsidP="00F40C58">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 xml:space="preserve">Mandatory type </w:t>
            </w:r>
          </w:p>
        </w:tc>
        <w:tc>
          <w:tcPr>
            <w:tcW w:w="639" w:type="pct"/>
            <w:tcBorders>
              <w:top w:val="single" w:sz="4" w:space="0" w:color="auto"/>
              <w:left w:val="nil"/>
              <w:bottom w:val="single" w:sz="4" w:space="0" w:color="auto"/>
              <w:right w:val="single" w:sz="4" w:space="0" w:color="auto"/>
            </w:tcBorders>
          </w:tcPr>
          <w:p w:rsidR="00C93C35" w:rsidRPr="00C93C35" w:rsidRDefault="00C93C35" w:rsidP="00F40C58">
            <w:pPr>
              <w:widowControl/>
              <w:jc w:val="left"/>
              <w:rPr>
                <w:rFonts w:ascii="Arial" w:eastAsia="DengXian" w:hAnsi="Arial" w:cs="Arial"/>
                <w:b/>
                <w:color w:val="000000"/>
                <w:kern w:val="0"/>
                <w:sz w:val="18"/>
                <w:szCs w:val="18"/>
              </w:rPr>
            </w:pPr>
            <w:r>
              <w:rPr>
                <w:rFonts w:ascii="Arial" w:eastAsia="DengXian" w:hAnsi="Arial" w:cs="Arial"/>
                <w:b/>
                <w:color w:val="000000"/>
                <w:kern w:val="0"/>
                <w:sz w:val="18"/>
                <w:szCs w:val="18"/>
              </w:rPr>
              <w:t>Optional for IAB-MT or not?</w:t>
            </w:r>
          </w:p>
        </w:tc>
        <w:tc>
          <w:tcPr>
            <w:tcW w:w="2003" w:type="pct"/>
            <w:tcBorders>
              <w:top w:val="single" w:sz="4" w:space="0" w:color="auto"/>
              <w:left w:val="nil"/>
              <w:bottom w:val="single" w:sz="4" w:space="0" w:color="auto"/>
              <w:right w:val="single" w:sz="4" w:space="0" w:color="auto"/>
            </w:tcBorders>
          </w:tcPr>
          <w:p w:rsidR="00C93C35" w:rsidRPr="00C93C35" w:rsidRDefault="00C93C35" w:rsidP="00F40C58">
            <w:pPr>
              <w:widowControl/>
              <w:jc w:val="left"/>
              <w:rPr>
                <w:rFonts w:ascii="Arial" w:eastAsia="DengXian" w:hAnsi="Arial" w:cs="Arial"/>
                <w:b/>
                <w:color w:val="000000"/>
                <w:kern w:val="0"/>
                <w:sz w:val="18"/>
                <w:szCs w:val="18"/>
              </w:rPr>
            </w:pPr>
            <w:r>
              <w:rPr>
                <w:rFonts w:ascii="Arial" w:eastAsia="DengXian" w:hAnsi="Arial" w:cs="Arial"/>
                <w:b/>
                <w:color w:val="000000"/>
                <w:kern w:val="0"/>
                <w:sz w:val="18"/>
                <w:szCs w:val="18"/>
              </w:rPr>
              <w:t xml:space="preserve">Consideration  </w:t>
            </w:r>
          </w:p>
        </w:tc>
      </w:tr>
      <w:tr w:rsidR="008818BC" w:rsidRPr="008818BC" w:rsidTr="00C93C35">
        <w:trPr>
          <w:trHeight w:val="280"/>
        </w:trPr>
        <w:tc>
          <w:tcPr>
            <w:tcW w:w="2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t>1-2</w:t>
            </w:r>
          </w:p>
        </w:tc>
        <w:tc>
          <w:tcPr>
            <w:tcW w:w="1143" w:type="pct"/>
            <w:tcBorders>
              <w:top w:val="single" w:sz="4" w:space="0" w:color="auto"/>
              <w:left w:val="nil"/>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t>64QAM modulation for FR2 PDSCH</w:t>
            </w:r>
          </w:p>
        </w:tc>
        <w:tc>
          <w:tcPr>
            <w:tcW w:w="929" w:type="pct"/>
            <w:tcBorders>
              <w:top w:val="single" w:sz="4" w:space="0" w:color="auto"/>
              <w:left w:val="nil"/>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t xml:space="preserve">Mandatory without capability </w:t>
            </w:r>
            <w:r w:rsidR="00DD69E3" w:rsidRPr="008818BC">
              <w:rPr>
                <w:rFonts w:ascii="Arial" w:eastAsia="DengXian" w:hAnsi="Arial" w:cs="Arial"/>
                <w:color w:val="000000"/>
                <w:kern w:val="0"/>
                <w:sz w:val="18"/>
                <w:szCs w:val="18"/>
              </w:rPr>
              <w:t>signa</w:t>
            </w:r>
            <w:r w:rsidR="00DD69E3">
              <w:rPr>
                <w:rFonts w:ascii="Arial" w:eastAsia="DengXian" w:hAnsi="Arial" w:cs="Arial"/>
                <w:color w:val="000000"/>
                <w:kern w:val="0"/>
                <w:sz w:val="18"/>
                <w:szCs w:val="18"/>
              </w:rPr>
              <w:t>l</w:t>
            </w:r>
            <w:r w:rsidR="00DD69E3" w:rsidRPr="008818BC">
              <w:rPr>
                <w:rFonts w:ascii="Arial" w:eastAsia="DengXian" w:hAnsi="Arial" w:cs="Arial"/>
                <w:color w:val="000000"/>
                <w:kern w:val="0"/>
                <w:sz w:val="18"/>
                <w:szCs w:val="18"/>
              </w:rPr>
              <w:t>ling</w:t>
            </w:r>
          </w:p>
        </w:tc>
        <w:tc>
          <w:tcPr>
            <w:tcW w:w="639" w:type="pct"/>
            <w:tcBorders>
              <w:top w:val="single" w:sz="4" w:space="0" w:color="auto"/>
              <w:left w:val="nil"/>
              <w:bottom w:val="single" w:sz="4" w:space="0" w:color="auto"/>
              <w:right w:val="single" w:sz="4" w:space="0" w:color="auto"/>
            </w:tcBorders>
          </w:tcPr>
          <w:p w:rsidR="008818BC" w:rsidRPr="008818BC" w:rsidRDefault="00C93C35" w:rsidP="008818B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single" w:sz="4" w:space="0" w:color="auto"/>
              <w:left w:val="nil"/>
              <w:bottom w:val="single" w:sz="4" w:space="0" w:color="auto"/>
              <w:right w:val="single" w:sz="4" w:space="0" w:color="auto"/>
            </w:tcBorders>
          </w:tcPr>
          <w:p w:rsidR="008818BC" w:rsidRPr="008818BC" w:rsidRDefault="00DD69E3" w:rsidP="00510E9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This is fundamental feature should be mandatory supported by IAB-MT as well.</w:t>
            </w:r>
            <w:r w:rsidR="00510E9C" w:rsidRPr="00510E9C">
              <w:rPr>
                <w:rFonts w:ascii="Arial" w:eastAsia="DengXian" w:hAnsi="Arial" w:cs="Arial" w:hint="eastAsia"/>
                <w:color w:val="000000"/>
                <w:kern w:val="0"/>
                <w:sz w:val="18"/>
                <w:szCs w:val="18"/>
              </w:rPr>
              <w:t xml:space="preserve"> </w:t>
            </w:r>
            <w:r w:rsidR="00510E9C" w:rsidRPr="00510E9C">
              <w:rPr>
                <w:rFonts w:ascii="Arial" w:eastAsia="DengXian" w:hAnsi="Arial" w:cs="Arial"/>
                <w:color w:val="000000"/>
                <w:kern w:val="0"/>
                <w:sz w:val="18"/>
                <w:szCs w:val="18"/>
              </w:rPr>
              <w:t>Ot</w:t>
            </w:r>
            <w:r w:rsidR="00510E9C" w:rsidRPr="00510E9C">
              <w:rPr>
                <w:rFonts w:ascii="Arial" w:eastAsia="DengXian" w:hAnsi="Arial" w:cs="Arial" w:hint="eastAsia"/>
                <w:color w:val="000000"/>
                <w:kern w:val="0"/>
                <w:sz w:val="18"/>
                <w:szCs w:val="18"/>
              </w:rPr>
              <w:t xml:space="preserve">herwise, new capability signalling have to </w:t>
            </w:r>
            <w:r w:rsidR="00510E9C" w:rsidRPr="00510E9C">
              <w:rPr>
                <w:rFonts w:ascii="Arial" w:eastAsia="DengXian" w:hAnsi="Arial" w:cs="Arial"/>
                <w:color w:val="000000"/>
                <w:kern w:val="0"/>
                <w:sz w:val="18"/>
                <w:szCs w:val="18"/>
              </w:rPr>
              <w:t xml:space="preserve">be </w:t>
            </w:r>
            <w:r w:rsidR="00510E9C" w:rsidRPr="00510E9C">
              <w:rPr>
                <w:rFonts w:ascii="Arial" w:eastAsia="DengXian" w:hAnsi="Arial" w:cs="Arial" w:hint="eastAsia"/>
                <w:color w:val="000000"/>
                <w:kern w:val="0"/>
                <w:sz w:val="18"/>
                <w:szCs w:val="18"/>
              </w:rPr>
              <w:t>discussed</w:t>
            </w:r>
            <w:r w:rsidR="00510E9C" w:rsidRPr="00510E9C">
              <w:rPr>
                <w:rFonts w:ascii="Arial" w:eastAsia="DengXian" w:hAnsi="Arial" w:cs="Arial"/>
                <w:color w:val="000000"/>
                <w:kern w:val="0"/>
                <w:sz w:val="18"/>
                <w:szCs w:val="18"/>
              </w:rPr>
              <w:t xml:space="preserve"> which is not aligned with RAN-P guideline to minimize the spec impact.  </w:t>
            </w:r>
          </w:p>
        </w:tc>
      </w:tr>
      <w:tr w:rsidR="008818BC"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lastRenderedPageBreak/>
              <w:t>1-3</w:t>
            </w:r>
          </w:p>
        </w:tc>
        <w:tc>
          <w:tcPr>
            <w:tcW w:w="1143" w:type="pct"/>
            <w:tcBorders>
              <w:top w:val="nil"/>
              <w:left w:val="nil"/>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t>64QAM for PUSCH</w:t>
            </w:r>
          </w:p>
        </w:tc>
        <w:tc>
          <w:tcPr>
            <w:tcW w:w="929" w:type="pct"/>
            <w:tcBorders>
              <w:top w:val="nil"/>
              <w:left w:val="nil"/>
              <w:bottom w:val="single" w:sz="4" w:space="0" w:color="auto"/>
              <w:right w:val="single" w:sz="4" w:space="0" w:color="auto"/>
            </w:tcBorders>
            <w:shd w:val="clear" w:color="auto" w:fill="auto"/>
            <w:vAlign w:val="center"/>
            <w:hideMark/>
          </w:tcPr>
          <w:p w:rsidR="008818BC" w:rsidRPr="008818BC" w:rsidRDefault="008818BC" w:rsidP="008818BC">
            <w:pPr>
              <w:widowControl/>
              <w:jc w:val="left"/>
              <w:rPr>
                <w:rFonts w:ascii="Arial" w:eastAsia="DengXian" w:hAnsi="Arial" w:cs="Arial"/>
                <w:color w:val="000000"/>
                <w:kern w:val="0"/>
                <w:sz w:val="18"/>
                <w:szCs w:val="18"/>
              </w:rPr>
            </w:pPr>
            <w:r w:rsidRPr="008818BC">
              <w:rPr>
                <w:rFonts w:ascii="Arial" w:eastAsia="DengXian" w:hAnsi="Arial" w:cs="Arial"/>
                <w:color w:val="000000"/>
                <w:kern w:val="0"/>
                <w:sz w:val="18"/>
                <w:szCs w:val="18"/>
              </w:rPr>
              <w:t xml:space="preserve">Mandatory without capability </w:t>
            </w:r>
            <w:r w:rsidR="00DD69E3" w:rsidRPr="008818BC">
              <w:rPr>
                <w:rFonts w:ascii="Arial" w:eastAsia="DengXian" w:hAnsi="Arial" w:cs="Arial"/>
                <w:color w:val="000000"/>
                <w:kern w:val="0"/>
                <w:sz w:val="18"/>
                <w:szCs w:val="18"/>
              </w:rPr>
              <w:t>signa</w:t>
            </w:r>
            <w:r w:rsidR="00DD69E3">
              <w:rPr>
                <w:rFonts w:ascii="Arial" w:eastAsia="DengXian" w:hAnsi="Arial" w:cs="Arial"/>
                <w:color w:val="000000"/>
                <w:kern w:val="0"/>
                <w:sz w:val="18"/>
                <w:szCs w:val="18"/>
              </w:rPr>
              <w:t>l</w:t>
            </w:r>
            <w:r w:rsidR="00DD69E3" w:rsidRPr="008818BC">
              <w:rPr>
                <w:rFonts w:ascii="Arial" w:eastAsia="DengXian" w:hAnsi="Arial" w:cs="Arial"/>
                <w:color w:val="000000"/>
                <w:kern w:val="0"/>
                <w:sz w:val="18"/>
                <w:szCs w:val="18"/>
              </w:rPr>
              <w:t>ling</w:t>
            </w:r>
          </w:p>
        </w:tc>
        <w:tc>
          <w:tcPr>
            <w:tcW w:w="639" w:type="pct"/>
            <w:tcBorders>
              <w:top w:val="nil"/>
              <w:left w:val="nil"/>
              <w:bottom w:val="single" w:sz="4" w:space="0" w:color="auto"/>
              <w:right w:val="single" w:sz="4" w:space="0" w:color="auto"/>
            </w:tcBorders>
          </w:tcPr>
          <w:p w:rsidR="008818BC" w:rsidRPr="008818BC" w:rsidRDefault="00C93C35" w:rsidP="008818B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8818BC" w:rsidRPr="008818BC" w:rsidRDefault="00DD69E3" w:rsidP="008818B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This is fundamental feature should be mandatory supported by IAB-MT as well.</w:t>
            </w:r>
            <w:r w:rsidR="00510E9C" w:rsidRPr="00510E9C">
              <w:rPr>
                <w:rFonts w:ascii="Arial" w:eastAsia="DengXian" w:hAnsi="Arial" w:cs="Arial"/>
                <w:color w:val="000000"/>
                <w:kern w:val="0"/>
                <w:sz w:val="18"/>
                <w:szCs w:val="18"/>
              </w:rPr>
              <w:t xml:space="preserve"> Ot</w:t>
            </w:r>
            <w:r w:rsidR="00510E9C" w:rsidRPr="00510E9C">
              <w:rPr>
                <w:rFonts w:ascii="Arial" w:eastAsia="DengXian" w:hAnsi="Arial" w:cs="Arial" w:hint="eastAsia"/>
                <w:color w:val="000000"/>
                <w:kern w:val="0"/>
                <w:sz w:val="18"/>
                <w:szCs w:val="18"/>
              </w:rPr>
              <w:t xml:space="preserve">herwise, new capability signalling have to </w:t>
            </w:r>
            <w:r w:rsidR="00510E9C" w:rsidRPr="00510E9C">
              <w:rPr>
                <w:rFonts w:ascii="Arial" w:eastAsia="DengXian" w:hAnsi="Arial" w:cs="Arial"/>
                <w:color w:val="000000"/>
                <w:kern w:val="0"/>
                <w:sz w:val="18"/>
                <w:szCs w:val="18"/>
              </w:rPr>
              <w:t xml:space="preserve">be </w:t>
            </w:r>
            <w:r w:rsidR="00510E9C" w:rsidRPr="00510E9C">
              <w:rPr>
                <w:rFonts w:ascii="Arial" w:eastAsia="DengXian" w:hAnsi="Arial" w:cs="Arial" w:hint="eastAsia"/>
                <w:color w:val="000000"/>
                <w:kern w:val="0"/>
                <w:sz w:val="18"/>
                <w:szCs w:val="18"/>
              </w:rPr>
              <w:t>discussed</w:t>
            </w:r>
            <w:r w:rsidR="00510E9C" w:rsidRPr="00510E9C">
              <w:rPr>
                <w:rFonts w:ascii="Arial" w:eastAsia="DengXian" w:hAnsi="Arial" w:cs="Arial"/>
                <w:color w:val="000000"/>
                <w:kern w:val="0"/>
                <w:sz w:val="18"/>
                <w:szCs w:val="18"/>
              </w:rPr>
              <w:t xml:space="preserve"> which is not aligned with RAN-P guideline to minimize the spec impact.</w:t>
            </w:r>
          </w:p>
        </w:tc>
      </w:tr>
      <w:tr w:rsidR="00BC684D"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hideMark/>
          </w:tcPr>
          <w:p w:rsidR="00C04E95" w:rsidRDefault="00C04E95" w:rsidP="00C04E95">
            <w:pPr>
              <w:widowControl/>
              <w:jc w:val="left"/>
              <w:rPr>
                <w:rFonts w:ascii="Arial" w:eastAsia="DengXian" w:hAnsi="Arial" w:cs="Arial"/>
                <w:color w:val="000000"/>
                <w:sz w:val="18"/>
                <w:szCs w:val="18"/>
              </w:rPr>
            </w:pPr>
            <w:r>
              <w:rPr>
                <w:rFonts w:ascii="Arial" w:eastAsia="DengXian" w:hAnsi="Arial" w:cs="Arial"/>
                <w:color w:val="000000"/>
                <w:sz w:val="18"/>
                <w:szCs w:val="18"/>
              </w:rPr>
              <w:t>1-4</w:t>
            </w:r>
          </w:p>
        </w:tc>
        <w:tc>
          <w:tcPr>
            <w:tcW w:w="1143" w:type="pct"/>
            <w:tcBorders>
              <w:top w:val="nil"/>
              <w:left w:val="nil"/>
              <w:bottom w:val="single" w:sz="4" w:space="0" w:color="auto"/>
              <w:right w:val="single" w:sz="4" w:space="0" w:color="auto"/>
            </w:tcBorders>
            <w:shd w:val="clear" w:color="auto" w:fill="auto"/>
            <w:vAlign w:val="center"/>
            <w:hideMark/>
          </w:tcPr>
          <w:p w:rsidR="00C04E95" w:rsidRDefault="00C04E95" w:rsidP="00C04E95">
            <w:pPr>
              <w:rPr>
                <w:rFonts w:ascii="Arial" w:eastAsia="DengXian" w:hAnsi="Arial" w:cs="Arial"/>
                <w:color w:val="000000"/>
                <w:sz w:val="18"/>
                <w:szCs w:val="18"/>
              </w:rPr>
            </w:pPr>
            <w:r>
              <w:rPr>
                <w:rFonts w:ascii="Arial" w:eastAsia="DengXian" w:hAnsi="Arial" w:cs="Arial"/>
                <w:color w:val="000000"/>
                <w:sz w:val="18"/>
                <w:szCs w:val="18"/>
              </w:rPr>
              <w:t>256QAM for PDSCH</w:t>
            </w:r>
          </w:p>
        </w:tc>
        <w:tc>
          <w:tcPr>
            <w:tcW w:w="929" w:type="pct"/>
            <w:tcBorders>
              <w:top w:val="nil"/>
              <w:left w:val="nil"/>
              <w:bottom w:val="single" w:sz="4" w:space="0" w:color="auto"/>
              <w:right w:val="single" w:sz="4" w:space="0" w:color="auto"/>
            </w:tcBorders>
            <w:shd w:val="clear" w:color="auto" w:fill="auto"/>
            <w:vAlign w:val="center"/>
            <w:hideMark/>
          </w:tcPr>
          <w:p w:rsidR="00C04E95" w:rsidRDefault="00C04E95" w:rsidP="00C04E95">
            <w:pPr>
              <w:rPr>
                <w:rFonts w:ascii="Arial" w:eastAsia="DengXian" w:hAnsi="Arial" w:cs="Arial"/>
                <w:color w:val="000000"/>
                <w:sz w:val="18"/>
                <w:szCs w:val="18"/>
              </w:rPr>
            </w:pPr>
            <w:r>
              <w:rPr>
                <w:rFonts w:ascii="Arial" w:eastAsia="DengXian" w:hAnsi="Arial" w:cs="Arial"/>
                <w:color w:val="000000"/>
                <w:sz w:val="18"/>
                <w:szCs w:val="18"/>
              </w:rPr>
              <w:t>Mandatory with capability signalling for FR1</w:t>
            </w:r>
          </w:p>
        </w:tc>
        <w:tc>
          <w:tcPr>
            <w:tcW w:w="639" w:type="pct"/>
            <w:tcBorders>
              <w:top w:val="nil"/>
              <w:left w:val="nil"/>
              <w:bottom w:val="single" w:sz="4" w:space="0" w:color="auto"/>
              <w:right w:val="single" w:sz="4" w:space="0" w:color="auto"/>
            </w:tcBorders>
          </w:tcPr>
          <w:p w:rsidR="00C04E95" w:rsidRPr="008818BC" w:rsidRDefault="00C93C35" w:rsidP="00C04E9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04E95" w:rsidRPr="008818BC" w:rsidRDefault="00DD69E3" w:rsidP="00C04E9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This is fundamental feature should be mandatory supported by IAB-MT as well.</w:t>
            </w:r>
          </w:p>
        </w:tc>
      </w:tr>
      <w:tr w:rsidR="00BC684D"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04E95" w:rsidRDefault="00C04E95" w:rsidP="00C04E95">
            <w:pPr>
              <w:widowControl/>
              <w:jc w:val="left"/>
              <w:rPr>
                <w:rFonts w:ascii="Arial" w:eastAsia="DengXian" w:hAnsi="Arial" w:cs="Arial"/>
                <w:color w:val="000000"/>
                <w:sz w:val="18"/>
                <w:szCs w:val="18"/>
              </w:rPr>
            </w:pPr>
            <w:r w:rsidRPr="00C04E95">
              <w:rPr>
                <w:rFonts w:ascii="Arial" w:eastAsia="DengXian" w:hAnsi="Arial" w:cs="Arial"/>
                <w:color w:val="000000"/>
                <w:sz w:val="18"/>
                <w:szCs w:val="18"/>
              </w:rPr>
              <w:t>1-6</w:t>
            </w:r>
          </w:p>
        </w:tc>
        <w:tc>
          <w:tcPr>
            <w:tcW w:w="1143" w:type="pct"/>
            <w:tcBorders>
              <w:top w:val="nil"/>
              <w:left w:val="nil"/>
              <w:bottom w:val="single" w:sz="4" w:space="0" w:color="auto"/>
              <w:right w:val="single" w:sz="4" w:space="0" w:color="auto"/>
            </w:tcBorders>
            <w:shd w:val="clear" w:color="auto" w:fill="auto"/>
            <w:vAlign w:val="center"/>
          </w:tcPr>
          <w:p w:rsidR="00C04E95" w:rsidRDefault="00C04E95" w:rsidP="00C04E95">
            <w:pPr>
              <w:rPr>
                <w:rFonts w:ascii="Arial" w:eastAsia="DengXian" w:hAnsi="Arial" w:cs="Arial"/>
                <w:color w:val="000000"/>
                <w:sz w:val="18"/>
                <w:szCs w:val="18"/>
              </w:rPr>
            </w:pPr>
            <w:r w:rsidRPr="00C04E95">
              <w:rPr>
                <w:rFonts w:ascii="Arial" w:eastAsia="DengXian" w:hAnsi="Arial" w:cs="Arial"/>
                <w:color w:val="000000"/>
                <w:sz w:val="18"/>
                <w:szCs w:val="18"/>
              </w:rPr>
              <w:t>pi/`2-BPSK for PUSCH</w:t>
            </w:r>
          </w:p>
        </w:tc>
        <w:tc>
          <w:tcPr>
            <w:tcW w:w="929" w:type="pct"/>
            <w:tcBorders>
              <w:top w:val="nil"/>
              <w:left w:val="nil"/>
              <w:bottom w:val="single" w:sz="4" w:space="0" w:color="auto"/>
              <w:right w:val="single" w:sz="4" w:space="0" w:color="auto"/>
            </w:tcBorders>
            <w:shd w:val="clear" w:color="auto" w:fill="auto"/>
            <w:vAlign w:val="center"/>
          </w:tcPr>
          <w:p w:rsidR="00C04E95" w:rsidRDefault="00C04E95" w:rsidP="00C04E95">
            <w:pPr>
              <w:rPr>
                <w:rFonts w:ascii="Arial" w:eastAsia="DengXian" w:hAnsi="Arial" w:cs="Arial"/>
                <w:color w:val="000000"/>
                <w:sz w:val="18"/>
                <w:szCs w:val="18"/>
              </w:rPr>
            </w:pPr>
            <w:r>
              <w:rPr>
                <w:rFonts w:ascii="Arial" w:eastAsia="DengXian" w:hAnsi="Arial" w:cs="Arial"/>
                <w:color w:val="000000"/>
                <w:sz w:val="18"/>
                <w:szCs w:val="18"/>
              </w:rPr>
              <w:t>Mandatory with capability signalling for FR2</w:t>
            </w:r>
          </w:p>
        </w:tc>
        <w:tc>
          <w:tcPr>
            <w:tcW w:w="639" w:type="pct"/>
            <w:tcBorders>
              <w:top w:val="nil"/>
              <w:left w:val="nil"/>
              <w:bottom w:val="single" w:sz="4" w:space="0" w:color="auto"/>
              <w:right w:val="single" w:sz="4" w:space="0" w:color="auto"/>
            </w:tcBorders>
          </w:tcPr>
          <w:p w:rsidR="00C04E95" w:rsidRPr="008818BC" w:rsidRDefault="00C93C35" w:rsidP="00C04E9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04E95" w:rsidRPr="008818BC" w:rsidRDefault="00DD69E3" w:rsidP="002421E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 reason to have exception of this feature for IAB-MT</w:t>
            </w:r>
            <w:r w:rsidR="002421EC">
              <w:rPr>
                <w:rFonts w:ascii="Arial" w:eastAsia="DengXian" w:hAnsi="Arial" w:cs="Arial"/>
                <w:color w:val="000000"/>
                <w:kern w:val="0"/>
                <w:sz w:val="18"/>
                <w:szCs w:val="18"/>
              </w:rPr>
              <w:t>.</w:t>
            </w:r>
            <w:r>
              <w:rPr>
                <w:rFonts w:ascii="Arial" w:eastAsia="DengXian" w:hAnsi="Arial" w:cs="Arial"/>
                <w:color w:val="000000"/>
                <w:kern w:val="0"/>
                <w:sz w:val="18"/>
                <w:szCs w:val="18"/>
              </w:rPr>
              <w:t xml:space="preserve"> </w:t>
            </w:r>
            <w:r w:rsidR="002421EC">
              <w:rPr>
                <w:rFonts w:ascii="Arial" w:eastAsia="DengXian" w:hAnsi="Arial" w:cs="Arial"/>
                <w:color w:val="000000"/>
                <w:kern w:val="0"/>
                <w:sz w:val="18"/>
                <w:szCs w:val="18"/>
              </w:rPr>
              <w:t>C</w:t>
            </w:r>
            <w:r w:rsidR="002421EC" w:rsidRPr="002421EC">
              <w:rPr>
                <w:rFonts w:ascii="Arial" w:eastAsia="DengXian" w:hAnsi="Arial" w:cs="Arial" w:hint="eastAsia"/>
                <w:color w:val="000000"/>
                <w:kern w:val="0"/>
                <w:sz w:val="18"/>
                <w:szCs w:val="18"/>
              </w:rPr>
              <w:t>hang</w:t>
            </w:r>
            <w:r w:rsidR="002421EC">
              <w:rPr>
                <w:rFonts w:ascii="Arial" w:eastAsia="DengXian" w:hAnsi="Arial" w:cs="Arial"/>
                <w:color w:val="000000"/>
                <w:kern w:val="0"/>
                <w:sz w:val="18"/>
                <w:szCs w:val="18"/>
              </w:rPr>
              <w:t>e</w:t>
            </w:r>
            <w:r w:rsidR="002421EC" w:rsidRPr="002421EC">
              <w:rPr>
                <w:rFonts w:ascii="Arial" w:eastAsia="DengXian" w:hAnsi="Arial" w:cs="Arial" w:hint="eastAsia"/>
                <w:color w:val="000000"/>
                <w:kern w:val="0"/>
                <w:sz w:val="18"/>
                <w:szCs w:val="18"/>
              </w:rPr>
              <w:t xml:space="preserve"> the mandatory decision in Rel-15 will result in the scheduler design impact to IAB-DU</w:t>
            </w:r>
            <w:r w:rsidR="002421EC">
              <w:rPr>
                <w:rFonts w:ascii="Arial" w:eastAsia="DengXian" w:hAnsi="Arial" w:cs="Arial"/>
                <w:color w:val="000000"/>
                <w:kern w:val="0"/>
                <w:sz w:val="18"/>
                <w:szCs w:val="18"/>
              </w:rPr>
              <w:t>.</w:t>
            </w:r>
          </w:p>
        </w:tc>
      </w:tr>
      <w:tr w:rsidR="00BC684D"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E65531" w:rsidRDefault="00E65531" w:rsidP="00E65531">
            <w:pPr>
              <w:widowControl/>
              <w:jc w:val="left"/>
              <w:rPr>
                <w:rFonts w:ascii="Arial" w:eastAsia="DengXian" w:hAnsi="Arial" w:cs="Arial"/>
                <w:color w:val="000000"/>
                <w:sz w:val="18"/>
                <w:szCs w:val="18"/>
              </w:rPr>
            </w:pPr>
            <w:r w:rsidRPr="00E65531">
              <w:rPr>
                <w:rFonts w:ascii="Arial" w:eastAsia="DengXian" w:hAnsi="Arial" w:cs="Arial"/>
                <w:color w:val="000000"/>
                <w:sz w:val="18"/>
                <w:szCs w:val="18"/>
              </w:rPr>
              <w:t>1-7</w:t>
            </w:r>
          </w:p>
        </w:tc>
        <w:tc>
          <w:tcPr>
            <w:tcW w:w="1143" w:type="pct"/>
            <w:tcBorders>
              <w:top w:val="nil"/>
              <w:left w:val="nil"/>
              <w:bottom w:val="single" w:sz="4" w:space="0" w:color="auto"/>
              <w:right w:val="single" w:sz="4" w:space="0" w:color="auto"/>
            </w:tcBorders>
            <w:shd w:val="clear" w:color="auto" w:fill="auto"/>
            <w:vAlign w:val="center"/>
          </w:tcPr>
          <w:p w:rsidR="00E65531" w:rsidRDefault="00E65531" w:rsidP="00E65531">
            <w:pPr>
              <w:rPr>
                <w:rFonts w:ascii="Arial" w:eastAsia="DengXian" w:hAnsi="Arial" w:cs="Arial"/>
                <w:color w:val="000000"/>
                <w:sz w:val="18"/>
                <w:szCs w:val="18"/>
              </w:rPr>
            </w:pPr>
            <w:r w:rsidRPr="00E65531">
              <w:rPr>
                <w:rFonts w:ascii="Arial" w:eastAsia="DengXian" w:hAnsi="Arial" w:cs="Arial"/>
                <w:color w:val="000000"/>
                <w:sz w:val="18"/>
                <w:szCs w:val="18"/>
              </w:rPr>
              <w:t>pi/`2-BPSK for PUCCH format 3/4</w:t>
            </w:r>
          </w:p>
        </w:tc>
        <w:tc>
          <w:tcPr>
            <w:tcW w:w="929" w:type="pct"/>
            <w:tcBorders>
              <w:top w:val="nil"/>
              <w:left w:val="nil"/>
              <w:bottom w:val="single" w:sz="4" w:space="0" w:color="auto"/>
              <w:right w:val="single" w:sz="4" w:space="0" w:color="auto"/>
            </w:tcBorders>
            <w:shd w:val="clear" w:color="auto" w:fill="auto"/>
            <w:vAlign w:val="center"/>
          </w:tcPr>
          <w:p w:rsidR="00E65531" w:rsidRDefault="00E65531" w:rsidP="00E65531">
            <w:pPr>
              <w:rPr>
                <w:rFonts w:ascii="Arial" w:eastAsia="DengXian" w:hAnsi="Arial" w:cs="Arial"/>
                <w:color w:val="000000"/>
                <w:sz w:val="18"/>
                <w:szCs w:val="18"/>
              </w:rPr>
            </w:pPr>
            <w:r>
              <w:rPr>
                <w:rFonts w:ascii="Arial" w:eastAsia="DengXian" w:hAnsi="Arial" w:cs="Arial"/>
                <w:color w:val="000000"/>
                <w:sz w:val="18"/>
                <w:szCs w:val="18"/>
              </w:rPr>
              <w:t>Mandatory with capability signalling for FR2</w:t>
            </w:r>
          </w:p>
        </w:tc>
        <w:tc>
          <w:tcPr>
            <w:tcW w:w="639" w:type="pct"/>
            <w:tcBorders>
              <w:top w:val="nil"/>
              <w:left w:val="nil"/>
              <w:bottom w:val="single" w:sz="4" w:space="0" w:color="auto"/>
              <w:right w:val="single" w:sz="4" w:space="0" w:color="auto"/>
            </w:tcBorders>
          </w:tcPr>
          <w:p w:rsidR="00E65531" w:rsidRPr="008818BC" w:rsidRDefault="00C93C35" w:rsidP="00E65531">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E65531" w:rsidRPr="008818BC" w:rsidRDefault="00DD69E3" w:rsidP="002421E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 reason to have exception of this feature for IAB-MT</w:t>
            </w:r>
            <w:r w:rsidR="002421EC">
              <w:rPr>
                <w:rFonts w:ascii="Arial" w:eastAsia="DengXian" w:hAnsi="Arial" w:cs="Arial"/>
                <w:color w:val="000000"/>
                <w:kern w:val="0"/>
                <w:sz w:val="18"/>
                <w:szCs w:val="18"/>
              </w:rPr>
              <w:t>. C</w:t>
            </w:r>
            <w:r w:rsidR="002421EC" w:rsidRPr="002421EC">
              <w:rPr>
                <w:rFonts w:ascii="Arial" w:eastAsia="DengXian" w:hAnsi="Arial" w:cs="Arial" w:hint="eastAsia"/>
                <w:color w:val="000000"/>
                <w:kern w:val="0"/>
                <w:sz w:val="18"/>
                <w:szCs w:val="18"/>
              </w:rPr>
              <w:t>hang</w:t>
            </w:r>
            <w:r w:rsidR="002421EC">
              <w:rPr>
                <w:rFonts w:ascii="Arial" w:eastAsia="DengXian" w:hAnsi="Arial" w:cs="Arial"/>
                <w:color w:val="000000"/>
                <w:kern w:val="0"/>
                <w:sz w:val="18"/>
                <w:szCs w:val="18"/>
              </w:rPr>
              <w:t>e</w:t>
            </w:r>
            <w:r w:rsidR="002421EC" w:rsidRPr="002421EC">
              <w:rPr>
                <w:rFonts w:ascii="Arial" w:eastAsia="DengXian" w:hAnsi="Arial" w:cs="Arial" w:hint="eastAsia"/>
                <w:color w:val="000000"/>
                <w:kern w:val="0"/>
                <w:sz w:val="18"/>
                <w:szCs w:val="18"/>
              </w:rPr>
              <w:t xml:space="preserve"> the mandatory decision in Rel-15 will result in the scheduler design impact to IAB-DU</w:t>
            </w:r>
            <w:r w:rsidR="002421EC">
              <w:rPr>
                <w:rFonts w:ascii="Arial" w:eastAsia="DengXian" w:hAnsi="Arial" w:cs="Arial"/>
                <w:color w:val="000000"/>
                <w:kern w:val="0"/>
                <w:sz w:val="18"/>
                <w:szCs w:val="18"/>
              </w:rPr>
              <w:t>.</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1-8</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Active BWP switching delay</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 to support either type 1 or type 2 with capability signalling</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DD69E3" w:rsidP="00003C69">
            <w:pPr>
              <w:widowControl/>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T</w:t>
            </w:r>
            <w:r>
              <w:rPr>
                <w:rFonts w:ascii="Arial" w:eastAsia="DengXian" w:hAnsi="Arial" w:cs="Arial"/>
                <w:color w:val="000000"/>
                <w:kern w:val="0"/>
                <w:sz w:val="18"/>
                <w:szCs w:val="18"/>
              </w:rPr>
              <w:t xml:space="preserve">his feature should be reported to donor </w:t>
            </w:r>
            <w:r w:rsidR="00003C69">
              <w:rPr>
                <w:rFonts w:ascii="Arial" w:eastAsia="DengXian" w:hAnsi="Arial" w:cs="Arial"/>
                <w:color w:val="000000"/>
                <w:kern w:val="0"/>
                <w:sz w:val="18"/>
                <w:szCs w:val="18"/>
              </w:rPr>
              <w:t xml:space="preserve">gNB or parent IAB-DU for schedule efficiency. </w:t>
            </w:r>
            <w:r>
              <w:rPr>
                <w:rFonts w:ascii="Arial" w:eastAsia="DengXian" w:hAnsi="Arial" w:cs="Arial"/>
                <w:color w:val="000000"/>
                <w:kern w:val="0"/>
                <w:sz w:val="18"/>
                <w:szCs w:val="18"/>
              </w:rPr>
              <w:t xml:space="preserve"> </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1-10</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Switching time between LTE UL and NR UL for EN-DC with LTE-NR coexistence in UL sharing from UE perspective</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003C69" w:rsidP="00003C69">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This feature is o</w:t>
            </w:r>
            <w:r w:rsidRPr="00003C69">
              <w:rPr>
                <w:rFonts w:ascii="Arial" w:eastAsia="DengXian" w:hAnsi="Arial" w:cs="Arial"/>
                <w:color w:val="000000"/>
                <w:kern w:val="0"/>
                <w:sz w:val="18"/>
                <w:szCs w:val="18"/>
              </w:rPr>
              <w:t xml:space="preserve">nly for </w:t>
            </w:r>
            <w:r>
              <w:rPr>
                <w:rFonts w:ascii="Arial" w:eastAsia="DengXian" w:hAnsi="Arial" w:cs="Arial"/>
                <w:color w:val="000000"/>
                <w:kern w:val="0"/>
                <w:sz w:val="18"/>
                <w:szCs w:val="18"/>
              </w:rPr>
              <w:t xml:space="preserve">FR1 </w:t>
            </w:r>
            <w:r w:rsidRPr="00003C69">
              <w:rPr>
                <w:rFonts w:ascii="Arial" w:eastAsia="DengXian" w:hAnsi="Arial" w:cs="Arial"/>
                <w:color w:val="000000"/>
                <w:kern w:val="0"/>
                <w:sz w:val="18"/>
                <w:szCs w:val="18"/>
              </w:rPr>
              <w:t>sub 6GHz</w:t>
            </w:r>
            <w:r>
              <w:rPr>
                <w:rFonts w:ascii="Arial" w:eastAsia="DengXian" w:hAnsi="Arial" w:cs="Arial"/>
                <w:color w:val="000000"/>
                <w:kern w:val="0"/>
                <w:sz w:val="18"/>
                <w:szCs w:val="18"/>
              </w:rPr>
              <w:t>. A</w:t>
            </w:r>
            <w:r w:rsidRPr="00003C69">
              <w:rPr>
                <w:rFonts w:ascii="Arial" w:eastAsia="DengXian" w:hAnsi="Arial" w:cs="Arial"/>
                <w:color w:val="000000"/>
                <w:kern w:val="0"/>
                <w:sz w:val="18"/>
                <w:szCs w:val="18"/>
              </w:rPr>
              <w:t>ccording to current operating bands</w:t>
            </w:r>
            <w:r>
              <w:rPr>
                <w:rFonts w:ascii="Arial" w:eastAsia="DengXian" w:hAnsi="Arial" w:cs="Arial"/>
                <w:color w:val="000000"/>
                <w:kern w:val="0"/>
                <w:sz w:val="18"/>
                <w:szCs w:val="18"/>
              </w:rPr>
              <w:t xml:space="preserve"> to be</w:t>
            </w:r>
            <w:r w:rsidRPr="00003C69">
              <w:rPr>
                <w:rFonts w:ascii="Arial" w:eastAsia="DengXian" w:hAnsi="Arial" w:cs="Arial"/>
                <w:color w:val="000000"/>
                <w:kern w:val="0"/>
                <w:sz w:val="18"/>
                <w:szCs w:val="18"/>
              </w:rPr>
              <w:t xml:space="preserve"> defined for IAB </w:t>
            </w:r>
            <w:r>
              <w:rPr>
                <w:rFonts w:ascii="Arial" w:eastAsia="DengXian" w:hAnsi="Arial" w:cs="Arial"/>
                <w:color w:val="000000"/>
                <w:kern w:val="0"/>
                <w:sz w:val="18"/>
                <w:szCs w:val="18"/>
              </w:rPr>
              <w:t>it may</w:t>
            </w:r>
            <w:r w:rsidRPr="00003C69">
              <w:rPr>
                <w:rFonts w:ascii="Arial" w:eastAsia="DengXian" w:hAnsi="Arial" w:cs="Arial"/>
                <w:color w:val="000000"/>
                <w:kern w:val="0"/>
                <w:sz w:val="18"/>
                <w:szCs w:val="18"/>
              </w:rPr>
              <w:t xml:space="preserve"> only have impact on Band n41 related ENDC comb if </w:t>
            </w:r>
            <w:r>
              <w:rPr>
                <w:rFonts w:ascii="Arial" w:eastAsia="DengXian" w:hAnsi="Arial" w:cs="Arial"/>
                <w:color w:val="000000"/>
                <w:kern w:val="0"/>
                <w:sz w:val="18"/>
                <w:szCs w:val="18"/>
              </w:rPr>
              <w:t xml:space="preserve">requested within this Release. And for IAB-MT should report its capability to donor gNB or parent IAB-DU for schedule efficiency especially for inter-vendor operation.  </w:t>
            </w:r>
          </w:p>
        </w:tc>
      </w:tr>
      <w:tr w:rsidR="00C93C35" w:rsidRPr="008818BC" w:rsidTr="00C93C35">
        <w:trPr>
          <w:trHeight w:val="280"/>
        </w:trPr>
        <w:tc>
          <w:tcPr>
            <w:tcW w:w="286" w:type="pct"/>
            <w:vMerge w:val="restart"/>
            <w:tcBorders>
              <w:top w:val="nil"/>
              <w:left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hint="eastAsia"/>
                <w:color w:val="000000"/>
                <w:sz w:val="18"/>
                <w:szCs w:val="18"/>
              </w:rPr>
              <w:t>1</w:t>
            </w:r>
            <w:r>
              <w:rPr>
                <w:rFonts w:ascii="Arial" w:eastAsia="DengXian" w:hAnsi="Arial" w:cs="Arial"/>
                <w:color w:val="000000"/>
                <w:sz w:val="18"/>
                <w:szCs w:val="18"/>
              </w:rPr>
              <w:t>-11</w:t>
            </w:r>
          </w:p>
        </w:tc>
        <w:tc>
          <w:tcPr>
            <w:tcW w:w="1143" w:type="pct"/>
            <w:vMerge w:val="restart"/>
            <w:tcBorders>
              <w:top w:val="nil"/>
              <w:left w:val="nil"/>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sidRPr="00E65531">
              <w:rPr>
                <w:rFonts w:ascii="Arial" w:eastAsia="DengXian" w:hAnsi="Arial" w:cs="Arial"/>
                <w:color w:val="000000"/>
                <w:sz w:val="18"/>
                <w:szCs w:val="18"/>
              </w:rPr>
              <w:t>7.5kHz UL raster shift</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Mandatory in the SUL bands with uplink sharing either from UE perspective or from network perspective</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003C69" w:rsidP="002421EC">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 xml:space="preserve">No reason to have exception of this feature for IAB-MT if SUL to be supported. </w:t>
            </w:r>
            <w:r w:rsidR="002421EC" w:rsidRPr="002421EC">
              <w:rPr>
                <w:rFonts w:ascii="Arial" w:eastAsia="DengXian" w:hAnsi="Arial" w:cs="Arial"/>
                <w:color w:val="000000"/>
                <w:kern w:val="0"/>
                <w:sz w:val="18"/>
                <w:szCs w:val="18"/>
              </w:rPr>
              <w:t>E</w:t>
            </w:r>
            <w:r w:rsidR="002421EC" w:rsidRPr="002421EC">
              <w:rPr>
                <w:rFonts w:ascii="Arial" w:eastAsia="DengXian" w:hAnsi="Arial" w:cs="Arial" w:hint="eastAsia"/>
                <w:color w:val="000000"/>
                <w:kern w:val="0"/>
                <w:sz w:val="18"/>
                <w:szCs w:val="18"/>
              </w:rPr>
              <w:t xml:space="preserve">ven though the </w:t>
            </w:r>
            <w:r w:rsidR="002421EC" w:rsidRPr="002421EC">
              <w:rPr>
                <w:rFonts w:ascii="Arial" w:eastAsia="DengXian" w:hAnsi="Arial" w:cs="Arial"/>
                <w:color w:val="000000"/>
                <w:kern w:val="0"/>
                <w:sz w:val="18"/>
                <w:szCs w:val="18"/>
              </w:rPr>
              <w:t>current</w:t>
            </w:r>
            <w:r w:rsidR="002421EC" w:rsidRPr="002421EC">
              <w:rPr>
                <w:rFonts w:ascii="Arial" w:eastAsia="DengXian" w:hAnsi="Arial" w:cs="Arial" w:hint="eastAsia"/>
                <w:color w:val="000000"/>
                <w:kern w:val="0"/>
                <w:sz w:val="18"/>
                <w:szCs w:val="18"/>
              </w:rPr>
              <w:t xml:space="preserve"> operating bands </w:t>
            </w:r>
            <w:r w:rsidR="002421EC" w:rsidRPr="002421EC">
              <w:rPr>
                <w:rFonts w:ascii="Arial" w:eastAsia="DengXian" w:hAnsi="Arial" w:cs="Arial"/>
                <w:color w:val="000000"/>
                <w:kern w:val="0"/>
                <w:sz w:val="18"/>
                <w:szCs w:val="18"/>
              </w:rPr>
              <w:t>associated</w:t>
            </w:r>
            <w:r w:rsidR="002421EC" w:rsidRPr="002421EC">
              <w:rPr>
                <w:rFonts w:ascii="Arial" w:eastAsia="DengXian" w:hAnsi="Arial" w:cs="Arial" w:hint="eastAsia"/>
                <w:color w:val="000000"/>
                <w:kern w:val="0"/>
                <w:sz w:val="18"/>
                <w:szCs w:val="18"/>
              </w:rPr>
              <w:t xml:space="preserve"> with IAB does not include SUL bands so far, but considering the back </w:t>
            </w:r>
            <w:r w:rsidR="002421EC" w:rsidRPr="002421EC">
              <w:rPr>
                <w:rFonts w:ascii="Arial" w:eastAsia="DengXian" w:hAnsi="Arial" w:cs="Arial"/>
                <w:color w:val="000000"/>
                <w:kern w:val="0"/>
                <w:sz w:val="18"/>
                <w:szCs w:val="18"/>
              </w:rPr>
              <w:t>compatible</w:t>
            </w:r>
            <w:r w:rsidR="002421EC" w:rsidRPr="002421EC">
              <w:rPr>
                <w:rFonts w:ascii="Arial" w:eastAsia="DengXian" w:hAnsi="Arial" w:cs="Arial" w:hint="eastAsia"/>
                <w:color w:val="000000"/>
                <w:kern w:val="0"/>
                <w:sz w:val="18"/>
                <w:szCs w:val="18"/>
              </w:rPr>
              <w:t xml:space="preserve"> of adding new operating bands for IAB, it is better to keep the mandatory decision for IAB-MT</w:t>
            </w:r>
          </w:p>
        </w:tc>
      </w:tr>
      <w:tr w:rsidR="00C93C35" w:rsidRPr="008818BC" w:rsidTr="00C93C35">
        <w:trPr>
          <w:trHeight w:val="280"/>
        </w:trPr>
        <w:tc>
          <w:tcPr>
            <w:tcW w:w="286" w:type="pct"/>
            <w:vMerge/>
            <w:tcBorders>
              <w:left w:val="single" w:sz="4" w:space="0" w:color="auto"/>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p>
        </w:tc>
        <w:tc>
          <w:tcPr>
            <w:tcW w:w="1143" w:type="pct"/>
            <w:vMerge/>
            <w:tcBorders>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 xml:space="preserve">No </w:t>
            </w:r>
          </w:p>
        </w:tc>
        <w:tc>
          <w:tcPr>
            <w:tcW w:w="2003" w:type="pct"/>
            <w:tcBorders>
              <w:top w:val="nil"/>
              <w:left w:val="nil"/>
              <w:bottom w:val="single" w:sz="4" w:space="0" w:color="auto"/>
              <w:right w:val="single" w:sz="4" w:space="0" w:color="auto"/>
            </w:tcBorders>
          </w:tcPr>
          <w:p w:rsidR="00C93C35" w:rsidRPr="008818BC" w:rsidRDefault="00003C69"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 reason to have exception of this feature for IAB-MT if SUL to be supported.</w:t>
            </w:r>
            <w:r w:rsidR="002421EC" w:rsidRPr="002421EC">
              <w:rPr>
                <w:rFonts w:ascii="Arial" w:eastAsia="DengXian" w:hAnsi="Arial" w:cs="Arial" w:hint="eastAsia"/>
                <w:color w:val="000000"/>
                <w:kern w:val="0"/>
                <w:sz w:val="18"/>
                <w:szCs w:val="18"/>
              </w:rPr>
              <w:t xml:space="preserve"> </w:t>
            </w:r>
            <w:r w:rsidR="002421EC" w:rsidRPr="002421EC">
              <w:rPr>
                <w:rFonts w:ascii="Arial" w:eastAsia="DengXian" w:hAnsi="Arial" w:cs="Arial"/>
                <w:color w:val="000000"/>
                <w:kern w:val="0"/>
                <w:sz w:val="18"/>
                <w:szCs w:val="18"/>
              </w:rPr>
              <w:t>E</w:t>
            </w:r>
            <w:r w:rsidR="002421EC" w:rsidRPr="002421EC">
              <w:rPr>
                <w:rFonts w:ascii="Arial" w:eastAsia="DengXian" w:hAnsi="Arial" w:cs="Arial" w:hint="eastAsia"/>
                <w:color w:val="000000"/>
                <w:kern w:val="0"/>
                <w:sz w:val="18"/>
                <w:szCs w:val="18"/>
              </w:rPr>
              <w:t xml:space="preserve">ven though the </w:t>
            </w:r>
            <w:r w:rsidR="002421EC" w:rsidRPr="002421EC">
              <w:rPr>
                <w:rFonts w:ascii="Arial" w:eastAsia="DengXian" w:hAnsi="Arial" w:cs="Arial"/>
                <w:color w:val="000000"/>
                <w:kern w:val="0"/>
                <w:sz w:val="18"/>
                <w:szCs w:val="18"/>
              </w:rPr>
              <w:t>current</w:t>
            </w:r>
            <w:r w:rsidR="002421EC" w:rsidRPr="002421EC">
              <w:rPr>
                <w:rFonts w:ascii="Arial" w:eastAsia="DengXian" w:hAnsi="Arial" w:cs="Arial" w:hint="eastAsia"/>
                <w:color w:val="000000"/>
                <w:kern w:val="0"/>
                <w:sz w:val="18"/>
                <w:szCs w:val="18"/>
              </w:rPr>
              <w:t xml:space="preserve"> operating bands </w:t>
            </w:r>
            <w:r w:rsidR="002421EC" w:rsidRPr="002421EC">
              <w:rPr>
                <w:rFonts w:ascii="Arial" w:eastAsia="DengXian" w:hAnsi="Arial" w:cs="Arial"/>
                <w:color w:val="000000"/>
                <w:kern w:val="0"/>
                <w:sz w:val="18"/>
                <w:szCs w:val="18"/>
              </w:rPr>
              <w:t>associated</w:t>
            </w:r>
            <w:r w:rsidR="002421EC" w:rsidRPr="002421EC">
              <w:rPr>
                <w:rFonts w:ascii="Arial" w:eastAsia="DengXian" w:hAnsi="Arial" w:cs="Arial" w:hint="eastAsia"/>
                <w:color w:val="000000"/>
                <w:kern w:val="0"/>
                <w:sz w:val="18"/>
                <w:szCs w:val="18"/>
              </w:rPr>
              <w:t xml:space="preserve"> with IAB does not include SUL bands so far, but considering the back </w:t>
            </w:r>
            <w:r w:rsidR="002421EC" w:rsidRPr="002421EC">
              <w:rPr>
                <w:rFonts w:ascii="Arial" w:eastAsia="DengXian" w:hAnsi="Arial" w:cs="Arial"/>
                <w:color w:val="000000"/>
                <w:kern w:val="0"/>
                <w:sz w:val="18"/>
                <w:szCs w:val="18"/>
              </w:rPr>
              <w:t>compatible</w:t>
            </w:r>
            <w:r w:rsidR="002421EC" w:rsidRPr="002421EC">
              <w:rPr>
                <w:rFonts w:ascii="Arial" w:eastAsia="DengXian" w:hAnsi="Arial" w:cs="Arial" w:hint="eastAsia"/>
                <w:color w:val="000000"/>
                <w:kern w:val="0"/>
                <w:sz w:val="18"/>
                <w:szCs w:val="18"/>
              </w:rPr>
              <w:t xml:space="preserve"> of adding new operating bands for IAB, it is better to keep the mandatory decision for IAB-MT</w:t>
            </w:r>
          </w:p>
        </w:tc>
      </w:tr>
    </w:tbl>
    <w:p w:rsidR="008818BC" w:rsidRDefault="008818BC" w:rsidP="008E1C42"/>
    <w:p w:rsidR="00003C69" w:rsidRPr="00003C69" w:rsidRDefault="00003C69" w:rsidP="008E1C42">
      <w:pPr>
        <w:rPr>
          <w:b/>
          <w:lang w:val="en-GB"/>
        </w:rPr>
      </w:pPr>
      <w:r w:rsidRPr="00003C69">
        <w:rPr>
          <w:rFonts w:hint="eastAsia"/>
          <w:b/>
          <w:lang w:val="en-GB"/>
        </w:rPr>
        <w:t>T</w:t>
      </w:r>
      <w:r w:rsidRPr="00003C69">
        <w:rPr>
          <w:b/>
          <w:lang w:val="en-GB"/>
        </w:rPr>
        <w:t xml:space="preserve">able </w:t>
      </w:r>
      <w:r>
        <w:rPr>
          <w:b/>
          <w:lang w:val="en-GB"/>
        </w:rPr>
        <w:t>2</w:t>
      </w:r>
      <w:r w:rsidRPr="00003C69">
        <w:rPr>
          <w:b/>
          <w:lang w:val="en-GB"/>
        </w:rPr>
        <w:t xml:space="preserve">: Mandatory </w:t>
      </w:r>
      <w:r>
        <w:rPr>
          <w:b/>
          <w:lang w:val="en-GB"/>
        </w:rPr>
        <w:t>feature review on RF aspect</w:t>
      </w:r>
      <w:r w:rsidRPr="00003C69">
        <w:rPr>
          <w:b/>
          <w:lang w:val="en-GB"/>
        </w:rPr>
        <w:t xml:space="preserve"> </w:t>
      </w:r>
    </w:p>
    <w:tbl>
      <w:tblPr>
        <w:tblW w:w="5000" w:type="pct"/>
        <w:tblLook w:val="04A0" w:firstRow="1" w:lastRow="0" w:firstColumn="1" w:lastColumn="0" w:noHBand="0" w:noVBand="1"/>
      </w:tblPr>
      <w:tblGrid>
        <w:gridCol w:w="797"/>
        <w:gridCol w:w="3188"/>
        <w:gridCol w:w="2592"/>
        <w:gridCol w:w="1783"/>
        <w:gridCol w:w="5588"/>
      </w:tblGrid>
      <w:tr w:rsidR="00C93C35" w:rsidRPr="008818BC" w:rsidTr="00C93C35">
        <w:trPr>
          <w:trHeight w:val="280"/>
        </w:trPr>
        <w:tc>
          <w:tcPr>
            <w:tcW w:w="286" w:type="pct"/>
            <w:tcBorders>
              <w:top w:val="single" w:sz="4" w:space="0" w:color="auto"/>
              <w:left w:val="single" w:sz="4" w:space="0" w:color="auto"/>
              <w:right w:val="single" w:sz="4" w:space="0" w:color="auto"/>
            </w:tcBorders>
            <w:shd w:val="clear" w:color="auto" w:fill="auto"/>
            <w:vAlign w:val="center"/>
          </w:tcPr>
          <w:p w:rsidR="00C93C35" w:rsidRPr="008818BC" w:rsidRDefault="00C93C35" w:rsidP="00C93C35">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Index in 38.822</w:t>
            </w:r>
          </w:p>
        </w:tc>
        <w:tc>
          <w:tcPr>
            <w:tcW w:w="1143" w:type="pct"/>
            <w:tcBorders>
              <w:top w:val="single" w:sz="4" w:space="0" w:color="auto"/>
              <w:left w:val="nil"/>
              <w:right w:val="single" w:sz="4" w:space="0" w:color="auto"/>
            </w:tcBorders>
            <w:shd w:val="clear" w:color="auto" w:fill="auto"/>
            <w:vAlign w:val="center"/>
          </w:tcPr>
          <w:p w:rsidR="00C93C35" w:rsidRPr="008818BC" w:rsidRDefault="00C93C35" w:rsidP="00C93C35">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 xml:space="preserve">Feature group </w:t>
            </w:r>
          </w:p>
        </w:tc>
        <w:tc>
          <w:tcPr>
            <w:tcW w:w="929" w:type="pct"/>
            <w:tcBorders>
              <w:top w:val="single" w:sz="4" w:space="0" w:color="auto"/>
              <w:left w:val="nil"/>
              <w:bottom w:val="single" w:sz="4" w:space="0" w:color="auto"/>
              <w:right w:val="single" w:sz="4" w:space="0" w:color="auto"/>
            </w:tcBorders>
            <w:shd w:val="clear" w:color="auto" w:fill="auto"/>
            <w:vAlign w:val="center"/>
          </w:tcPr>
          <w:p w:rsidR="00C93C35" w:rsidRPr="008818BC" w:rsidRDefault="00C93C35" w:rsidP="00C93C35">
            <w:pPr>
              <w:widowControl/>
              <w:jc w:val="left"/>
              <w:rPr>
                <w:rFonts w:ascii="Arial" w:eastAsia="DengXian" w:hAnsi="Arial" w:cs="Arial"/>
                <w:b/>
                <w:color w:val="000000"/>
                <w:kern w:val="0"/>
                <w:sz w:val="18"/>
                <w:szCs w:val="18"/>
              </w:rPr>
            </w:pPr>
            <w:r w:rsidRPr="00C93C35">
              <w:rPr>
                <w:rFonts w:ascii="Arial" w:eastAsia="DengXian" w:hAnsi="Arial" w:cs="Arial"/>
                <w:b/>
                <w:color w:val="000000"/>
                <w:kern w:val="0"/>
                <w:sz w:val="18"/>
                <w:szCs w:val="18"/>
              </w:rPr>
              <w:t xml:space="preserve">Mandatory type </w:t>
            </w:r>
          </w:p>
        </w:tc>
        <w:tc>
          <w:tcPr>
            <w:tcW w:w="639" w:type="pct"/>
            <w:tcBorders>
              <w:top w:val="single" w:sz="4" w:space="0" w:color="auto"/>
              <w:left w:val="nil"/>
              <w:bottom w:val="single" w:sz="4" w:space="0" w:color="auto"/>
              <w:right w:val="single" w:sz="4" w:space="0" w:color="auto"/>
            </w:tcBorders>
          </w:tcPr>
          <w:p w:rsidR="00C93C35" w:rsidRPr="00C93C35" w:rsidRDefault="00C93C35" w:rsidP="00C93C35">
            <w:pPr>
              <w:widowControl/>
              <w:jc w:val="left"/>
              <w:rPr>
                <w:rFonts w:ascii="Arial" w:eastAsia="DengXian" w:hAnsi="Arial" w:cs="Arial"/>
                <w:b/>
                <w:color w:val="000000"/>
                <w:kern w:val="0"/>
                <w:sz w:val="18"/>
                <w:szCs w:val="18"/>
              </w:rPr>
            </w:pPr>
            <w:r>
              <w:rPr>
                <w:rFonts w:ascii="Arial" w:eastAsia="DengXian" w:hAnsi="Arial" w:cs="Arial" w:hint="eastAsia"/>
                <w:b/>
                <w:color w:val="000000"/>
                <w:kern w:val="0"/>
                <w:sz w:val="18"/>
                <w:szCs w:val="18"/>
              </w:rPr>
              <w:t>M</w:t>
            </w:r>
            <w:r>
              <w:rPr>
                <w:rFonts w:ascii="Arial" w:eastAsia="DengXian" w:hAnsi="Arial" w:cs="Arial"/>
                <w:b/>
                <w:color w:val="000000"/>
                <w:kern w:val="0"/>
                <w:sz w:val="18"/>
                <w:szCs w:val="18"/>
              </w:rPr>
              <w:t>andatory for IAB-MT or not?</w:t>
            </w:r>
          </w:p>
        </w:tc>
        <w:tc>
          <w:tcPr>
            <w:tcW w:w="2003" w:type="pct"/>
            <w:tcBorders>
              <w:top w:val="single" w:sz="4" w:space="0" w:color="auto"/>
              <w:left w:val="nil"/>
              <w:bottom w:val="single" w:sz="4" w:space="0" w:color="auto"/>
              <w:right w:val="single" w:sz="4" w:space="0" w:color="auto"/>
            </w:tcBorders>
          </w:tcPr>
          <w:p w:rsidR="00C93C35" w:rsidRPr="00C93C35" w:rsidRDefault="00C93C35" w:rsidP="00C93C35">
            <w:pPr>
              <w:widowControl/>
              <w:jc w:val="left"/>
              <w:rPr>
                <w:rFonts w:ascii="Arial" w:eastAsia="DengXian" w:hAnsi="Arial" w:cs="Arial"/>
                <w:b/>
                <w:color w:val="000000"/>
                <w:kern w:val="0"/>
                <w:sz w:val="18"/>
                <w:szCs w:val="18"/>
              </w:rPr>
            </w:pPr>
            <w:r>
              <w:rPr>
                <w:rFonts w:ascii="Arial" w:eastAsia="DengXian" w:hAnsi="Arial" w:cs="Arial"/>
                <w:b/>
                <w:color w:val="000000"/>
                <w:kern w:val="0"/>
                <w:sz w:val="18"/>
                <w:szCs w:val="18"/>
              </w:rPr>
              <w:t xml:space="preserve">Consideration </w:t>
            </w:r>
          </w:p>
        </w:tc>
      </w:tr>
      <w:tr w:rsidR="00C93C35" w:rsidRPr="008818BC" w:rsidTr="00C93C35">
        <w:trPr>
          <w:trHeight w:val="280"/>
        </w:trPr>
        <w:tc>
          <w:tcPr>
            <w:tcW w:w="286" w:type="pct"/>
            <w:vMerge w:val="restart"/>
            <w:tcBorders>
              <w:top w:val="single" w:sz="4" w:space="0" w:color="auto"/>
              <w:left w:val="single" w:sz="4" w:space="0" w:color="auto"/>
              <w:right w:val="single" w:sz="4" w:space="0" w:color="auto"/>
            </w:tcBorders>
            <w:shd w:val="clear" w:color="auto" w:fill="auto"/>
            <w:vAlign w:val="center"/>
          </w:tcPr>
          <w:p w:rsidR="00C93C35" w:rsidRPr="008818BC" w:rsidRDefault="00C93C35" w:rsidP="00C93C35">
            <w:pPr>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2</w:t>
            </w:r>
            <w:r>
              <w:rPr>
                <w:rFonts w:ascii="Arial" w:eastAsia="DengXian" w:hAnsi="Arial" w:cs="Arial"/>
                <w:color w:val="000000"/>
                <w:kern w:val="0"/>
                <w:sz w:val="18"/>
                <w:szCs w:val="18"/>
              </w:rPr>
              <w:t>-1</w:t>
            </w:r>
          </w:p>
        </w:tc>
        <w:tc>
          <w:tcPr>
            <w:tcW w:w="1143" w:type="pct"/>
            <w:vMerge w:val="restart"/>
            <w:tcBorders>
              <w:top w:val="single" w:sz="4" w:space="0" w:color="auto"/>
              <w:left w:val="nil"/>
              <w:right w:val="single" w:sz="4" w:space="0" w:color="auto"/>
            </w:tcBorders>
            <w:shd w:val="clear" w:color="auto" w:fill="auto"/>
            <w:vAlign w:val="center"/>
          </w:tcPr>
          <w:p w:rsidR="00C93C35" w:rsidRPr="008818BC" w:rsidRDefault="00C93C35" w:rsidP="00C93C35">
            <w:pPr>
              <w:widowControl/>
              <w:jc w:val="left"/>
              <w:rPr>
                <w:rFonts w:ascii="Arial" w:eastAsia="DengXian" w:hAnsi="Arial" w:cs="Arial"/>
                <w:color w:val="000000"/>
                <w:kern w:val="0"/>
                <w:sz w:val="18"/>
                <w:szCs w:val="18"/>
              </w:rPr>
            </w:pPr>
            <w:r w:rsidRPr="00BC684D">
              <w:rPr>
                <w:rFonts w:ascii="Arial" w:eastAsia="DengXian" w:hAnsi="Arial" w:cs="Arial"/>
                <w:color w:val="000000"/>
                <w:kern w:val="0"/>
                <w:sz w:val="18"/>
                <w:szCs w:val="18"/>
              </w:rPr>
              <w:t>Maximum channel bandwidth supported in each band for DL and UL separately and for each SCS that UE supports within a single CC</w:t>
            </w:r>
          </w:p>
        </w:tc>
        <w:tc>
          <w:tcPr>
            <w:tcW w:w="929" w:type="pct"/>
            <w:tcBorders>
              <w:top w:val="single" w:sz="4" w:space="0" w:color="auto"/>
              <w:left w:val="nil"/>
              <w:bottom w:val="single" w:sz="4" w:space="0" w:color="auto"/>
              <w:right w:val="single" w:sz="4" w:space="0" w:color="auto"/>
            </w:tcBorders>
            <w:shd w:val="clear" w:color="auto" w:fill="auto"/>
            <w:vAlign w:val="center"/>
            <w:hideMark/>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For FR1, all the bandwidths listed in TS38.10`1-1 v15.0.0 Table 5.3.`5-1 for each band shall be mandatory with a single CC. The bandwidths listed in the slide #3 of R`4-1805985 are mandatory with a single CC. 90MHz is optional for n41, n77, n78.</w:t>
            </w:r>
          </w:p>
        </w:tc>
        <w:tc>
          <w:tcPr>
            <w:tcW w:w="639" w:type="pct"/>
            <w:tcBorders>
              <w:top w:val="single" w:sz="4" w:space="0" w:color="auto"/>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single" w:sz="4" w:space="0" w:color="auto"/>
              <w:left w:val="nil"/>
              <w:bottom w:val="single" w:sz="4" w:space="0" w:color="auto"/>
              <w:right w:val="single" w:sz="4" w:space="0" w:color="auto"/>
            </w:tcBorders>
          </w:tcPr>
          <w:p w:rsidR="00C93C35" w:rsidRPr="008818BC" w:rsidRDefault="00003C69"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Mandatory channel bandwidth should be applied for</w:t>
            </w:r>
            <w:r w:rsidRPr="00003C69">
              <w:rPr>
                <w:rFonts w:ascii="Arial" w:eastAsia="DengXian" w:hAnsi="Arial" w:cs="Arial"/>
                <w:color w:val="000000"/>
                <w:kern w:val="0"/>
                <w:sz w:val="18"/>
                <w:szCs w:val="18"/>
              </w:rPr>
              <w:t xml:space="preserve"> IAB usage to reduce operational restrictions for each site in different environments.</w:t>
            </w:r>
          </w:p>
        </w:tc>
      </w:tr>
      <w:tr w:rsidR="00C93C35" w:rsidRPr="008818BC" w:rsidTr="00C93C35">
        <w:trPr>
          <w:trHeight w:val="280"/>
        </w:trPr>
        <w:tc>
          <w:tcPr>
            <w:tcW w:w="286" w:type="pct"/>
            <w:vMerge/>
            <w:tcBorders>
              <w:left w:val="single" w:sz="4" w:space="0" w:color="auto"/>
              <w:bottom w:val="single" w:sz="4" w:space="0" w:color="auto"/>
              <w:right w:val="single" w:sz="4" w:space="0" w:color="auto"/>
            </w:tcBorders>
            <w:shd w:val="clear" w:color="auto" w:fill="auto"/>
            <w:vAlign w:val="center"/>
            <w:hideMark/>
          </w:tcPr>
          <w:p w:rsidR="00C93C35" w:rsidRPr="008818BC" w:rsidRDefault="00C93C35" w:rsidP="00C93C35">
            <w:pPr>
              <w:widowControl/>
              <w:jc w:val="left"/>
              <w:rPr>
                <w:rFonts w:ascii="Arial" w:eastAsia="DengXian" w:hAnsi="Arial" w:cs="Arial"/>
                <w:color w:val="000000"/>
                <w:kern w:val="0"/>
                <w:sz w:val="18"/>
                <w:szCs w:val="18"/>
              </w:rPr>
            </w:pPr>
          </w:p>
        </w:tc>
        <w:tc>
          <w:tcPr>
            <w:tcW w:w="1143" w:type="pct"/>
            <w:vMerge/>
            <w:tcBorders>
              <w:left w:val="nil"/>
              <w:bottom w:val="single" w:sz="4" w:space="0" w:color="auto"/>
              <w:right w:val="single" w:sz="4" w:space="0" w:color="auto"/>
            </w:tcBorders>
            <w:shd w:val="clear" w:color="auto" w:fill="auto"/>
            <w:vAlign w:val="center"/>
          </w:tcPr>
          <w:p w:rsidR="00C93C35" w:rsidRPr="008818BC" w:rsidRDefault="00C93C35" w:rsidP="00C93C35">
            <w:pPr>
              <w:widowControl/>
              <w:jc w:val="left"/>
              <w:rPr>
                <w:rFonts w:ascii="Arial" w:eastAsia="DengXian" w:hAnsi="Arial" w:cs="Arial"/>
                <w:color w:val="000000"/>
                <w:kern w:val="0"/>
                <w:sz w:val="18"/>
                <w:szCs w:val="18"/>
              </w:rPr>
            </w:pPr>
          </w:p>
        </w:tc>
        <w:tc>
          <w:tcPr>
            <w:tcW w:w="929" w:type="pct"/>
            <w:tcBorders>
              <w:top w:val="nil"/>
              <w:left w:val="nil"/>
              <w:bottom w:val="single" w:sz="4" w:space="0" w:color="auto"/>
              <w:right w:val="single" w:sz="4" w:space="0" w:color="auto"/>
            </w:tcBorders>
            <w:shd w:val="clear" w:color="auto" w:fill="auto"/>
            <w:vAlign w:val="center"/>
            <w:hideMark/>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For FR2, the set of mandatory CBW is 50, 100, 200 MHz.</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6B0552"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Mandatory channel bandwidth should be applied for</w:t>
            </w:r>
            <w:r w:rsidRPr="00003C69">
              <w:rPr>
                <w:rFonts w:ascii="Arial" w:eastAsia="DengXian" w:hAnsi="Arial" w:cs="Arial"/>
                <w:color w:val="000000"/>
                <w:kern w:val="0"/>
                <w:sz w:val="18"/>
                <w:szCs w:val="18"/>
              </w:rPr>
              <w:t xml:space="preserve"> IAB usage to reduce operational restrictions for each site in different environments.</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hideMark/>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lastRenderedPageBreak/>
              <w:t>2-2</w:t>
            </w:r>
          </w:p>
        </w:tc>
        <w:tc>
          <w:tcPr>
            <w:tcW w:w="1143" w:type="pct"/>
            <w:tcBorders>
              <w:top w:val="nil"/>
              <w:left w:val="nil"/>
              <w:bottom w:val="single" w:sz="4" w:space="0" w:color="auto"/>
              <w:right w:val="single" w:sz="4" w:space="0" w:color="auto"/>
            </w:tcBorders>
            <w:shd w:val="clear" w:color="auto" w:fill="auto"/>
            <w:vAlign w:val="center"/>
            <w:hideMark/>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Simultaneous reception or transmission with same or different numerologies in CA</w:t>
            </w:r>
          </w:p>
        </w:tc>
        <w:tc>
          <w:tcPr>
            <w:tcW w:w="929" w:type="pct"/>
            <w:tcBorders>
              <w:top w:val="nil"/>
              <w:left w:val="nil"/>
              <w:bottom w:val="single" w:sz="4" w:space="0" w:color="auto"/>
              <w:right w:val="single" w:sz="4" w:space="0" w:color="auto"/>
            </w:tcBorders>
            <w:shd w:val="clear" w:color="auto" w:fill="auto"/>
            <w:vAlign w:val="center"/>
            <w:hideMark/>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8F07EB" w:rsidP="008F07EB">
            <w:pPr>
              <w:widowControl/>
              <w:jc w:val="left"/>
              <w:rPr>
                <w:rFonts w:ascii="Arial" w:eastAsia="DengXian" w:hAnsi="Arial" w:cs="Arial"/>
                <w:color w:val="000000"/>
                <w:kern w:val="0"/>
                <w:sz w:val="18"/>
                <w:szCs w:val="18"/>
              </w:rPr>
            </w:pPr>
            <w:r w:rsidRPr="008F07EB">
              <w:rPr>
                <w:rFonts w:ascii="Arial" w:eastAsia="DengXian" w:hAnsi="Arial" w:cs="Arial"/>
                <w:color w:val="000000"/>
                <w:kern w:val="0"/>
                <w:sz w:val="18"/>
                <w:szCs w:val="18"/>
              </w:rPr>
              <w:t xml:space="preserve">Only mandatory case is the FR1+FR2 inter band CA mixed numerologies should be supported. This should be mandatory </w:t>
            </w:r>
            <w:r>
              <w:rPr>
                <w:rFonts w:ascii="Arial" w:eastAsia="DengXian" w:hAnsi="Arial" w:cs="Arial"/>
                <w:color w:val="000000"/>
                <w:kern w:val="0"/>
                <w:sz w:val="18"/>
                <w:szCs w:val="18"/>
              </w:rPr>
              <w:t xml:space="preserve">feature </w:t>
            </w:r>
            <w:r w:rsidRPr="008F07EB">
              <w:rPr>
                <w:rFonts w:ascii="Arial" w:eastAsia="DengXian" w:hAnsi="Arial" w:cs="Arial"/>
                <w:color w:val="000000"/>
                <w:kern w:val="0"/>
                <w:sz w:val="18"/>
                <w:szCs w:val="18"/>
              </w:rPr>
              <w:t>for IAB-MT as well.</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2-3</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Non-contiguous intra-band CA frequency separation class for FR2</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 to support a frequency separation class within {I, II, III} specified in TS38.10`1-2 with capability if UE supports non-contiguous CA in FR2</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BF30E2" w:rsidP="00BF30E2">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It is assumed that the</w:t>
            </w:r>
            <w:r w:rsidRPr="00BF30E2">
              <w:rPr>
                <w:rFonts w:ascii="Arial" w:eastAsia="DengXian" w:hAnsi="Arial" w:cs="Arial"/>
                <w:color w:val="000000"/>
                <w:kern w:val="0"/>
                <w:sz w:val="18"/>
                <w:szCs w:val="18"/>
              </w:rPr>
              <w:t xml:space="preserve"> same definition of separation </w:t>
            </w:r>
            <w:r>
              <w:rPr>
                <w:rFonts w:ascii="Arial" w:eastAsia="DengXian" w:hAnsi="Arial" w:cs="Arial"/>
                <w:color w:val="000000"/>
                <w:kern w:val="0"/>
                <w:sz w:val="18"/>
                <w:szCs w:val="18"/>
              </w:rPr>
              <w:t>will be applied for IAB-MT for FR2. And</w:t>
            </w:r>
            <w:r w:rsidRPr="00BF30E2">
              <w:rPr>
                <w:rFonts w:ascii="Arial" w:eastAsia="DengXian" w:hAnsi="Arial" w:cs="Arial"/>
                <w:color w:val="000000"/>
                <w:kern w:val="0"/>
                <w:sz w:val="18"/>
                <w:szCs w:val="18"/>
              </w:rPr>
              <w:t xml:space="preserve"> this</w:t>
            </w:r>
            <w:r>
              <w:rPr>
                <w:rFonts w:ascii="Arial" w:eastAsia="DengXian" w:hAnsi="Arial" w:cs="Arial"/>
                <w:color w:val="000000"/>
                <w:kern w:val="0"/>
                <w:sz w:val="18"/>
                <w:szCs w:val="18"/>
              </w:rPr>
              <w:t xml:space="preserve"> feature</w:t>
            </w:r>
            <w:r w:rsidRPr="00BF30E2">
              <w:rPr>
                <w:rFonts w:ascii="Arial" w:eastAsia="DengXian" w:hAnsi="Arial" w:cs="Arial"/>
                <w:color w:val="000000"/>
                <w:kern w:val="0"/>
                <w:sz w:val="18"/>
                <w:szCs w:val="18"/>
              </w:rPr>
              <w:t xml:space="preserve"> should be mandatory for IAB-MT just as UE.</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2-4</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Simultaneous reception and transmission for inter-band EN-DC (TDD-TDD or TDD-FDD)</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Mandatory/Optional support depends on band combination and captured in TS 38.10`1-3</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BF30E2" w:rsidP="00C93C35">
            <w:pPr>
              <w:widowControl/>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T</w:t>
            </w:r>
            <w:r>
              <w:rPr>
                <w:rFonts w:ascii="Arial" w:eastAsia="DengXian" w:hAnsi="Arial" w:cs="Arial"/>
                <w:color w:val="000000"/>
                <w:kern w:val="0"/>
                <w:sz w:val="18"/>
                <w:szCs w:val="18"/>
              </w:rPr>
              <w:t xml:space="preserve">he capability should be aware by donor gNB or parent IAB-DU for scheduling if the inter-band ENDC comb is to be supported. </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2-5</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Simultaneous reception and transmission for inter band CA (TDD-TDD or TDD-FDD)</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Mandatory/Optional support depends on band combination and captured in TS 38.10`1-1, TS 38.10`1-2 and TS 38.10`1-3</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BF30E2" w:rsidP="00BF30E2">
            <w:pPr>
              <w:widowControl/>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T</w:t>
            </w:r>
            <w:r>
              <w:rPr>
                <w:rFonts w:ascii="Arial" w:eastAsia="DengXian" w:hAnsi="Arial" w:cs="Arial"/>
                <w:color w:val="000000"/>
                <w:kern w:val="0"/>
                <w:sz w:val="18"/>
                <w:szCs w:val="18"/>
              </w:rPr>
              <w:t>he capability should be aware by donor gNB or parent IAB-DU for scheduling if the inter-band CA comb is to be supported.</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2-8</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UE power class</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 xml:space="preserve">Mandatory to support at least one power class with capability. The capability </w:t>
            </w:r>
            <w:r>
              <w:rPr>
                <w:rFonts w:ascii="Arial" w:eastAsia="DengXian" w:hAnsi="Arial" w:cs="Arial"/>
                <w:color w:val="000000"/>
                <w:sz w:val="18"/>
                <w:szCs w:val="18"/>
              </w:rPr>
              <w:lastRenderedPageBreak/>
              <w:t>signalling is absent if UE supports only default power class</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lastRenderedPageBreak/>
              <w:t>No</w:t>
            </w:r>
          </w:p>
        </w:tc>
        <w:tc>
          <w:tcPr>
            <w:tcW w:w="2003" w:type="pct"/>
            <w:tcBorders>
              <w:top w:val="nil"/>
              <w:left w:val="nil"/>
              <w:bottom w:val="single" w:sz="4" w:space="0" w:color="auto"/>
              <w:right w:val="single" w:sz="4" w:space="0" w:color="auto"/>
            </w:tcBorders>
          </w:tcPr>
          <w:p w:rsidR="00C93C35" w:rsidRDefault="00BF30E2" w:rsidP="00BF30E2">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 xml:space="preserve">This would be important if MPR/A-MPR reduction to be defined. It is beneficial for Network side to understand the reduction is based on which level. And even if no reduction needed under any </w:t>
            </w:r>
            <w:r>
              <w:rPr>
                <w:rFonts w:ascii="Arial" w:eastAsia="DengXian" w:hAnsi="Arial" w:cs="Arial"/>
                <w:color w:val="000000"/>
                <w:kern w:val="0"/>
                <w:sz w:val="18"/>
                <w:szCs w:val="18"/>
              </w:rPr>
              <w:lastRenderedPageBreak/>
              <w:t xml:space="preserve">condition, it would be helpful to deliver it network especially for inter-vendor operation. </w:t>
            </w:r>
          </w:p>
          <w:p w:rsidR="00BF30E2" w:rsidRPr="008818BC" w:rsidRDefault="00BF30E2" w:rsidP="00BF30E2">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 xml:space="preserve">Even though IAB-MT power definition follows BS framework, this can be mapped for IAB-MT purpose. </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lastRenderedPageBreak/>
              <w:t>2-9</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Simultaneous reception and transmission for SA SUL band combinations</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Mandatory/Optional support depends on band combination and captured in TS 38.10`1-1</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p>
        </w:tc>
      </w:tr>
      <w:tr w:rsidR="004E79AF"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4E79AF" w:rsidRDefault="004E79AF" w:rsidP="004E79AF">
            <w:pPr>
              <w:widowControl/>
              <w:jc w:val="left"/>
              <w:rPr>
                <w:rFonts w:ascii="Arial" w:eastAsia="DengXian" w:hAnsi="Arial" w:cs="Arial"/>
                <w:color w:val="000000"/>
                <w:sz w:val="18"/>
                <w:szCs w:val="18"/>
              </w:rPr>
            </w:pPr>
            <w:r>
              <w:rPr>
                <w:rFonts w:ascii="Arial" w:eastAsia="DengXian" w:hAnsi="Arial" w:cs="Arial"/>
                <w:color w:val="000000"/>
                <w:sz w:val="18"/>
                <w:szCs w:val="18"/>
              </w:rPr>
              <w:t>2-10</w:t>
            </w:r>
          </w:p>
        </w:tc>
        <w:tc>
          <w:tcPr>
            <w:tcW w:w="1143" w:type="pct"/>
            <w:tcBorders>
              <w:top w:val="nil"/>
              <w:left w:val="nil"/>
              <w:bottom w:val="single" w:sz="4" w:space="0" w:color="auto"/>
              <w:right w:val="single" w:sz="4" w:space="0" w:color="auto"/>
            </w:tcBorders>
            <w:shd w:val="clear" w:color="auto" w:fill="auto"/>
            <w:vAlign w:val="center"/>
          </w:tcPr>
          <w:p w:rsidR="004E79AF" w:rsidRDefault="004E79AF" w:rsidP="004E79AF">
            <w:pPr>
              <w:rPr>
                <w:rFonts w:ascii="Arial" w:eastAsia="DengXian" w:hAnsi="Arial" w:cs="Arial"/>
                <w:color w:val="000000"/>
                <w:sz w:val="18"/>
                <w:szCs w:val="18"/>
              </w:rPr>
            </w:pPr>
            <w:r>
              <w:rPr>
                <w:rFonts w:ascii="Arial" w:eastAsia="DengXian" w:hAnsi="Arial" w:cs="Arial"/>
                <w:color w:val="000000"/>
                <w:sz w:val="18"/>
                <w:szCs w:val="18"/>
              </w:rPr>
              <w:t>Multiple frequency band indication</w:t>
            </w:r>
          </w:p>
        </w:tc>
        <w:tc>
          <w:tcPr>
            <w:tcW w:w="929" w:type="pct"/>
            <w:tcBorders>
              <w:top w:val="nil"/>
              <w:left w:val="nil"/>
              <w:bottom w:val="single" w:sz="4" w:space="0" w:color="auto"/>
              <w:right w:val="single" w:sz="4" w:space="0" w:color="auto"/>
            </w:tcBorders>
            <w:shd w:val="clear" w:color="auto" w:fill="auto"/>
            <w:vAlign w:val="center"/>
          </w:tcPr>
          <w:p w:rsidR="004E79AF" w:rsidRDefault="004E79AF" w:rsidP="004E79AF">
            <w:pPr>
              <w:rPr>
                <w:rFonts w:ascii="Arial" w:eastAsia="DengXian" w:hAnsi="Arial" w:cs="Arial"/>
                <w:color w:val="000000"/>
                <w:sz w:val="18"/>
                <w:szCs w:val="18"/>
              </w:rPr>
            </w:pPr>
            <w:r>
              <w:rPr>
                <w:rFonts w:ascii="Arial" w:eastAsia="DengXian" w:hAnsi="Arial" w:cs="Arial"/>
                <w:color w:val="000000"/>
                <w:sz w:val="18"/>
                <w:szCs w:val="18"/>
              </w:rPr>
              <w:t>Mandatory without capability signalling</w:t>
            </w:r>
          </w:p>
        </w:tc>
        <w:tc>
          <w:tcPr>
            <w:tcW w:w="639" w:type="pct"/>
            <w:tcBorders>
              <w:top w:val="nil"/>
              <w:left w:val="nil"/>
              <w:bottom w:val="single" w:sz="4" w:space="0" w:color="auto"/>
              <w:right w:val="single" w:sz="4" w:space="0" w:color="auto"/>
            </w:tcBorders>
          </w:tcPr>
          <w:p w:rsidR="004E79AF" w:rsidRPr="008818BC" w:rsidRDefault="004E79AF" w:rsidP="004E79AF">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4E79AF" w:rsidRPr="008818BC" w:rsidRDefault="004E79AF" w:rsidP="004E79AF">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This is fundamental feature should be mandatory supported by IAB-MT as well.</w:t>
            </w:r>
            <w:r w:rsidR="00510E9C">
              <w:rPr>
                <w:rFonts w:ascii="Arial" w:eastAsia="DengXian" w:hAnsi="Arial" w:cs="Arial"/>
                <w:color w:val="000000"/>
                <w:kern w:val="0"/>
                <w:sz w:val="18"/>
                <w:szCs w:val="18"/>
              </w:rPr>
              <w:t xml:space="preserve"> </w:t>
            </w:r>
            <w:r w:rsidR="00510E9C" w:rsidRPr="00510E9C">
              <w:rPr>
                <w:rFonts w:ascii="Arial" w:eastAsia="DengXian" w:hAnsi="Arial" w:cs="Arial"/>
                <w:color w:val="000000"/>
                <w:kern w:val="0"/>
                <w:sz w:val="18"/>
                <w:szCs w:val="18"/>
              </w:rPr>
              <w:t>Ot</w:t>
            </w:r>
            <w:r w:rsidR="00510E9C" w:rsidRPr="00510E9C">
              <w:rPr>
                <w:rFonts w:ascii="Arial" w:eastAsia="DengXian" w:hAnsi="Arial" w:cs="Arial" w:hint="eastAsia"/>
                <w:color w:val="000000"/>
                <w:kern w:val="0"/>
                <w:sz w:val="18"/>
                <w:szCs w:val="18"/>
              </w:rPr>
              <w:t xml:space="preserve">herwise, new capability signalling have to </w:t>
            </w:r>
            <w:r w:rsidR="00510E9C" w:rsidRPr="00510E9C">
              <w:rPr>
                <w:rFonts w:ascii="Arial" w:eastAsia="DengXian" w:hAnsi="Arial" w:cs="Arial"/>
                <w:color w:val="000000"/>
                <w:kern w:val="0"/>
                <w:sz w:val="18"/>
                <w:szCs w:val="18"/>
              </w:rPr>
              <w:t xml:space="preserve">be </w:t>
            </w:r>
            <w:r w:rsidR="00510E9C" w:rsidRPr="00510E9C">
              <w:rPr>
                <w:rFonts w:ascii="Arial" w:eastAsia="DengXian" w:hAnsi="Arial" w:cs="Arial" w:hint="eastAsia"/>
                <w:color w:val="000000"/>
                <w:kern w:val="0"/>
                <w:sz w:val="18"/>
                <w:szCs w:val="18"/>
              </w:rPr>
              <w:t>discussed</w:t>
            </w:r>
            <w:r w:rsidR="00510E9C" w:rsidRPr="00510E9C">
              <w:rPr>
                <w:rFonts w:ascii="Arial" w:eastAsia="DengXian" w:hAnsi="Arial" w:cs="Arial"/>
                <w:color w:val="000000"/>
                <w:kern w:val="0"/>
                <w:sz w:val="18"/>
                <w:szCs w:val="18"/>
              </w:rPr>
              <w:t xml:space="preserve"> which is not aligned with RAN-P guideline to minimize the spec impact.</w:t>
            </w:r>
          </w:p>
        </w:tc>
      </w:tr>
      <w:tr w:rsidR="004E79AF"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4E79AF" w:rsidRDefault="004E79AF" w:rsidP="004E79AF">
            <w:pPr>
              <w:rPr>
                <w:rFonts w:ascii="Arial" w:eastAsia="DengXian" w:hAnsi="Arial" w:cs="Arial"/>
                <w:color w:val="000000"/>
                <w:sz w:val="18"/>
                <w:szCs w:val="18"/>
              </w:rPr>
            </w:pPr>
            <w:r>
              <w:rPr>
                <w:rFonts w:ascii="Arial" w:eastAsia="DengXian" w:hAnsi="Arial" w:cs="Arial"/>
                <w:color w:val="000000"/>
                <w:sz w:val="18"/>
                <w:szCs w:val="18"/>
              </w:rPr>
              <w:t>2-12</w:t>
            </w:r>
          </w:p>
        </w:tc>
        <w:tc>
          <w:tcPr>
            <w:tcW w:w="1143" w:type="pct"/>
            <w:tcBorders>
              <w:top w:val="nil"/>
              <w:left w:val="nil"/>
              <w:bottom w:val="single" w:sz="4" w:space="0" w:color="auto"/>
              <w:right w:val="single" w:sz="4" w:space="0" w:color="auto"/>
            </w:tcBorders>
            <w:shd w:val="clear" w:color="auto" w:fill="auto"/>
            <w:vAlign w:val="center"/>
          </w:tcPr>
          <w:p w:rsidR="004E79AF" w:rsidRDefault="004E79AF" w:rsidP="004E79AF">
            <w:pPr>
              <w:rPr>
                <w:rFonts w:ascii="Arial" w:eastAsia="DengXian" w:hAnsi="Arial" w:cs="Arial"/>
                <w:color w:val="000000"/>
                <w:sz w:val="18"/>
                <w:szCs w:val="18"/>
              </w:rPr>
            </w:pPr>
            <w:r>
              <w:rPr>
                <w:rFonts w:ascii="Arial" w:eastAsia="DengXian" w:hAnsi="Arial" w:cs="Arial"/>
                <w:color w:val="000000"/>
                <w:sz w:val="18"/>
                <w:szCs w:val="18"/>
              </w:rPr>
              <w:t>Multiple NS/P-Max</w:t>
            </w:r>
          </w:p>
        </w:tc>
        <w:tc>
          <w:tcPr>
            <w:tcW w:w="929" w:type="pct"/>
            <w:tcBorders>
              <w:top w:val="nil"/>
              <w:left w:val="nil"/>
              <w:bottom w:val="single" w:sz="4" w:space="0" w:color="auto"/>
              <w:right w:val="single" w:sz="4" w:space="0" w:color="auto"/>
            </w:tcBorders>
            <w:shd w:val="clear" w:color="auto" w:fill="auto"/>
            <w:vAlign w:val="center"/>
          </w:tcPr>
          <w:p w:rsidR="004E79AF" w:rsidRDefault="004E79AF" w:rsidP="004E79AF">
            <w:pPr>
              <w:rPr>
                <w:rFonts w:ascii="Arial" w:eastAsia="DengXian" w:hAnsi="Arial" w:cs="Arial"/>
                <w:color w:val="000000"/>
                <w:sz w:val="18"/>
                <w:szCs w:val="18"/>
              </w:rPr>
            </w:pPr>
            <w:r>
              <w:rPr>
                <w:rFonts w:ascii="Arial" w:eastAsia="DengXian" w:hAnsi="Arial" w:cs="Arial"/>
                <w:color w:val="000000"/>
                <w:sz w:val="18"/>
                <w:szCs w:val="18"/>
              </w:rPr>
              <w:t>Mandatory without capability signalling</w:t>
            </w:r>
          </w:p>
        </w:tc>
        <w:tc>
          <w:tcPr>
            <w:tcW w:w="639" w:type="pct"/>
            <w:tcBorders>
              <w:top w:val="nil"/>
              <w:left w:val="nil"/>
              <w:bottom w:val="single" w:sz="4" w:space="0" w:color="auto"/>
              <w:right w:val="single" w:sz="4" w:space="0" w:color="auto"/>
            </w:tcBorders>
          </w:tcPr>
          <w:p w:rsidR="004E79AF" w:rsidRPr="008818BC" w:rsidRDefault="004E79AF" w:rsidP="004E79AF">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4E79AF" w:rsidRPr="008818BC" w:rsidRDefault="004E79AF" w:rsidP="004E79AF">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 harm to support this default feature</w:t>
            </w:r>
            <w:r w:rsidR="00510E9C">
              <w:rPr>
                <w:rFonts w:ascii="Arial" w:eastAsia="DengXian" w:hAnsi="Arial" w:cs="Arial"/>
                <w:color w:val="000000"/>
                <w:kern w:val="0"/>
                <w:sz w:val="18"/>
                <w:szCs w:val="18"/>
              </w:rPr>
              <w:t xml:space="preserve">. </w:t>
            </w:r>
            <w:r w:rsidR="00510E9C" w:rsidRPr="00510E9C">
              <w:rPr>
                <w:rFonts w:ascii="Arial" w:eastAsia="DengXian" w:hAnsi="Arial" w:cs="Arial"/>
                <w:color w:val="000000"/>
                <w:kern w:val="0"/>
                <w:sz w:val="18"/>
                <w:szCs w:val="18"/>
              </w:rPr>
              <w:t>Ot</w:t>
            </w:r>
            <w:r w:rsidR="00510E9C" w:rsidRPr="00510E9C">
              <w:rPr>
                <w:rFonts w:ascii="Arial" w:eastAsia="DengXian" w:hAnsi="Arial" w:cs="Arial" w:hint="eastAsia"/>
                <w:color w:val="000000"/>
                <w:kern w:val="0"/>
                <w:sz w:val="18"/>
                <w:szCs w:val="18"/>
              </w:rPr>
              <w:t xml:space="preserve">herwise, new capability signalling have to </w:t>
            </w:r>
            <w:r w:rsidR="00510E9C" w:rsidRPr="00510E9C">
              <w:rPr>
                <w:rFonts w:ascii="Arial" w:eastAsia="DengXian" w:hAnsi="Arial" w:cs="Arial"/>
                <w:color w:val="000000"/>
                <w:kern w:val="0"/>
                <w:sz w:val="18"/>
                <w:szCs w:val="18"/>
              </w:rPr>
              <w:t xml:space="preserve">be </w:t>
            </w:r>
            <w:r w:rsidR="00510E9C" w:rsidRPr="00510E9C">
              <w:rPr>
                <w:rFonts w:ascii="Arial" w:eastAsia="DengXian" w:hAnsi="Arial" w:cs="Arial" w:hint="eastAsia"/>
                <w:color w:val="000000"/>
                <w:kern w:val="0"/>
                <w:sz w:val="18"/>
                <w:szCs w:val="18"/>
              </w:rPr>
              <w:t>discussed</w:t>
            </w:r>
            <w:r w:rsidR="00510E9C" w:rsidRPr="00510E9C">
              <w:rPr>
                <w:rFonts w:ascii="Arial" w:eastAsia="DengXian" w:hAnsi="Arial" w:cs="Arial"/>
                <w:color w:val="000000"/>
                <w:kern w:val="0"/>
                <w:sz w:val="18"/>
                <w:szCs w:val="18"/>
              </w:rPr>
              <w:t xml:space="preserve"> which is not aligned with RAN-P guideline to minimize the spec impact.</w:t>
            </w:r>
          </w:p>
        </w:tc>
      </w:tr>
      <w:tr w:rsidR="00C93C35"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C93C35" w:rsidRDefault="00C93C35" w:rsidP="00C93C35">
            <w:pPr>
              <w:widowControl/>
              <w:jc w:val="left"/>
              <w:rPr>
                <w:rFonts w:ascii="Arial" w:eastAsia="DengXian" w:hAnsi="Arial" w:cs="Arial"/>
                <w:color w:val="000000"/>
                <w:sz w:val="18"/>
                <w:szCs w:val="18"/>
              </w:rPr>
            </w:pPr>
            <w:r>
              <w:rPr>
                <w:rFonts w:ascii="Arial" w:eastAsia="DengXian" w:hAnsi="Arial" w:cs="Arial"/>
                <w:color w:val="000000"/>
                <w:sz w:val="18"/>
                <w:szCs w:val="18"/>
              </w:rPr>
              <w:t>2-16</w:t>
            </w:r>
          </w:p>
        </w:tc>
        <w:tc>
          <w:tcPr>
            <w:tcW w:w="1143"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PA architectures for intra-band EN-DC</w:t>
            </w:r>
          </w:p>
        </w:tc>
        <w:tc>
          <w:tcPr>
            <w:tcW w:w="929" w:type="pct"/>
            <w:tcBorders>
              <w:top w:val="nil"/>
              <w:left w:val="nil"/>
              <w:bottom w:val="single" w:sz="4" w:space="0" w:color="auto"/>
              <w:right w:val="single" w:sz="4" w:space="0" w:color="auto"/>
            </w:tcBorders>
            <w:shd w:val="clear" w:color="auto" w:fill="auto"/>
            <w:vAlign w:val="center"/>
          </w:tcPr>
          <w:p w:rsidR="00C93C35" w:rsidRDefault="00C93C35" w:rsidP="00C93C35">
            <w:pPr>
              <w:rPr>
                <w:rFonts w:ascii="Arial" w:eastAsia="DengXian" w:hAnsi="Arial" w:cs="Arial"/>
                <w:color w:val="000000"/>
                <w:sz w:val="18"/>
                <w:szCs w:val="18"/>
              </w:rPr>
            </w:pPr>
            <w:r>
              <w:rPr>
                <w:rFonts w:ascii="Arial" w:eastAsia="DengXian" w:hAnsi="Arial" w:cs="Arial"/>
                <w:color w:val="000000"/>
                <w:sz w:val="18"/>
                <w:szCs w:val="18"/>
              </w:rPr>
              <w:t>Mandatory to support either single or dual PA architectures with capability if UE supports intra-band EN-DC configuration in uplink. The capability signalling is absent if UE supports single PA architecture.</w:t>
            </w:r>
          </w:p>
        </w:tc>
        <w:tc>
          <w:tcPr>
            <w:tcW w:w="639" w:type="pct"/>
            <w:tcBorders>
              <w:top w:val="nil"/>
              <w:left w:val="nil"/>
              <w:bottom w:val="single" w:sz="4" w:space="0" w:color="auto"/>
              <w:right w:val="single" w:sz="4" w:space="0" w:color="auto"/>
            </w:tcBorders>
          </w:tcPr>
          <w:p w:rsidR="00C93C35" w:rsidRPr="008818BC" w:rsidRDefault="00C93C35" w:rsidP="00C93C35">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No</w:t>
            </w:r>
          </w:p>
        </w:tc>
        <w:tc>
          <w:tcPr>
            <w:tcW w:w="2003" w:type="pct"/>
            <w:tcBorders>
              <w:top w:val="nil"/>
              <w:left w:val="nil"/>
              <w:bottom w:val="single" w:sz="4" w:space="0" w:color="auto"/>
              <w:right w:val="single" w:sz="4" w:space="0" w:color="auto"/>
            </w:tcBorders>
          </w:tcPr>
          <w:p w:rsidR="00C93C35" w:rsidRPr="008818BC" w:rsidRDefault="00D106E5" w:rsidP="00C93C35">
            <w:pPr>
              <w:widowControl/>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T</w:t>
            </w:r>
            <w:r>
              <w:rPr>
                <w:rFonts w:ascii="Arial" w:eastAsia="DengXian" w:hAnsi="Arial" w:cs="Arial"/>
                <w:color w:val="000000"/>
                <w:kern w:val="0"/>
                <w:sz w:val="18"/>
                <w:szCs w:val="18"/>
              </w:rPr>
              <w:t xml:space="preserve">his feature is for sub 6GHz only. This should be claimed if corresponding ENDC configuration to be supported by IAB-MT. </w:t>
            </w:r>
          </w:p>
        </w:tc>
      </w:tr>
      <w:tr w:rsidR="00BC684D" w:rsidRPr="008818BC" w:rsidTr="00C93C35">
        <w:trPr>
          <w:trHeight w:val="280"/>
        </w:trPr>
        <w:tc>
          <w:tcPr>
            <w:tcW w:w="286" w:type="pct"/>
            <w:tcBorders>
              <w:top w:val="nil"/>
              <w:left w:val="single" w:sz="4" w:space="0" w:color="auto"/>
              <w:bottom w:val="single" w:sz="4" w:space="0" w:color="auto"/>
              <w:right w:val="single" w:sz="4" w:space="0" w:color="auto"/>
            </w:tcBorders>
            <w:shd w:val="clear" w:color="auto" w:fill="auto"/>
            <w:vAlign w:val="center"/>
          </w:tcPr>
          <w:p w:rsidR="00BC684D" w:rsidRDefault="00BC684D" w:rsidP="00BC684D">
            <w:pPr>
              <w:rPr>
                <w:rFonts w:ascii="Arial" w:eastAsia="DengXian" w:hAnsi="Arial" w:cs="Arial"/>
                <w:color w:val="000000"/>
                <w:sz w:val="18"/>
                <w:szCs w:val="18"/>
              </w:rPr>
            </w:pPr>
            <w:r>
              <w:rPr>
                <w:rFonts w:ascii="Arial" w:eastAsia="DengXian" w:hAnsi="Arial" w:cs="Arial"/>
                <w:color w:val="000000"/>
                <w:sz w:val="18"/>
                <w:szCs w:val="18"/>
              </w:rPr>
              <w:t>2-17</w:t>
            </w:r>
          </w:p>
        </w:tc>
        <w:tc>
          <w:tcPr>
            <w:tcW w:w="1143" w:type="pct"/>
            <w:tcBorders>
              <w:top w:val="nil"/>
              <w:left w:val="nil"/>
              <w:bottom w:val="single" w:sz="4" w:space="0" w:color="auto"/>
              <w:right w:val="single" w:sz="4" w:space="0" w:color="auto"/>
            </w:tcBorders>
            <w:shd w:val="clear" w:color="auto" w:fill="auto"/>
            <w:vAlign w:val="center"/>
          </w:tcPr>
          <w:p w:rsidR="00BC684D" w:rsidRDefault="00BC684D" w:rsidP="00BC684D">
            <w:pPr>
              <w:rPr>
                <w:rFonts w:ascii="Arial" w:eastAsia="DengXian" w:hAnsi="Arial" w:cs="Arial"/>
                <w:color w:val="000000"/>
                <w:sz w:val="18"/>
                <w:szCs w:val="18"/>
              </w:rPr>
            </w:pPr>
            <w:r>
              <w:rPr>
                <w:rFonts w:ascii="Arial" w:eastAsia="DengXian" w:hAnsi="Arial" w:cs="Arial"/>
                <w:color w:val="000000"/>
                <w:sz w:val="18"/>
                <w:szCs w:val="18"/>
              </w:rPr>
              <w:t>PA architectures for intra-band UL CA</w:t>
            </w:r>
          </w:p>
        </w:tc>
        <w:tc>
          <w:tcPr>
            <w:tcW w:w="929" w:type="pct"/>
            <w:tcBorders>
              <w:top w:val="nil"/>
              <w:left w:val="nil"/>
              <w:bottom w:val="single" w:sz="4" w:space="0" w:color="auto"/>
              <w:right w:val="single" w:sz="4" w:space="0" w:color="auto"/>
            </w:tcBorders>
            <w:shd w:val="clear" w:color="auto" w:fill="auto"/>
            <w:vAlign w:val="center"/>
          </w:tcPr>
          <w:p w:rsidR="00BC684D" w:rsidRDefault="00BC684D" w:rsidP="00BC684D">
            <w:pPr>
              <w:rPr>
                <w:rFonts w:ascii="Arial" w:eastAsia="DengXian" w:hAnsi="Arial" w:cs="Arial"/>
                <w:color w:val="000000"/>
                <w:sz w:val="18"/>
                <w:szCs w:val="18"/>
              </w:rPr>
            </w:pPr>
            <w:r>
              <w:rPr>
                <w:rFonts w:ascii="Arial" w:eastAsia="DengXian" w:hAnsi="Arial" w:cs="Arial"/>
                <w:color w:val="000000"/>
                <w:sz w:val="18"/>
                <w:szCs w:val="18"/>
              </w:rPr>
              <w:t>Mandatory to support either single or dual PA architectures with capability if UE supports intra-band CA configuration in uplink. The capability signalling is absent if UE supports single PA architecture</w:t>
            </w:r>
          </w:p>
        </w:tc>
        <w:tc>
          <w:tcPr>
            <w:tcW w:w="639" w:type="pct"/>
            <w:tcBorders>
              <w:top w:val="nil"/>
              <w:left w:val="nil"/>
              <w:bottom w:val="single" w:sz="4" w:space="0" w:color="auto"/>
              <w:right w:val="single" w:sz="4" w:space="0" w:color="auto"/>
            </w:tcBorders>
          </w:tcPr>
          <w:p w:rsidR="00BC684D" w:rsidRPr="008818BC" w:rsidRDefault="00C93C35" w:rsidP="00BC684D">
            <w:pPr>
              <w:widowControl/>
              <w:jc w:val="left"/>
              <w:rPr>
                <w:rFonts w:ascii="Arial" w:eastAsia="DengXian" w:hAnsi="Arial" w:cs="Arial"/>
                <w:color w:val="000000"/>
                <w:kern w:val="0"/>
                <w:sz w:val="18"/>
                <w:szCs w:val="18"/>
              </w:rPr>
            </w:pPr>
            <w:r>
              <w:rPr>
                <w:rFonts w:ascii="Arial" w:eastAsia="DengXian" w:hAnsi="Arial" w:cs="Arial"/>
                <w:color w:val="000000"/>
                <w:kern w:val="0"/>
                <w:sz w:val="18"/>
                <w:szCs w:val="18"/>
              </w:rPr>
              <w:t xml:space="preserve">No </w:t>
            </w:r>
          </w:p>
        </w:tc>
        <w:tc>
          <w:tcPr>
            <w:tcW w:w="2003" w:type="pct"/>
            <w:tcBorders>
              <w:top w:val="nil"/>
              <w:left w:val="nil"/>
              <w:bottom w:val="single" w:sz="4" w:space="0" w:color="auto"/>
              <w:right w:val="single" w:sz="4" w:space="0" w:color="auto"/>
            </w:tcBorders>
          </w:tcPr>
          <w:p w:rsidR="00BC684D" w:rsidRPr="008818BC" w:rsidRDefault="00D106E5" w:rsidP="00D106E5">
            <w:pPr>
              <w:widowControl/>
              <w:jc w:val="left"/>
              <w:rPr>
                <w:rFonts w:ascii="Arial" w:eastAsia="DengXian" w:hAnsi="Arial" w:cs="Arial"/>
                <w:color w:val="000000"/>
                <w:kern w:val="0"/>
                <w:sz w:val="18"/>
                <w:szCs w:val="18"/>
              </w:rPr>
            </w:pPr>
            <w:r>
              <w:rPr>
                <w:rFonts w:ascii="Arial" w:eastAsia="DengXian" w:hAnsi="Arial" w:cs="Arial" w:hint="eastAsia"/>
                <w:color w:val="000000"/>
                <w:kern w:val="0"/>
                <w:sz w:val="18"/>
                <w:szCs w:val="18"/>
              </w:rPr>
              <w:t>T</w:t>
            </w:r>
            <w:r>
              <w:rPr>
                <w:rFonts w:ascii="Arial" w:eastAsia="DengXian" w:hAnsi="Arial" w:cs="Arial"/>
                <w:color w:val="000000"/>
                <w:kern w:val="0"/>
                <w:sz w:val="18"/>
                <w:szCs w:val="18"/>
              </w:rPr>
              <w:t>his feature is for sub 6GHz and MMW. This should be claimed if corresponding intra-band UL CA configuration to be supported by IAB-MT.</w:t>
            </w:r>
          </w:p>
        </w:tc>
      </w:tr>
    </w:tbl>
    <w:p w:rsidR="00BC684D" w:rsidRDefault="00BC684D" w:rsidP="008E1C42"/>
    <w:p w:rsidR="00C93C35" w:rsidRDefault="00C93C35" w:rsidP="00C93C35">
      <w:pPr>
        <w:pStyle w:val="Heading1"/>
        <w:rPr>
          <w:rFonts w:cs="Arial"/>
          <w:lang w:eastAsia="zh-CN"/>
        </w:rPr>
      </w:pPr>
      <w:r>
        <w:rPr>
          <w:rFonts w:cs="Arial"/>
          <w:lang w:eastAsia="zh-CN"/>
        </w:rPr>
        <w:lastRenderedPageBreak/>
        <w:t xml:space="preserve">Summary </w:t>
      </w:r>
    </w:p>
    <w:p w:rsidR="00BC684D" w:rsidRPr="00BC684D" w:rsidRDefault="00D106E5" w:rsidP="008E1C42">
      <w:r>
        <w:rPr>
          <w:rFonts w:hint="eastAsia"/>
        </w:rPr>
        <w:t>B</w:t>
      </w:r>
      <w:r>
        <w:t>ased on our review on UE Rel-15 mandatory feature, t</w:t>
      </w:r>
      <w:r w:rsidR="00D513E3">
        <w:t>he conclusion is that IAB-MT is suggested to support all Rel-15 UE mandatory feature</w:t>
      </w:r>
      <w:r w:rsidR="000F470A">
        <w:t xml:space="preserve"> to ensure the inter-vendor operation with minimum specification impact also. </w:t>
      </w:r>
      <w:r w:rsidR="00700ECA">
        <w:t xml:space="preserve">Furthermore, considering TR38.822 is not maintained after Rel-15, it is proposed to include </w:t>
      </w:r>
      <w:r w:rsidR="00DE7284">
        <w:t xml:space="preserve">technical background regarding </w:t>
      </w:r>
      <w:r w:rsidR="00700ECA">
        <w:t>IAB-MT feature in IAB TR</w:t>
      </w:r>
      <w:r w:rsidR="00DE7284">
        <w:t xml:space="preserve"> for future reference</w:t>
      </w:r>
      <w:r w:rsidR="00700ECA">
        <w:t xml:space="preserve">.  </w:t>
      </w:r>
    </w:p>
    <w:p w:rsidR="00E65531" w:rsidRDefault="00E65531" w:rsidP="00E65531">
      <w:pPr>
        <w:pStyle w:val="Heading1"/>
        <w:rPr>
          <w:rFonts w:cs="Arial"/>
          <w:lang w:eastAsia="zh-CN"/>
        </w:rPr>
      </w:pPr>
      <w:r>
        <w:rPr>
          <w:rFonts w:cs="Arial" w:hint="eastAsia"/>
          <w:lang w:eastAsia="zh-CN"/>
        </w:rPr>
        <w:t>Reference</w:t>
      </w:r>
    </w:p>
    <w:p w:rsidR="00E65531" w:rsidRPr="00DE7284" w:rsidRDefault="00E65531" w:rsidP="008E1C42">
      <w:pPr>
        <w:rPr>
          <w:szCs w:val="21"/>
        </w:rPr>
      </w:pPr>
      <w:r w:rsidRPr="00A76422">
        <w:rPr>
          <w:rFonts w:hint="eastAsia"/>
          <w:szCs w:val="21"/>
        </w:rPr>
        <w:t xml:space="preserve">[1] </w:t>
      </w:r>
      <w:r w:rsidR="00FB2FF5" w:rsidRPr="00A76422">
        <w:rPr>
          <w:szCs w:val="21"/>
        </w:rPr>
        <w:t xml:space="preserve">TR38.822, </w:t>
      </w:r>
      <w:r w:rsidR="00A76422">
        <w:rPr>
          <w:szCs w:val="21"/>
        </w:rPr>
        <w:t xml:space="preserve">NR </w:t>
      </w:r>
      <w:r w:rsidR="00A76422" w:rsidRPr="00A76422">
        <w:rPr>
          <w:szCs w:val="21"/>
        </w:rPr>
        <w:t>User Equipment (UE) feature list</w:t>
      </w:r>
    </w:p>
    <w:sectPr w:rsidR="00E65531" w:rsidRPr="00DE7284" w:rsidSect="00BC684D">
      <w:pgSz w:w="16838" w:h="11906" w:orient="landscape"/>
      <w:pgMar w:top="1080" w:right="1440" w:bottom="108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8CC" w:rsidRDefault="000D08CC" w:rsidP="00FF76F4">
      <w:r>
        <w:separator/>
      </w:r>
    </w:p>
  </w:endnote>
  <w:endnote w:type="continuationSeparator" w:id="0">
    <w:p w:rsidR="000D08CC" w:rsidRDefault="000D08CC"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8CC" w:rsidRDefault="000D08CC" w:rsidP="00FF76F4">
      <w:r>
        <w:separator/>
      </w:r>
    </w:p>
  </w:footnote>
  <w:footnote w:type="continuationSeparator" w:id="0">
    <w:p w:rsidR="000D08CC" w:rsidRDefault="000D08CC" w:rsidP="00FF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F0608"/>
    <w:multiLevelType w:val="hybridMultilevel"/>
    <w:tmpl w:val="20DCE64C"/>
    <w:lvl w:ilvl="0" w:tplc="04090003">
      <w:start w:val="1"/>
      <w:numFmt w:val="bullet"/>
      <w:lvlText w:val="o"/>
      <w:lvlJc w:val="left"/>
      <w:pPr>
        <w:ind w:left="692" w:hanging="420"/>
      </w:pPr>
      <w:rPr>
        <w:rFonts w:ascii="Courier New" w:hAnsi="Courier New" w:cs="Courier New" w:hint="default"/>
      </w:rPr>
    </w:lvl>
    <w:lvl w:ilvl="1" w:tplc="04090003">
      <w:start w:val="1"/>
      <w:numFmt w:val="bullet"/>
      <w:lvlText w:val=""/>
      <w:lvlJc w:val="left"/>
      <w:pPr>
        <w:ind w:left="1112" w:hanging="420"/>
      </w:pPr>
      <w:rPr>
        <w:rFonts w:ascii="Wingdings" w:hAnsi="Wingdings"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2" w15:restartNumberingAfterBreak="0">
    <w:nsid w:val="0AD12B8B"/>
    <w:multiLevelType w:val="hybridMultilevel"/>
    <w:tmpl w:val="74BE24A0"/>
    <w:lvl w:ilvl="0" w:tplc="3B62AC86">
      <w:numFmt w:val="bullet"/>
      <w:lvlText w:val="-"/>
      <w:lvlJc w:val="left"/>
      <w:pPr>
        <w:ind w:left="780" w:hanging="360"/>
      </w:pPr>
      <w:rPr>
        <w:rFonts w:ascii="Calibri" w:eastAsia="SimSun" w:hAnsi="Calibri" w:cs="Calibri" w:hint="default"/>
      </w:rPr>
    </w:lvl>
    <w:lvl w:ilvl="1" w:tplc="3B62AC86">
      <w:numFmt w:val="bullet"/>
      <w:lvlText w:val="-"/>
      <w:lvlJc w:val="left"/>
      <w:pPr>
        <w:ind w:left="1260" w:hanging="420"/>
      </w:pPr>
      <w:rPr>
        <w:rFonts w:ascii="Calibri" w:eastAsia="SimSun" w:hAnsi="Calibri" w:cs="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 w15:restartNumberingAfterBreak="0">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9" w15:restartNumberingAfterBreak="0">
    <w:nsid w:val="3CB36165"/>
    <w:multiLevelType w:val="hybridMultilevel"/>
    <w:tmpl w:val="7B48E5BA"/>
    <w:lvl w:ilvl="0" w:tplc="3B62AC86">
      <w:numFmt w:val="bullet"/>
      <w:lvlText w:val="-"/>
      <w:lvlJc w:val="left"/>
      <w:pPr>
        <w:ind w:left="360" w:hanging="360"/>
      </w:pPr>
      <w:rPr>
        <w:rFonts w:ascii="Calibri" w:eastAsia="SimSun" w:hAnsi="Calibri" w:cs="Calibri" w:hint="default"/>
      </w:rPr>
    </w:lvl>
    <w:lvl w:ilvl="1" w:tplc="3B62AC86">
      <w:numFmt w:val="bullet"/>
      <w:lvlText w:val="-"/>
      <w:lvlJc w:val="left"/>
      <w:pPr>
        <w:ind w:left="840" w:hanging="420"/>
      </w:pPr>
      <w:rPr>
        <w:rFonts w:ascii="Calibri" w:eastAsia="SimSun" w:hAnsi="Calibri" w:cs="Calibri"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036490"/>
    <w:multiLevelType w:val="hybridMultilevel"/>
    <w:tmpl w:val="4D260538"/>
    <w:lvl w:ilvl="0" w:tplc="9FF0639E">
      <w:start w:val="1"/>
      <w:numFmt w:val="bullet"/>
      <w:lvlText w:val="•"/>
      <w:lvlJc w:val="left"/>
      <w:pPr>
        <w:ind w:left="1112" w:hanging="420"/>
      </w:pPr>
      <w:rPr>
        <w:rFonts w:ascii="Arial" w:hAnsi="Arial" w:cs="Times New Roman"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24"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9A4058"/>
    <w:multiLevelType w:val="hybridMultilevel"/>
    <w:tmpl w:val="6244598C"/>
    <w:lvl w:ilvl="0" w:tplc="E26A8ED6">
      <w:start w:val="1"/>
      <w:numFmt w:val="bullet"/>
      <w:lvlText w:val="–"/>
      <w:lvlJc w:val="left"/>
      <w:pPr>
        <w:tabs>
          <w:tab w:val="num" w:pos="720"/>
        </w:tabs>
        <w:ind w:left="720" w:hanging="360"/>
      </w:pPr>
      <w:rPr>
        <w:rFonts w:ascii="Arial" w:hAnsi="Arial" w:hint="default"/>
      </w:rPr>
    </w:lvl>
    <w:lvl w:ilvl="1" w:tplc="2960A758">
      <w:start w:val="1"/>
      <w:numFmt w:val="bullet"/>
      <w:lvlText w:val="–"/>
      <w:lvlJc w:val="left"/>
      <w:pPr>
        <w:tabs>
          <w:tab w:val="num" w:pos="1440"/>
        </w:tabs>
        <w:ind w:left="1440" w:hanging="360"/>
      </w:pPr>
      <w:rPr>
        <w:rFonts w:ascii="Arial" w:hAnsi="Arial" w:hint="default"/>
      </w:rPr>
    </w:lvl>
    <w:lvl w:ilvl="2" w:tplc="71B00FE8">
      <w:numFmt w:val="bullet"/>
      <w:lvlText w:val="•"/>
      <w:lvlJc w:val="left"/>
      <w:pPr>
        <w:tabs>
          <w:tab w:val="num" w:pos="2160"/>
        </w:tabs>
        <w:ind w:left="2160" w:hanging="360"/>
      </w:pPr>
      <w:rPr>
        <w:rFonts w:ascii="Arial" w:hAnsi="Arial" w:hint="default"/>
      </w:rPr>
    </w:lvl>
    <w:lvl w:ilvl="3" w:tplc="BC602F18" w:tentative="1">
      <w:start w:val="1"/>
      <w:numFmt w:val="bullet"/>
      <w:lvlText w:val="–"/>
      <w:lvlJc w:val="left"/>
      <w:pPr>
        <w:tabs>
          <w:tab w:val="num" w:pos="2880"/>
        </w:tabs>
        <w:ind w:left="2880" w:hanging="360"/>
      </w:pPr>
      <w:rPr>
        <w:rFonts w:ascii="Arial" w:hAnsi="Arial" w:hint="default"/>
      </w:rPr>
    </w:lvl>
    <w:lvl w:ilvl="4" w:tplc="010A141E" w:tentative="1">
      <w:start w:val="1"/>
      <w:numFmt w:val="bullet"/>
      <w:lvlText w:val="–"/>
      <w:lvlJc w:val="left"/>
      <w:pPr>
        <w:tabs>
          <w:tab w:val="num" w:pos="3600"/>
        </w:tabs>
        <w:ind w:left="3600" w:hanging="360"/>
      </w:pPr>
      <w:rPr>
        <w:rFonts w:ascii="Arial" w:hAnsi="Arial" w:hint="default"/>
      </w:rPr>
    </w:lvl>
    <w:lvl w:ilvl="5" w:tplc="0C84AA6C" w:tentative="1">
      <w:start w:val="1"/>
      <w:numFmt w:val="bullet"/>
      <w:lvlText w:val="–"/>
      <w:lvlJc w:val="left"/>
      <w:pPr>
        <w:tabs>
          <w:tab w:val="num" w:pos="4320"/>
        </w:tabs>
        <w:ind w:left="4320" w:hanging="360"/>
      </w:pPr>
      <w:rPr>
        <w:rFonts w:ascii="Arial" w:hAnsi="Arial" w:hint="default"/>
      </w:rPr>
    </w:lvl>
    <w:lvl w:ilvl="6" w:tplc="65BEC65A" w:tentative="1">
      <w:start w:val="1"/>
      <w:numFmt w:val="bullet"/>
      <w:lvlText w:val="–"/>
      <w:lvlJc w:val="left"/>
      <w:pPr>
        <w:tabs>
          <w:tab w:val="num" w:pos="5040"/>
        </w:tabs>
        <w:ind w:left="5040" w:hanging="360"/>
      </w:pPr>
      <w:rPr>
        <w:rFonts w:ascii="Arial" w:hAnsi="Arial" w:hint="default"/>
      </w:rPr>
    </w:lvl>
    <w:lvl w:ilvl="7" w:tplc="0A4C72A0" w:tentative="1">
      <w:start w:val="1"/>
      <w:numFmt w:val="bullet"/>
      <w:lvlText w:val="–"/>
      <w:lvlJc w:val="left"/>
      <w:pPr>
        <w:tabs>
          <w:tab w:val="num" w:pos="5760"/>
        </w:tabs>
        <w:ind w:left="5760" w:hanging="360"/>
      </w:pPr>
      <w:rPr>
        <w:rFonts w:ascii="Arial" w:hAnsi="Arial" w:hint="default"/>
      </w:rPr>
    </w:lvl>
    <w:lvl w:ilvl="8" w:tplc="D69476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726D2002"/>
    <w:multiLevelType w:val="hybridMultilevel"/>
    <w:tmpl w:val="3E2A60D8"/>
    <w:lvl w:ilvl="0" w:tplc="88440B8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8"/>
  </w:num>
  <w:num w:numId="3">
    <w:abstractNumId w:val="7"/>
  </w:num>
  <w:num w:numId="4">
    <w:abstractNumId w:val="11"/>
  </w:num>
  <w:num w:numId="5">
    <w:abstractNumId w:val="2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7"/>
  </w:num>
  <w:num w:numId="9">
    <w:abstractNumId w:val="3"/>
  </w:num>
  <w:num w:numId="10">
    <w:abstractNumId w:val="30"/>
  </w:num>
  <w:num w:numId="11">
    <w:abstractNumId w:val="13"/>
  </w:num>
  <w:num w:numId="12">
    <w:abstractNumId w:val="16"/>
  </w:num>
  <w:num w:numId="13">
    <w:abstractNumId w:val="6"/>
  </w:num>
  <w:num w:numId="14">
    <w:abstractNumId w:val="8"/>
  </w:num>
  <w:num w:numId="15">
    <w:abstractNumId w:val="4"/>
  </w:num>
  <w:num w:numId="16">
    <w:abstractNumId w:val="22"/>
  </w:num>
  <w:num w:numId="17">
    <w:abstractNumId w:val="26"/>
  </w:num>
  <w:num w:numId="18">
    <w:abstractNumId w:val="21"/>
  </w:num>
  <w:num w:numId="19">
    <w:abstractNumId w:val="10"/>
  </w:num>
  <w:num w:numId="20">
    <w:abstractNumId w:val="17"/>
  </w:num>
  <w:num w:numId="21">
    <w:abstractNumId w:val="5"/>
  </w:num>
  <w:num w:numId="22">
    <w:abstractNumId w:val="20"/>
  </w:num>
  <w:num w:numId="23">
    <w:abstractNumId w:val="15"/>
  </w:num>
  <w:num w:numId="24">
    <w:abstractNumId w:val="12"/>
  </w:num>
  <w:num w:numId="25">
    <w:abstractNumId w:val="31"/>
  </w:num>
  <w:num w:numId="26">
    <w:abstractNumId w:val="1"/>
  </w:num>
  <w:num w:numId="27">
    <w:abstractNumId w:val="23"/>
  </w:num>
  <w:num w:numId="28">
    <w:abstractNumId w:val="28"/>
  </w:num>
  <w:num w:numId="29">
    <w:abstractNumId w:val="14"/>
  </w:num>
  <w:num w:numId="30">
    <w:abstractNumId w:val="29"/>
    <w:lvlOverride w:ilvl="0">
      <w:startOverride w:val="2"/>
    </w:lvlOverride>
  </w:num>
  <w:num w:numId="31">
    <w:abstractNumId w:val="29"/>
    <w:lvlOverride w:ilvl="0">
      <w:startOverride w:val="4"/>
    </w:lvlOverride>
  </w:num>
  <w:num w:numId="32">
    <w:abstractNumId w:val="25"/>
  </w:num>
  <w:num w:numId="33">
    <w:abstractNumId w:val="2"/>
  </w:num>
  <w:num w:numId="3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353"/>
    <w:rsid w:val="00003C69"/>
    <w:rsid w:val="0000478F"/>
    <w:rsid w:val="00005954"/>
    <w:rsid w:val="00005F97"/>
    <w:rsid w:val="00014035"/>
    <w:rsid w:val="00015077"/>
    <w:rsid w:val="00017DE0"/>
    <w:rsid w:val="000213A5"/>
    <w:rsid w:val="000224CD"/>
    <w:rsid w:val="00022887"/>
    <w:rsid w:val="0002719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645A0"/>
    <w:rsid w:val="000708E3"/>
    <w:rsid w:val="00070B32"/>
    <w:rsid w:val="000718E9"/>
    <w:rsid w:val="000729C9"/>
    <w:rsid w:val="00073211"/>
    <w:rsid w:val="00081033"/>
    <w:rsid w:val="0008319D"/>
    <w:rsid w:val="00086E14"/>
    <w:rsid w:val="0009033A"/>
    <w:rsid w:val="0009104B"/>
    <w:rsid w:val="00095E1A"/>
    <w:rsid w:val="000A13E0"/>
    <w:rsid w:val="000A6D1A"/>
    <w:rsid w:val="000B1FF8"/>
    <w:rsid w:val="000B2BC0"/>
    <w:rsid w:val="000C243C"/>
    <w:rsid w:val="000C4C74"/>
    <w:rsid w:val="000C5204"/>
    <w:rsid w:val="000C5302"/>
    <w:rsid w:val="000C54C6"/>
    <w:rsid w:val="000D08CC"/>
    <w:rsid w:val="000D3C64"/>
    <w:rsid w:val="000D4C59"/>
    <w:rsid w:val="000E254F"/>
    <w:rsid w:val="000E269A"/>
    <w:rsid w:val="000E33AA"/>
    <w:rsid w:val="000E34BE"/>
    <w:rsid w:val="000E3ED7"/>
    <w:rsid w:val="000E5E68"/>
    <w:rsid w:val="000E6A3A"/>
    <w:rsid w:val="000F0286"/>
    <w:rsid w:val="000F0FA3"/>
    <w:rsid w:val="000F470A"/>
    <w:rsid w:val="000F4EB5"/>
    <w:rsid w:val="000F5165"/>
    <w:rsid w:val="000F53E9"/>
    <w:rsid w:val="000F6B51"/>
    <w:rsid w:val="000F6F63"/>
    <w:rsid w:val="00100301"/>
    <w:rsid w:val="00102A9E"/>
    <w:rsid w:val="001074A1"/>
    <w:rsid w:val="00111284"/>
    <w:rsid w:val="001118BE"/>
    <w:rsid w:val="00115241"/>
    <w:rsid w:val="001163EB"/>
    <w:rsid w:val="00121276"/>
    <w:rsid w:val="00125394"/>
    <w:rsid w:val="00131637"/>
    <w:rsid w:val="00131991"/>
    <w:rsid w:val="0013335E"/>
    <w:rsid w:val="00135DC0"/>
    <w:rsid w:val="00135E7C"/>
    <w:rsid w:val="0013726E"/>
    <w:rsid w:val="001438AA"/>
    <w:rsid w:val="00143D1D"/>
    <w:rsid w:val="001455C3"/>
    <w:rsid w:val="0014667B"/>
    <w:rsid w:val="0015147C"/>
    <w:rsid w:val="00162691"/>
    <w:rsid w:val="0016328B"/>
    <w:rsid w:val="0017034F"/>
    <w:rsid w:val="00170B06"/>
    <w:rsid w:val="00172664"/>
    <w:rsid w:val="00173E9D"/>
    <w:rsid w:val="001754C2"/>
    <w:rsid w:val="0017557C"/>
    <w:rsid w:val="00175ACA"/>
    <w:rsid w:val="00182E67"/>
    <w:rsid w:val="001832D5"/>
    <w:rsid w:val="00184E7E"/>
    <w:rsid w:val="001871AA"/>
    <w:rsid w:val="001876C0"/>
    <w:rsid w:val="00190331"/>
    <w:rsid w:val="00195C0C"/>
    <w:rsid w:val="00197EF8"/>
    <w:rsid w:val="001A24EE"/>
    <w:rsid w:val="001A5265"/>
    <w:rsid w:val="001B3133"/>
    <w:rsid w:val="001B4EF0"/>
    <w:rsid w:val="001B55E0"/>
    <w:rsid w:val="001B6ED9"/>
    <w:rsid w:val="001C0816"/>
    <w:rsid w:val="001C4FD0"/>
    <w:rsid w:val="001C5BB2"/>
    <w:rsid w:val="001C66F3"/>
    <w:rsid w:val="001D02BC"/>
    <w:rsid w:val="001D0887"/>
    <w:rsid w:val="001D0DE5"/>
    <w:rsid w:val="001D100E"/>
    <w:rsid w:val="001D5002"/>
    <w:rsid w:val="001D5E02"/>
    <w:rsid w:val="001D6341"/>
    <w:rsid w:val="001D7324"/>
    <w:rsid w:val="001E11C5"/>
    <w:rsid w:val="001E192C"/>
    <w:rsid w:val="001E2A71"/>
    <w:rsid w:val="001E749D"/>
    <w:rsid w:val="001F192F"/>
    <w:rsid w:val="002007FA"/>
    <w:rsid w:val="00202A5F"/>
    <w:rsid w:val="00207D97"/>
    <w:rsid w:val="00210B3E"/>
    <w:rsid w:val="00212625"/>
    <w:rsid w:val="00212808"/>
    <w:rsid w:val="00213744"/>
    <w:rsid w:val="00215310"/>
    <w:rsid w:val="00220EC2"/>
    <w:rsid w:val="00223B39"/>
    <w:rsid w:val="002277E9"/>
    <w:rsid w:val="002301BF"/>
    <w:rsid w:val="00230B99"/>
    <w:rsid w:val="0024181C"/>
    <w:rsid w:val="002418EC"/>
    <w:rsid w:val="002421EC"/>
    <w:rsid w:val="00246EBC"/>
    <w:rsid w:val="00247675"/>
    <w:rsid w:val="00252606"/>
    <w:rsid w:val="00257B53"/>
    <w:rsid w:val="00257FB9"/>
    <w:rsid w:val="00260E9E"/>
    <w:rsid w:val="002611BB"/>
    <w:rsid w:val="00261C0C"/>
    <w:rsid w:val="00262C6C"/>
    <w:rsid w:val="00264CF1"/>
    <w:rsid w:val="0026676E"/>
    <w:rsid w:val="00266E04"/>
    <w:rsid w:val="002671F3"/>
    <w:rsid w:val="00267AAF"/>
    <w:rsid w:val="00271B14"/>
    <w:rsid w:val="0027316B"/>
    <w:rsid w:val="002741FD"/>
    <w:rsid w:val="00277496"/>
    <w:rsid w:val="00281E20"/>
    <w:rsid w:val="00285A74"/>
    <w:rsid w:val="00286C6A"/>
    <w:rsid w:val="00294C44"/>
    <w:rsid w:val="00295175"/>
    <w:rsid w:val="002971D6"/>
    <w:rsid w:val="00297965"/>
    <w:rsid w:val="002A0C18"/>
    <w:rsid w:val="002A5A60"/>
    <w:rsid w:val="002A727E"/>
    <w:rsid w:val="002B0953"/>
    <w:rsid w:val="002B1265"/>
    <w:rsid w:val="002B4C48"/>
    <w:rsid w:val="002C22C2"/>
    <w:rsid w:val="002C2435"/>
    <w:rsid w:val="002C333F"/>
    <w:rsid w:val="002C7731"/>
    <w:rsid w:val="002C7C95"/>
    <w:rsid w:val="002D33BF"/>
    <w:rsid w:val="002D6806"/>
    <w:rsid w:val="002E0E33"/>
    <w:rsid w:val="002E2FCA"/>
    <w:rsid w:val="002E4E27"/>
    <w:rsid w:val="002F0731"/>
    <w:rsid w:val="002F1435"/>
    <w:rsid w:val="002F4833"/>
    <w:rsid w:val="003029C2"/>
    <w:rsid w:val="00303031"/>
    <w:rsid w:val="00307F2F"/>
    <w:rsid w:val="00312862"/>
    <w:rsid w:val="00313FF8"/>
    <w:rsid w:val="0031560F"/>
    <w:rsid w:val="003218D7"/>
    <w:rsid w:val="003252C5"/>
    <w:rsid w:val="0032668A"/>
    <w:rsid w:val="00330269"/>
    <w:rsid w:val="00330D88"/>
    <w:rsid w:val="00330F3A"/>
    <w:rsid w:val="00333E6B"/>
    <w:rsid w:val="00334231"/>
    <w:rsid w:val="00336F41"/>
    <w:rsid w:val="00341535"/>
    <w:rsid w:val="003456AF"/>
    <w:rsid w:val="003471B3"/>
    <w:rsid w:val="00347990"/>
    <w:rsid w:val="00352B38"/>
    <w:rsid w:val="003576E4"/>
    <w:rsid w:val="003603A3"/>
    <w:rsid w:val="00360C89"/>
    <w:rsid w:val="00360FD3"/>
    <w:rsid w:val="0036113D"/>
    <w:rsid w:val="00362264"/>
    <w:rsid w:val="003623DE"/>
    <w:rsid w:val="00362F87"/>
    <w:rsid w:val="00364D91"/>
    <w:rsid w:val="00365680"/>
    <w:rsid w:val="00366254"/>
    <w:rsid w:val="00370375"/>
    <w:rsid w:val="00370AEB"/>
    <w:rsid w:val="0037169F"/>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0800"/>
    <w:rsid w:val="003F1336"/>
    <w:rsid w:val="003F2522"/>
    <w:rsid w:val="003F3D0A"/>
    <w:rsid w:val="003F6833"/>
    <w:rsid w:val="00402FB6"/>
    <w:rsid w:val="004049D7"/>
    <w:rsid w:val="004154B5"/>
    <w:rsid w:val="0042000F"/>
    <w:rsid w:val="00420BBA"/>
    <w:rsid w:val="0042257B"/>
    <w:rsid w:val="00422714"/>
    <w:rsid w:val="00423A51"/>
    <w:rsid w:val="0042479B"/>
    <w:rsid w:val="004262D6"/>
    <w:rsid w:val="00427457"/>
    <w:rsid w:val="0042771E"/>
    <w:rsid w:val="00434276"/>
    <w:rsid w:val="0044026E"/>
    <w:rsid w:val="0044129E"/>
    <w:rsid w:val="00445269"/>
    <w:rsid w:val="00447E1F"/>
    <w:rsid w:val="0045116C"/>
    <w:rsid w:val="00452999"/>
    <w:rsid w:val="00453F41"/>
    <w:rsid w:val="00456040"/>
    <w:rsid w:val="00457F78"/>
    <w:rsid w:val="00460F58"/>
    <w:rsid w:val="00461C52"/>
    <w:rsid w:val="00463740"/>
    <w:rsid w:val="00464581"/>
    <w:rsid w:val="00471EE8"/>
    <w:rsid w:val="00472DED"/>
    <w:rsid w:val="0047586E"/>
    <w:rsid w:val="00475927"/>
    <w:rsid w:val="00486410"/>
    <w:rsid w:val="004870CC"/>
    <w:rsid w:val="00490806"/>
    <w:rsid w:val="004914E1"/>
    <w:rsid w:val="00495BB4"/>
    <w:rsid w:val="00497B60"/>
    <w:rsid w:val="004A6CB8"/>
    <w:rsid w:val="004B7958"/>
    <w:rsid w:val="004C098D"/>
    <w:rsid w:val="004C0B85"/>
    <w:rsid w:val="004C3783"/>
    <w:rsid w:val="004C5873"/>
    <w:rsid w:val="004D08D4"/>
    <w:rsid w:val="004D2036"/>
    <w:rsid w:val="004D4B96"/>
    <w:rsid w:val="004D6754"/>
    <w:rsid w:val="004D78B3"/>
    <w:rsid w:val="004D7CDA"/>
    <w:rsid w:val="004E00B8"/>
    <w:rsid w:val="004E02D1"/>
    <w:rsid w:val="004E0EBD"/>
    <w:rsid w:val="004E16C1"/>
    <w:rsid w:val="004E463B"/>
    <w:rsid w:val="004E50F2"/>
    <w:rsid w:val="004E64C5"/>
    <w:rsid w:val="004E79AF"/>
    <w:rsid w:val="004F0168"/>
    <w:rsid w:val="004F0D3E"/>
    <w:rsid w:val="004F33BC"/>
    <w:rsid w:val="004F385E"/>
    <w:rsid w:val="004F49D2"/>
    <w:rsid w:val="004F5AB4"/>
    <w:rsid w:val="004F6232"/>
    <w:rsid w:val="004F7601"/>
    <w:rsid w:val="004F77CA"/>
    <w:rsid w:val="00500D19"/>
    <w:rsid w:val="00503850"/>
    <w:rsid w:val="00505ACA"/>
    <w:rsid w:val="00506DB2"/>
    <w:rsid w:val="00510E9C"/>
    <w:rsid w:val="0051178B"/>
    <w:rsid w:val="00511D7F"/>
    <w:rsid w:val="005142E8"/>
    <w:rsid w:val="005213B5"/>
    <w:rsid w:val="00523CF3"/>
    <w:rsid w:val="005246CB"/>
    <w:rsid w:val="00531509"/>
    <w:rsid w:val="005346DE"/>
    <w:rsid w:val="005359F4"/>
    <w:rsid w:val="00535B49"/>
    <w:rsid w:val="00536D9A"/>
    <w:rsid w:val="00536FFB"/>
    <w:rsid w:val="00537A2F"/>
    <w:rsid w:val="005518A8"/>
    <w:rsid w:val="00552DB0"/>
    <w:rsid w:val="005542D3"/>
    <w:rsid w:val="00561EED"/>
    <w:rsid w:val="00571F43"/>
    <w:rsid w:val="005722AC"/>
    <w:rsid w:val="00577E33"/>
    <w:rsid w:val="00581D9D"/>
    <w:rsid w:val="00582F35"/>
    <w:rsid w:val="005855BE"/>
    <w:rsid w:val="00586132"/>
    <w:rsid w:val="00587CC4"/>
    <w:rsid w:val="00587FF3"/>
    <w:rsid w:val="00593FEF"/>
    <w:rsid w:val="00594B4A"/>
    <w:rsid w:val="005A09F3"/>
    <w:rsid w:val="005A1066"/>
    <w:rsid w:val="005A3410"/>
    <w:rsid w:val="005A4BE2"/>
    <w:rsid w:val="005A770A"/>
    <w:rsid w:val="005B2965"/>
    <w:rsid w:val="005B49A1"/>
    <w:rsid w:val="005C1E99"/>
    <w:rsid w:val="005C4FC8"/>
    <w:rsid w:val="005C5399"/>
    <w:rsid w:val="005D08C9"/>
    <w:rsid w:val="005D3BC1"/>
    <w:rsid w:val="005D4616"/>
    <w:rsid w:val="005E2128"/>
    <w:rsid w:val="005E3919"/>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40DC"/>
    <w:rsid w:val="0062510F"/>
    <w:rsid w:val="00625531"/>
    <w:rsid w:val="00627F5C"/>
    <w:rsid w:val="00633715"/>
    <w:rsid w:val="006340A9"/>
    <w:rsid w:val="006344FA"/>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4700"/>
    <w:rsid w:val="006A55C5"/>
    <w:rsid w:val="006A64AE"/>
    <w:rsid w:val="006B0552"/>
    <w:rsid w:val="006B0979"/>
    <w:rsid w:val="006B1ECD"/>
    <w:rsid w:val="006B4DDE"/>
    <w:rsid w:val="006C03E8"/>
    <w:rsid w:val="006C0DD2"/>
    <w:rsid w:val="006C2A6A"/>
    <w:rsid w:val="006C4F30"/>
    <w:rsid w:val="006C6724"/>
    <w:rsid w:val="006C6C7A"/>
    <w:rsid w:val="006C7868"/>
    <w:rsid w:val="006F1D96"/>
    <w:rsid w:val="006F2A8B"/>
    <w:rsid w:val="006F7042"/>
    <w:rsid w:val="006F762C"/>
    <w:rsid w:val="006F7668"/>
    <w:rsid w:val="00700908"/>
    <w:rsid w:val="00700ECA"/>
    <w:rsid w:val="00701350"/>
    <w:rsid w:val="00702395"/>
    <w:rsid w:val="0070353D"/>
    <w:rsid w:val="00705546"/>
    <w:rsid w:val="007122B5"/>
    <w:rsid w:val="00712D14"/>
    <w:rsid w:val="0071316C"/>
    <w:rsid w:val="0071351D"/>
    <w:rsid w:val="00713839"/>
    <w:rsid w:val="00715EF6"/>
    <w:rsid w:val="0072021A"/>
    <w:rsid w:val="0072746D"/>
    <w:rsid w:val="00727D64"/>
    <w:rsid w:val="00731137"/>
    <w:rsid w:val="0073178D"/>
    <w:rsid w:val="00733B09"/>
    <w:rsid w:val="00733EF6"/>
    <w:rsid w:val="00737D52"/>
    <w:rsid w:val="00737E37"/>
    <w:rsid w:val="0074702E"/>
    <w:rsid w:val="00752A96"/>
    <w:rsid w:val="00753D40"/>
    <w:rsid w:val="00756A98"/>
    <w:rsid w:val="00760666"/>
    <w:rsid w:val="00760BDF"/>
    <w:rsid w:val="007618FB"/>
    <w:rsid w:val="007643CB"/>
    <w:rsid w:val="007677F9"/>
    <w:rsid w:val="00771236"/>
    <w:rsid w:val="007737DD"/>
    <w:rsid w:val="00776713"/>
    <w:rsid w:val="00776AF8"/>
    <w:rsid w:val="00776B74"/>
    <w:rsid w:val="00782D25"/>
    <w:rsid w:val="007833AA"/>
    <w:rsid w:val="00784737"/>
    <w:rsid w:val="007857D2"/>
    <w:rsid w:val="00787DA2"/>
    <w:rsid w:val="007A15A2"/>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4E92"/>
    <w:rsid w:val="007F6627"/>
    <w:rsid w:val="00800E96"/>
    <w:rsid w:val="008018A3"/>
    <w:rsid w:val="00803C7D"/>
    <w:rsid w:val="00805C88"/>
    <w:rsid w:val="008116DF"/>
    <w:rsid w:val="00812D10"/>
    <w:rsid w:val="008137E4"/>
    <w:rsid w:val="0081547C"/>
    <w:rsid w:val="008200CF"/>
    <w:rsid w:val="0082488E"/>
    <w:rsid w:val="00826166"/>
    <w:rsid w:val="008268A5"/>
    <w:rsid w:val="00831AB1"/>
    <w:rsid w:val="00834611"/>
    <w:rsid w:val="00836FD2"/>
    <w:rsid w:val="00840088"/>
    <w:rsid w:val="008412CA"/>
    <w:rsid w:val="00842028"/>
    <w:rsid w:val="00842E21"/>
    <w:rsid w:val="008439C7"/>
    <w:rsid w:val="00845EDE"/>
    <w:rsid w:val="00845EFE"/>
    <w:rsid w:val="008508C0"/>
    <w:rsid w:val="00851583"/>
    <w:rsid w:val="00852054"/>
    <w:rsid w:val="00853F0A"/>
    <w:rsid w:val="00855436"/>
    <w:rsid w:val="00855466"/>
    <w:rsid w:val="00860F39"/>
    <w:rsid w:val="00862540"/>
    <w:rsid w:val="00867017"/>
    <w:rsid w:val="00867372"/>
    <w:rsid w:val="00871F57"/>
    <w:rsid w:val="00874064"/>
    <w:rsid w:val="00875009"/>
    <w:rsid w:val="00876864"/>
    <w:rsid w:val="008806B5"/>
    <w:rsid w:val="008818BC"/>
    <w:rsid w:val="008859FF"/>
    <w:rsid w:val="00887DF9"/>
    <w:rsid w:val="00891FEB"/>
    <w:rsid w:val="00893B4F"/>
    <w:rsid w:val="008A07DB"/>
    <w:rsid w:val="008A0CD1"/>
    <w:rsid w:val="008A2078"/>
    <w:rsid w:val="008A5761"/>
    <w:rsid w:val="008A60DA"/>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8DD"/>
    <w:rsid w:val="008D3D9C"/>
    <w:rsid w:val="008D3EF6"/>
    <w:rsid w:val="008D6D06"/>
    <w:rsid w:val="008D7A68"/>
    <w:rsid w:val="008E03E8"/>
    <w:rsid w:val="008E1C42"/>
    <w:rsid w:val="008E4926"/>
    <w:rsid w:val="008E6D0B"/>
    <w:rsid w:val="008F0575"/>
    <w:rsid w:val="008F07EB"/>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907"/>
    <w:rsid w:val="00943A21"/>
    <w:rsid w:val="00944B33"/>
    <w:rsid w:val="00946ADB"/>
    <w:rsid w:val="0094719C"/>
    <w:rsid w:val="00947C71"/>
    <w:rsid w:val="00951A8E"/>
    <w:rsid w:val="009525FB"/>
    <w:rsid w:val="009527D5"/>
    <w:rsid w:val="00953116"/>
    <w:rsid w:val="009611CD"/>
    <w:rsid w:val="0096199D"/>
    <w:rsid w:val="00962C28"/>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A133B"/>
    <w:rsid w:val="009A1FEC"/>
    <w:rsid w:val="009A5C5C"/>
    <w:rsid w:val="009B2D6C"/>
    <w:rsid w:val="009B343A"/>
    <w:rsid w:val="009B3B56"/>
    <w:rsid w:val="009B6604"/>
    <w:rsid w:val="009B6C57"/>
    <w:rsid w:val="009B7A45"/>
    <w:rsid w:val="009B7EBE"/>
    <w:rsid w:val="009C06F5"/>
    <w:rsid w:val="009C1095"/>
    <w:rsid w:val="009C61F9"/>
    <w:rsid w:val="009C7B08"/>
    <w:rsid w:val="009D0AF5"/>
    <w:rsid w:val="009D0FD4"/>
    <w:rsid w:val="009D18CA"/>
    <w:rsid w:val="009D2968"/>
    <w:rsid w:val="009D33E9"/>
    <w:rsid w:val="009D5467"/>
    <w:rsid w:val="009D553B"/>
    <w:rsid w:val="009E0C4D"/>
    <w:rsid w:val="009E0E6E"/>
    <w:rsid w:val="009E2F63"/>
    <w:rsid w:val="009E4907"/>
    <w:rsid w:val="009E6443"/>
    <w:rsid w:val="009E6DDF"/>
    <w:rsid w:val="009E7C4F"/>
    <w:rsid w:val="009F00BC"/>
    <w:rsid w:val="009F1642"/>
    <w:rsid w:val="009F4BE4"/>
    <w:rsid w:val="009F5788"/>
    <w:rsid w:val="00A03A96"/>
    <w:rsid w:val="00A05256"/>
    <w:rsid w:val="00A058CB"/>
    <w:rsid w:val="00A075B9"/>
    <w:rsid w:val="00A11879"/>
    <w:rsid w:val="00A134B1"/>
    <w:rsid w:val="00A14EAE"/>
    <w:rsid w:val="00A15B9B"/>
    <w:rsid w:val="00A16244"/>
    <w:rsid w:val="00A21FED"/>
    <w:rsid w:val="00A239BD"/>
    <w:rsid w:val="00A2408E"/>
    <w:rsid w:val="00A26A7B"/>
    <w:rsid w:val="00A450BA"/>
    <w:rsid w:val="00A50C05"/>
    <w:rsid w:val="00A54283"/>
    <w:rsid w:val="00A544BA"/>
    <w:rsid w:val="00A55913"/>
    <w:rsid w:val="00A6034F"/>
    <w:rsid w:val="00A6184D"/>
    <w:rsid w:val="00A6191E"/>
    <w:rsid w:val="00A660EB"/>
    <w:rsid w:val="00A66FFF"/>
    <w:rsid w:val="00A71D64"/>
    <w:rsid w:val="00A742B3"/>
    <w:rsid w:val="00A75A40"/>
    <w:rsid w:val="00A76422"/>
    <w:rsid w:val="00A80FB4"/>
    <w:rsid w:val="00A812D6"/>
    <w:rsid w:val="00A82EDB"/>
    <w:rsid w:val="00A87E14"/>
    <w:rsid w:val="00A87F67"/>
    <w:rsid w:val="00A90B54"/>
    <w:rsid w:val="00A91F30"/>
    <w:rsid w:val="00A93DD7"/>
    <w:rsid w:val="00A942F3"/>
    <w:rsid w:val="00A94B71"/>
    <w:rsid w:val="00A97A65"/>
    <w:rsid w:val="00AA0348"/>
    <w:rsid w:val="00AA0BB8"/>
    <w:rsid w:val="00AA3791"/>
    <w:rsid w:val="00AA4120"/>
    <w:rsid w:val="00AA61A8"/>
    <w:rsid w:val="00AB114E"/>
    <w:rsid w:val="00AB23A3"/>
    <w:rsid w:val="00AB3987"/>
    <w:rsid w:val="00AB46D2"/>
    <w:rsid w:val="00AB51C4"/>
    <w:rsid w:val="00AB5801"/>
    <w:rsid w:val="00AB6235"/>
    <w:rsid w:val="00AC1B3B"/>
    <w:rsid w:val="00AC5F26"/>
    <w:rsid w:val="00AC71C1"/>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2B7"/>
    <w:rsid w:val="00AE5DF0"/>
    <w:rsid w:val="00AE6BA2"/>
    <w:rsid w:val="00AE6D64"/>
    <w:rsid w:val="00AF23B3"/>
    <w:rsid w:val="00AF3FB5"/>
    <w:rsid w:val="00AF476C"/>
    <w:rsid w:val="00AF5141"/>
    <w:rsid w:val="00AF7A9F"/>
    <w:rsid w:val="00B07908"/>
    <w:rsid w:val="00B1548E"/>
    <w:rsid w:val="00B17149"/>
    <w:rsid w:val="00B17635"/>
    <w:rsid w:val="00B245DB"/>
    <w:rsid w:val="00B24791"/>
    <w:rsid w:val="00B26351"/>
    <w:rsid w:val="00B31802"/>
    <w:rsid w:val="00B3419F"/>
    <w:rsid w:val="00B34A8F"/>
    <w:rsid w:val="00B353E2"/>
    <w:rsid w:val="00B411C4"/>
    <w:rsid w:val="00B43072"/>
    <w:rsid w:val="00B45622"/>
    <w:rsid w:val="00B55054"/>
    <w:rsid w:val="00B5534F"/>
    <w:rsid w:val="00B61299"/>
    <w:rsid w:val="00B64570"/>
    <w:rsid w:val="00B64E48"/>
    <w:rsid w:val="00B6611C"/>
    <w:rsid w:val="00B6633B"/>
    <w:rsid w:val="00B66BCE"/>
    <w:rsid w:val="00B66E14"/>
    <w:rsid w:val="00B711CE"/>
    <w:rsid w:val="00B71BC8"/>
    <w:rsid w:val="00B73E50"/>
    <w:rsid w:val="00B748E9"/>
    <w:rsid w:val="00B74F5D"/>
    <w:rsid w:val="00B7645F"/>
    <w:rsid w:val="00B768C7"/>
    <w:rsid w:val="00B7737E"/>
    <w:rsid w:val="00B82A68"/>
    <w:rsid w:val="00B85C20"/>
    <w:rsid w:val="00B864DA"/>
    <w:rsid w:val="00B905F8"/>
    <w:rsid w:val="00B91CDD"/>
    <w:rsid w:val="00B91F60"/>
    <w:rsid w:val="00B933A8"/>
    <w:rsid w:val="00B94130"/>
    <w:rsid w:val="00B95BE9"/>
    <w:rsid w:val="00BA0504"/>
    <w:rsid w:val="00BA1726"/>
    <w:rsid w:val="00BA2CE0"/>
    <w:rsid w:val="00BA46A7"/>
    <w:rsid w:val="00BB325B"/>
    <w:rsid w:val="00BB7649"/>
    <w:rsid w:val="00BB7AC5"/>
    <w:rsid w:val="00BB7FBA"/>
    <w:rsid w:val="00BC0505"/>
    <w:rsid w:val="00BC0E16"/>
    <w:rsid w:val="00BC248D"/>
    <w:rsid w:val="00BC3552"/>
    <w:rsid w:val="00BC684D"/>
    <w:rsid w:val="00BC6DF8"/>
    <w:rsid w:val="00BC78F2"/>
    <w:rsid w:val="00BD0106"/>
    <w:rsid w:val="00BD419B"/>
    <w:rsid w:val="00BD54C1"/>
    <w:rsid w:val="00BE0616"/>
    <w:rsid w:val="00BE15F5"/>
    <w:rsid w:val="00BE2A39"/>
    <w:rsid w:val="00BE4F17"/>
    <w:rsid w:val="00BE5417"/>
    <w:rsid w:val="00BE765F"/>
    <w:rsid w:val="00BF30E2"/>
    <w:rsid w:val="00C0177B"/>
    <w:rsid w:val="00C04D38"/>
    <w:rsid w:val="00C04E95"/>
    <w:rsid w:val="00C06CEE"/>
    <w:rsid w:val="00C10BEA"/>
    <w:rsid w:val="00C143D4"/>
    <w:rsid w:val="00C14E08"/>
    <w:rsid w:val="00C16873"/>
    <w:rsid w:val="00C210DA"/>
    <w:rsid w:val="00C222F8"/>
    <w:rsid w:val="00C3115C"/>
    <w:rsid w:val="00C3161B"/>
    <w:rsid w:val="00C32386"/>
    <w:rsid w:val="00C33332"/>
    <w:rsid w:val="00C4038C"/>
    <w:rsid w:val="00C4135D"/>
    <w:rsid w:val="00C41D1D"/>
    <w:rsid w:val="00C42B4F"/>
    <w:rsid w:val="00C44DA8"/>
    <w:rsid w:val="00C47ADC"/>
    <w:rsid w:val="00C51D45"/>
    <w:rsid w:val="00C524E8"/>
    <w:rsid w:val="00C56B4F"/>
    <w:rsid w:val="00C60835"/>
    <w:rsid w:val="00C61E34"/>
    <w:rsid w:val="00C62E2E"/>
    <w:rsid w:val="00C65AD4"/>
    <w:rsid w:val="00C65C49"/>
    <w:rsid w:val="00C67FBA"/>
    <w:rsid w:val="00C7085D"/>
    <w:rsid w:val="00C73542"/>
    <w:rsid w:val="00C751AB"/>
    <w:rsid w:val="00C80873"/>
    <w:rsid w:val="00C82508"/>
    <w:rsid w:val="00C82F63"/>
    <w:rsid w:val="00C863E2"/>
    <w:rsid w:val="00C90159"/>
    <w:rsid w:val="00C91BE1"/>
    <w:rsid w:val="00C93C35"/>
    <w:rsid w:val="00CA3854"/>
    <w:rsid w:val="00CA50A4"/>
    <w:rsid w:val="00CA77A1"/>
    <w:rsid w:val="00CA78E0"/>
    <w:rsid w:val="00CB0BD7"/>
    <w:rsid w:val="00CB1ED4"/>
    <w:rsid w:val="00CB211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4002"/>
    <w:rsid w:val="00CE6FB4"/>
    <w:rsid w:val="00CF146A"/>
    <w:rsid w:val="00CF2EBF"/>
    <w:rsid w:val="00CF3015"/>
    <w:rsid w:val="00CF5CF4"/>
    <w:rsid w:val="00CF7E1F"/>
    <w:rsid w:val="00D03468"/>
    <w:rsid w:val="00D03703"/>
    <w:rsid w:val="00D04CAD"/>
    <w:rsid w:val="00D05503"/>
    <w:rsid w:val="00D106E5"/>
    <w:rsid w:val="00D13F1B"/>
    <w:rsid w:val="00D17C70"/>
    <w:rsid w:val="00D22054"/>
    <w:rsid w:val="00D23654"/>
    <w:rsid w:val="00D2438B"/>
    <w:rsid w:val="00D264C9"/>
    <w:rsid w:val="00D30BB9"/>
    <w:rsid w:val="00D31285"/>
    <w:rsid w:val="00D32E23"/>
    <w:rsid w:val="00D35E3B"/>
    <w:rsid w:val="00D37907"/>
    <w:rsid w:val="00D448EB"/>
    <w:rsid w:val="00D504ED"/>
    <w:rsid w:val="00D50534"/>
    <w:rsid w:val="00D50F56"/>
    <w:rsid w:val="00D513E3"/>
    <w:rsid w:val="00D5226F"/>
    <w:rsid w:val="00D5532C"/>
    <w:rsid w:val="00D55643"/>
    <w:rsid w:val="00D55C7B"/>
    <w:rsid w:val="00D56127"/>
    <w:rsid w:val="00D56ABA"/>
    <w:rsid w:val="00D579B5"/>
    <w:rsid w:val="00D61E20"/>
    <w:rsid w:val="00D62935"/>
    <w:rsid w:val="00D6633D"/>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2ABF"/>
    <w:rsid w:val="00DB39FE"/>
    <w:rsid w:val="00DC2482"/>
    <w:rsid w:val="00DC5BDF"/>
    <w:rsid w:val="00DC723A"/>
    <w:rsid w:val="00DD146E"/>
    <w:rsid w:val="00DD1B74"/>
    <w:rsid w:val="00DD1C68"/>
    <w:rsid w:val="00DD2410"/>
    <w:rsid w:val="00DD3229"/>
    <w:rsid w:val="00DD5B6B"/>
    <w:rsid w:val="00DD69E3"/>
    <w:rsid w:val="00DD6C47"/>
    <w:rsid w:val="00DE42FB"/>
    <w:rsid w:val="00DE5895"/>
    <w:rsid w:val="00DE6934"/>
    <w:rsid w:val="00DE7284"/>
    <w:rsid w:val="00DF01B2"/>
    <w:rsid w:val="00DF0285"/>
    <w:rsid w:val="00DF130F"/>
    <w:rsid w:val="00DF4456"/>
    <w:rsid w:val="00E0185E"/>
    <w:rsid w:val="00E0252E"/>
    <w:rsid w:val="00E02F86"/>
    <w:rsid w:val="00E0745A"/>
    <w:rsid w:val="00E10AEF"/>
    <w:rsid w:val="00E10E03"/>
    <w:rsid w:val="00E12D07"/>
    <w:rsid w:val="00E14F20"/>
    <w:rsid w:val="00E214DE"/>
    <w:rsid w:val="00E2164B"/>
    <w:rsid w:val="00E21F47"/>
    <w:rsid w:val="00E257D2"/>
    <w:rsid w:val="00E25931"/>
    <w:rsid w:val="00E25F38"/>
    <w:rsid w:val="00E26567"/>
    <w:rsid w:val="00E27507"/>
    <w:rsid w:val="00E306AD"/>
    <w:rsid w:val="00E32368"/>
    <w:rsid w:val="00E36FCE"/>
    <w:rsid w:val="00E55E87"/>
    <w:rsid w:val="00E56320"/>
    <w:rsid w:val="00E57036"/>
    <w:rsid w:val="00E63F56"/>
    <w:rsid w:val="00E64D4A"/>
    <w:rsid w:val="00E65531"/>
    <w:rsid w:val="00E67657"/>
    <w:rsid w:val="00E7101D"/>
    <w:rsid w:val="00E71E6F"/>
    <w:rsid w:val="00E75A88"/>
    <w:rsid w:val="00E7703C"/>
    <w:rsid w:val="00E805E8"/>
    <w:rsid w:val="00E80666"/>
    <w:rsid w:val="00E8159E"/>
    <w:rsid w:val="00E91344"/>
    <w:rsid w:val="00E9244E"/>
    <w:rsid w:val="00E9380E"/>
    <w:rsid w:val="00EA1BB5"/>
    <w:rsid w:val="00EA34E5"/>
    <w:rsid w:val="00EA5770"/>
    <w:rsid w:val="00EA6377"/>
    <w:rsid w:val="00EB195F"/>
    <w:rsid w:val="00EB2368"/>
    <w:rsid w:val="00EB542F"/>
    <w:rsid w:val="00EB6561"/>
    <w:rsid w:val="00EC0AA6"/>
    <w:rsid w:val="00EC122F"/>
    <w:rsid w:val="00EC24AE"/>
    <w:rsid w:val="00ED0977"/>
    <w:rsid w:val="00ED16C6"/>
    <w:rsid w:val="00ED4907"/>
    <w:rsid w:val="00ED66D5"/>
    <w:rsid w:val="00EE03AE"/>
    <w:rsid w:val="00EE06EC"/>
    <w:rsid w:val="00EE37BE"/>
    <w:rsid w:val="00EE3D1A"/>
    <w:rsid w:val="00EF1343"/>
    <w:rsid w:val="00EF4439"/>
    <w:rsid w:val="00EF7F93"/>
    <w:rsid w:val="00F0050B"/>
    <w:rsid w:val="00F00811"/>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1A3E"/>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1A3A"/>
    <w:rsid w:val="00F73AB4"/>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6B77"/>
    <w:rsid w:val="00FA790B"/>
    <w:rsid w:val="00FB05F7"/>
    <w:rsid w:val="00FB06CE"/>
    <w:rsid w:val="00FB1755"/>
    <w:rsid w:val="00FB1F84"/>
    <w:rsid w:val="00FB2B6A"/>
    <w:rsid w:val="00FB2E42"/>
    <w:rsid w:val="00FB2FF5"/>
    <w:rsid w:val="00FB306B"/>
    <w:rsid w:val="00FB3651"/>
    <w:rsid w:val="00FB3C20"/>
    <w:rsid w:val="00FB6C71"/>
    <w:rsid w:val="00FC0036"/>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5856F8"/>
  <w15:docId w15:val="{1E34E2EF-0396-4352-89A2-DEAA6D49F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03C69"/>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numId w:val="0"/>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SimSun"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SimSun"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SimSun"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SimSun"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SimSun" w:hAnsi="Arial" w:cs="Times New Roman"/>
      <w:kern w:val="0"/>
      <w:sz w:val="36"/>
      <w:szCs w:val="20"/>
      <w:lang w:val="en-GB" w:eastAsia="en-US"/>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FF76F4"/>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FF76F4"/>
    <w:rPr>
      <w:rFonts w:ascii="SimSun" w:eastAsia="SimSun" w:hAnsi="SimSun" w:cs="SimSun"/>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qFormat/>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qFormat/>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qFormat/>
    <w:rsid w:val="00910877"/>
    <w:rPr>
      <w:b/>
    </w:rPr>
  </w:style>
  <w:style w:type="paragraph" w:customStyle="1" w:styleId="TAC">
    <w:name w:val="TAC"/>
    <w:basedOn w:val="Normal"/>
    <w:link w:val="TACChar"/>
    <w:uiPriority w:val="99"/>
    <w:qFormat/>
    <w:rsid w:val="00910877"/>
    <w:pPr>
      <w:keepNext/>
      <w:keepLines/>
      <w:widowControl/>
      <w:overflowPunct w:val="0"/>
      <w:autoSpaceDE w:val="0"/>
      <w:autoSpaceDN w:val="0"/>
      <w:adjustRightInd w:val="0"/>
      <w:jc w:val="center"/>
      <w:textAlignment w:val="baseline"/>
    </w:pPr>
    <w:rPr>
      <w:rFonts w:ascii="Arial" w:eastAsia="SimSun" w:hAnsi="Arial" w:cs="Times New Roman"/>
      <w:kern w:val="0"/>
      <w:sz w:val="18"/>
      <w:szCs w:val="20"/>
      <w:lang w:val="en-GB"/>
    </w:rPr>
  </w:style>
  <w:style w:type="character" w:customStyle="1" w:styleId="TACChar">
    <w:name w:val="TAC Char"/>
    <w:basedOn w:val="DefaultParagraphFont"/>
    <w:link w:val="TAC"/>
    <w:uiPriority w:val="99"/>
    <w:qFormat/>
    <w:rsid w:val="00910877"/>
    <w:rPr>
      <w:rFonts w:ascii="Arial" w:eastAsia="SimSun"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rPr>
  </w:style>
  <w:style w:type="character" w:customStyle="1" w:styleId="THChar">
    <w:name w:val="TH Char"/>
    <w:basedOn w:val="DefaultParagraphFont"/>
    <w:link w:val="TH"/>
    <w:qFormat/>
    <w:rsid w:val="00910877"/>
    <w:rPr>
      <w:rFonts w:ascii="Arial" w:eastAsia="SimSun" w:hAnsi="Arial" w:cs="Times New Roman"/>
      <w:b/>
      <w:kern w:val="0"/>
      <w:sz w:val="20"/>
      <w:szCs w:val="20"/>
      <w:lang w:val="en-GB"/>
    </w:rPr>
  </w:style>
  <w:style w:type="character" w:customStyle="1" w:styleId="TAHCar">
    <w:name w:val="TAH Car"/>
    <w:basedOn w:val="DefaultParagraphFont"/>
    <w:link w:val="TAH"/>
    <w:uiPriority w:val="99"/>
    <w:qFormat/>
    <w:rsid w:val="00910877"/>
    <w:rPr>
      <w:rFonts w:ascii="Arial" w:eastAsia="SimSun"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SimSun" w:eastAsia="SimSun" w:hAnsi="SimSun" w:cs="SimSun"/>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B6611C"/>
    <w:rPr>
      <w:rFonts w:ascii="Arial" w:eastAsia="SimSun"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SimSun" w:hAnsi="Times New Roman" w:cs="Times New Roman"/>
      <w:szCs w:val="24"/>
    </w:rPr>
  </w:style>
  <w:style w:type="paragraph" w:customStyle="1" w:styleId="B1">
    <w:name w:val="B1"/>
    <w:basedOn w:val="List"/>
    <w:link w:val="B10"/>
    <w:qFormat/>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SimSun"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SimSun"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SimSun"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SimSun"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SimSun"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SimSun"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SimSun"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SimSun"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SimSun"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SimSun"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SimSun"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qFormat/>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 w:type="paragraph" w:customStyle="1" w:styleId="EX">
    <w:name w:val="EX"/>
    <w:basedOn w:val="Normal"/>
    <w:link w:val="EXChar"/>
    <w:rsid w:val="00EA1BB5"/>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ko-KR"/>
    </w:rPr>
  </w:style>
  <w:style w:type="character" w:customStyle="1" w:styleId="EXChar">
    <w:name w:val="EX Char"/>
    <w:link w:val="EX"/>
    <w:rsid w:val="00EA1BB5"/>
    <w:rPr>
      <w:rFonts w:ascii="Times New Roman" w:eastAsia="Times New Roman" w:hAnsi="Times New Roman" w:cs="Times New Roman"/>
      <w:kern w:val="0"/>
      <w:sz w:val="20"/>
      <w:szCs w:val="20"/>
      <w:lang w:val="en-GB" w:eastAsia="ko-KR"/>
    </w:rPr>
  </w:style>
  <w:style w:type="character" w:customStyle="1" w:styleId="search-word-mail">
    <w:name w:val="search-word-mail"/>
    <w:basedOn w:val="DefaultParagraphFont"/>
    <w:rsid w:val="008E1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4418477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235019371">
      <w:bodyDiv w:val="1"/>
      <w:marLeft w:val="0"/>
      <w:marRight w:val="0"/>
      <w:marTop w:val="0"/>
      <w:marBottom w:val="0"/>
      <w:divBdr>
        <w:top w:val="none" w:sz="0" w:space="0" w:color="auto"/>
        <w:left w:val="none" w:sz="0" w:space="0" w:color="auto"/>
        <w:bottom w:val="none" w:sz="0" w:space="0" w:color="auto"/>
        <w:right w:val="none" w:sz="0" w:space="0" w:color="auto"/>
      </w:divBdr>
      <w:divsChild>
        <w:div w:id="1821379799">
          <w:marLeft w:val="1166"/>
          <w:marRight w:val="0"/>
          <w:marTop w:val="60"/>
          <w:marBottom w:val="0"/>
          <w:divBdr>
            <w:top w:val="none" w:sz="0" w:space="0" w:color="auto"/>
            <w:left w:val="none" w:sz="0" w:space="0" w:color="auto"/>
            <w:bottom w:val="none" w:sz="0" w:space="0" w:color="auto"/>
            <w:right w:val="none" w:sz="0" w:space="0" w:color="auto"/>
          </w:divBdr>
        </w:div>
        <w:div w:id="1278878183">
          <w:marLeft w:val="1166"/>
          <w:marRight w:val="0"/>
          <w:marTop w:val="60"/>
          <w:marBottom w:val="0"/>
          <w:divBdr>
            <w:top w:val="none" w:sz="0" w:space="0" w:color="auto"/>
            <w:left w:val="none" w:sz="0" w:space="0" w:color="auto"/>
            <w:bottom w:val="none" w:sz="0" w:space="0" w:color="auto"/>
            <w:right w:val="none" w:sz="0" w:space="0" w:color="auto"/>
          </w:divBdr>
        </w:div>
        <w:div w:id="1739016487">
          <w:marLeft w:val="1800"/>
          <w:marRight w:val="0"/>
          <w:marTop w:val="60"/>
          <w:marBottom w:val="0"/>
          <w:divBdr>
            <w:top w:val="none" w:sz="0" w:space="0" w:color="auto"/>
            <w:left w:val="none" w:sz="0" w:space="0" w:color="auto"/>
            <w:bottom w:val="none" w:sz="0" w:space="0" w:color="auto"/>
            <w:right w:val="none" w:sz="0" w:space="0" w:color="auto"/>
          </w:divBdr>
        </w:div>
        <w:div w:id="88278826">
          <w:marLeft w:val="1800"/>
          <w:marRight w:val="0"/>
          <w:marTop w:val="60"/>
          <w:marBottom w:val="0"/>
          <w:divBdr>
            <w:top w:val="none" w:sz="0" w:space="0" w:color="auto"/>
            <w:left w:val="none" w:sz="0" w:space="0" w:color="auto"/>
            <w:bottom w:val="none" w:sz="0" w:space="0" w:color="auto"/>
            <w:right w:val="none" w:sz="0" w:space="0" w:color="auto"/>
          </w:divBdr>
        </w:div>
        <w:div w:id="128132216">
          <w:marLeft w:val="1166"/>
          <w:marRight w:val="0"/>
          <w:marTop w:val="60"/>
          <w:marBottom w:val="0"/>
          <w:divBdr>
            <w:top w:val="none" w:sz="0" w:space="0" w:color="auto"/>
            <w:left w:val="none" w:sz="0" w:space="0" w:color="auto"/>
            <w:bottom w:val="none" w:sz="0" w:space="0" w:color="auto"/>
            <w:right w:val="none" w:sz="0" w:space="0" w:color="auto"/>
          </w:divBdr>
        </w:div>
        <w:div w:id="1118793251">
          <w:marLeft w:val="1800"/>
          <w:marRight w:val="0"/>
          <w:marTop w:val="60"/>
          <w:marBottom w:val="0"/>
          <w:divBdr>
            <w:top w:val="none" w:sz="0" w:space="0" w:color="auto"/>
            <w:left w:val="none" w:sz="0" w:space="0" w:color="auto"/>
            <w:bottom w:val="none" w:sz="0" w:space="0" w:color="auto"/>
            <w:right w:val="none" w:sz="0" w:space="0" w:color="auto"/>
          </w:divBdr>
        </w:div>
        <w:div w:id="214586749">
          <w:marLeft w:val="1800"/>
          <w:marRight w:val="0"/>
          <w:marTop w:val="60"/>
          <w:marBottom w:val="0"/>
          <w:divBdr>
            <w:top w:val="none" w:sz="0" w:space="0" w:color="auto"/>
            <w:left w:val="none" w:sz="0" w:space="0" w:color="auto"/>
            <w:bottom w:val="none" w:sz="0" w:space="0" w:color="auto"/>
            <w:right w:val="none" w:sz="0" w:space="0" w:color="auto"/>
          </w:divBdr>
        </w:div>
        <w:div w:id="739450442">
          <w:marLeft w:val="1166"/>
          <w:marRight w:val="0"/>
          <w:marTop w:val="60"/>
          <w:marBottom w:val="0"/>
          <w:divBdr>
            <w:top w:val="none" w:sz="0" w:space="0" w:color="auto"/>
            <w:left w:val="none" w:sz="0" w:space="0" w:color="auto"/>
            <w:bottom w:val="none" w:sz="0" w:space="0" w:color="auto"/>
            <w:right w:val="none" w:sz="0" w:space="0" w:color="auto"/>
          </w:divBdr>
        </w:div>
        <w:div w:id="1283029319">
          <w:marLeft w:val="1800"/>
          <w:marRight w:val="0"/>
          <w:marTop w:val="60"/>
          <w:marBottom w:val="0"/>
          <w:divBdr>
            <w:top w:val="none" w:sz="0" w:space="0" w:color="auto"/>
            <w:left w:val="none" w:sz="0" w:space="0" w:color="auto"/>
            <w:bottom w:val="none" w:sz="0" w:space="0" w:color="auto"/>
            <w:right w:val="none" w:sz="0" w:space="0" w:color="auto"/>
          </w:divBdr>
        </w:div>
        <w:div w:id="1670675608">
          <w:marLeft w:val="1800"/>
          <w:marRight w:val="0"/>
          <w:marTop w:val="6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87958724">
      <w:bodyDiv w:val="1"/>
      <w:marLeft w:val="0"/>
      <w:marRight w:val="0"/>
      <w:marTop w:val="0"/>
      <w:marBottom w:val="0"/>
      <w:divBdr>
        <w:top w:val="none" w:sz="0" w:space="0" w:color="auto"/>
        <w:left w:val="none" w:sz="0" w:space="0" w:color="auto"/>
        <w:bottom w:val="none" w:sz="0" w:space="0" w:color="auto"/>
        <w:right w:val="none" w:sz="0" w:space="0" w:color="auto"/>
      </w:divBdr>
      <w:divsChild>
        <w:div w:id="63526662">
          <w:marLeft w:val="0"/>
          <w:marRight w:val="0"/>
          <w:marTop w:val="0"/>
          <w:marBottom w:val="0"/>
          <w:divBdr>
            <w:top w:val="none" w:sz="0" w:space="0" w:color="auto"/>
            <w:left w:val="none" w:sz="0" w:space="0" w:color="auto"/>
            <w:bottom w:val="none" w:sz="0" w:space="0" w:color="auto"/>
            <w:right w:val="none" w:sz="0" w:space="0" w:color="auto"/>
          </w:divBdr>
          <w:divsChild>
            <w:div w:id="1382747787">
              <w:marLeft w:val="0"/>
              <w:marRight w:val="0"/>
              <w:marTop w:val="0"/>
              <w:marBottom w:val="0"/>
              <w:divBdr>
                <w:top w:val="none" w:sz="0" w:space="0" w:color="auto"/>
                <w:left w:val="none" w:sz="0" w:space="0" w:color="auto"/>
                <w:bottom w:val="none" w:sz="0" w:space="0" w:color="auto"/>
                <w:right w:val="none" w:sz="0" w:space="0" w:color="auto"/>
              </w:divBdr>
              <w:divsChild>
                <w:div w:id="1303080756">
                  <w:marLeft w:val="0"/>
                  <w:marRight w:val="0"/>
                  <w:marTop w:val="0"/>
                  <w:marBottom w:val="0"/>
                  <w:divBdr>
                    <w:top w:val="none" w:sz="0" w:space="0" w:color="auto"/>
                    <w:left w:val="none" w:sz="0" w:space="0" w:color="auto"/>
                    <w:bottom w:val="none" w:sz="0" w:space="0" w:color="auto"/>
                    <w:right w:val="none" w:sz="0" w:space="0" w:color="auto"/>
                  </w:divBdr>
                  <w:divsChild>
                    <w:div w:id="438064236">
                      <w:marLeft w:val="0"/>
                      <w:marRight w:val="0"/>
                      <w:marTop w:val="0"/>
                      <w:marBottom w:val="0"/>
                      <w:divBdr>
                        <w:top w:val="none" w:sz="0" w:space="0" w:color="auto"/>
                        <w:left w:val="none" w:sz="0" w:space="0" w:color="auto"/>
                        <w:bottom w:val="none" w:sz="0" w:space="0" w:color="auto"/>
                        <w:right w:val="none" w:sz="0" w:space="0" w:color="auto"/>
                      </w:divBdr>
                      <w:divsChild>
                        <w:div w:id="440223486">
                          <w:marLeft w:val="0"/>
                          <w:marRight w:val="0"/>
                          <w:marTop w:val="0"/>
                          <w:marBottom w:val="0"/>
                          <w:divBdr>
                            <w:top w:val="none" w:sz="0" w:space="0" w:color="auto"/>
                            <w:left w:val="none" w:sz="0" w:space="0" w:color="auto"/>
                            <w:bottom w:val="none" w:sz="0" w:space="0" w:color="auto"/>
                            <w:right w:val="none" w:sz="0" w:space="0" w:color="auto"/>
                          </w:divBdr>
                          <w:divsChild>
                            <w:div w:id="1700736207">
                              <w:marLeft w:val="0"/>
                              <w:marRight w:val="0"/>
                              <w:marTop w:val="0"/>
                              <w:marBottom w:val="0"/>
                              <w:divBdr>
                                <w:top w:val="none" w:sz="0" w:space="0" w:color="auto"/>
                                <w:left w:val="none" w:sz="0" w:space="0" w:color="auto"/>
                                <w:bottom w:val="none" w:sz="0" w:space="0" w:color="auto"/>
                                <w:right w:val="none" w:sz="0" w:space="0" w:color="auto"/>
                              </w:divBdr>
                              <w:divsChild>
                                <w:div w:id="991564737">
                                  <w:marLeft w:val="0"/>
                                  <w:marRight w:val="0"/>
                                  <w:marTop w:val="0"/>
                                  <w:marBottom w:val="0"/>
                                  <w:divBdr>
                                    <w:top w:val="none" w:sz="0" w:space="0" w:color="auto"/>
                                    <w:left w:val="none" w:sz="0" w:space="0" w:color="auto"/>
                                    <w:bottom w:val="none" w:sz="0" w:space="0" w:color="auto"/>
                                    <w:right w:val="none" w:sz="0" w:space="0" w:color="auto"/>
                                  </w:divBdr>
                                  <w:divsChild>
                                    <w:div w:id="2020541709">
                                      <w:marLeft w:val="0"/>
                                      <w:marRight w:val="0"/>
                                      <w:marTop w:val="0"/>
                                      <w:marBottom w:val="0"/>
                                      <w:divBdr>
                                        <w:top w:val="none" w:sz="0" w:space="0" w:color="auto"/>
                                        <w:left w:val="none" w:sz="0" w:space="0" w:color="auto"/>
                                        <w:bottom w:val="none" w:sz="0" w:space="0" w:color="auto"/>
                                        <w:right w:val="none" w:sz="0" w:space="0" w:color="auto"/>
                                      </w:divBdr>
                                      <w:divsChild>
                                        <w:div w:id="1388608430">
                                          <w:marLeft w:val="0"/>
                                          <w:marRight w:val="0"/>
                                          <w:marTop w:val="0"/>
                                          <w:marBottom w:val="0"/>
                                          <w:divBdr>
                                            <w:top w:val="none" w:sz="0" w:space="0" w:color="auto"/>
                                            <w:left w:val="none" w:sz="0" w:space="0" w:color="auto"/>
                                            <w:bottom w:val="none" w:sz="0" w:space="0" w:color="auto"/>
                                            <w:right w:val="none" w:sz="0" w:space="0" w:color="auto"/>
                                          </w:divBdr>
                                          <w:divsChild>
                                            <w:div w:id="1687242846">
                                              <w:marLeft w:val="0"/>
                                              <w:marRight w:val="0"/>
                                              <w:marTop w:val="0"/>
                                              <w:marBottom w:val="0"/>
                                              <w:divBdr>
                                                <w:top w:val="none" w:sz="0" w:space="0" w:color="auto"/>
                                                <w:left w:val="none" w:sz="0" w:space="0" w:color="auto"/>
                                                <w:bottom w:val="none" w:sz="0" w:space="0" w:color="auto"/>
                                                <w:right w:val="none" w:sz="0" w:space="0" w:color="auto"/>
                                              </w:divBdr>
                                              <w:divsChild>
                                                <w:div w:id="12883151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441966">
      <w:bodyDiv w:val="1"/>
      <w:marLeft w:val="0"/>
      <w:marRight w:val="0"/>
      <w:marTop w:val="0"/>
      <w:marBottom w:val="0"/>
      <w:divBdr>
        <w:top w:val="none" w:sz="0" w:space="0" w:color="auto"/>
        <w:left w:val="none" w:sz="0" w:space="0" w:color="auto"/>
        <w:bottom w:val="none" w:sz="0" w:space="0" w:color="auto"/>
        <w:right w:val="none" w:sz="0" w:space="0" w:color="auto"/>
      </w:divBdr>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02530235">
      <w:bodyDiv w:val="1"/>
      <w:marLeft w:val="0"/>
      <w:marRight w:val="0"/>
      <w:marTop w:val="0"/>
      <w:marBottom w:val="0"/>
      <w:divBdr>
        <w:top w:val="none" w:sz="0" w:space="0" w:color="auto"/>
        <w:left w:val="none" w:sz="0" w:space="0" w:color="auto"/>
        <w:bottom w:val="none" w:sz="0" w:space="0" w:color="auto"/>
        <w:right w:val="none" w:sz="0" w:space="0" w:color="auto"/>
      </w:divBdr>
      <w:divsChild>
        <w:div w:id="868376185">
          <w:marLeft w:val="0"/>
          <w:marRight w:val="0"/>
          <w:marTop w:val="0"/>
          <w:marBottom w:val="0"/>
          <w:divBdr>
            <w:top w:val="none" w:sz="0" w:space="0" w:color="auto"/>
            <w:left w:val="none" w:sz="0" w:space="0" w:color="auto"/>
            <w:bottom w:val="none" w:sz="0" w:space="0" w:color="auto"/>
            <w:right w:val="none" w:sz="0" w:space="0" w:color="auto"/>
          </w:divBdr>
          <w:divsChild>
            <w:div w:id="1920945639">
              <w:marLeft w:val="0"/>
              <w:marRight w:val="0"/>
              <w:marTop w:val="0"/>
              <w:marBottom w:val="0"/>
              <w:divBdr>
                <w:top w:val="none" w:sz="0" w:space="0" w:color="auto"/>
                <w:left w:val="none" w:sz="0" w:space="0" w:color="auto"/>
                <w:bottom w:val="none" w:sz="0" w:space="0" w:color="auto"/>
                <w:right w:val="none" w:sz="0" w:space="0" w:color="auto"/>
              </w:divBdr>
              <w:divsChild>
                <w:div w:id="1803427515">
                  <w:marLeft w:val="0"/>
                  <w:marRight w:val="0"/>
                  <w:marTop w:val="0"/>
                  <w:marBottom w:val="0"/>
                  <w:divBdr>
                    <w:top w:val="none" w:sz="0" w:space="0" w:color="auto"/>
                    <w:left w:val="none" w:sz="0" w:space="0" w:color="auto"/>
                    <w:bottom w:val="none" w:sz="0" w:space="0" w:color="auto"/>
                    <w:right w:val="none" w:sz="0" w:space="0" w:color="auto"/>
                  </w:divBdr>
                  <w:divsChild>
                    <w:div w:id="1036928975">
                      <w:marLeft w:val="0"/>
                      <w:marRight w:val="0"/>
                      <w:marTop w:val="0"/>
                      <w:marBottom w:val="0"/>
                      <w:divBdr>
                        <w:top w:val="none" w:sz="0" w:space="0" w:color="auto"/>
                        <w:left w:val="none" w:sz="0" w:space="0" w:color="auto"/>
                        <w:bottom w:val="none" w:sz="0" w:space="0" w:color="auto"/>
                        <w:right w:val="none" w:sz="0" w:space="0" w:color="auto"/>
                      </w:divBdr>
                      <w:divsChild>
                        <w:div w:id="1614088648">
                          <w:marLeft w:val="0"/>
                          <w:marRight w:val="0"/>
                          <w:marTop w:val="0"/>
                          <w:marBottom w:val="0"/>
                          <w:divBdr>
                            <w:top w:val="none" w:sz="0" w:space="0" w:color="auto"/>
                            <w:left w:val="none" w:sz="0" w:space="0" w:color="auto"/>
                            <w:bottom w:val="none" w:sz="0" w:space="0" w:color="auto"/>
                            <w:right w:val="none" w:sz="0" w:space="0" w:color="auto"/>
                          </w:divBdr>
                          <w:divsChild>
                            <w:div w:id="39744583">
                              <w:marLeft w:val="0"/>
                              <w:marRight w:val="0"/>
                              <w:marTop w:val="0"/>
                              <w:marBottom w:val="0"/>
                              <w:divBdr>
                                <w:top w:val="none" w:sz="0" w:space="0" w:color="auto"/>
                                <w:left w:val="none" w:sz="0" w:space="0" w:color="auto"/>
                                <w:bottom w:val="none" w:sz="0" w:space="0" w:color="auto"/>
                                <w:right w:val="none" w:sz="0" w:space="0" w:color="auto"/>
                              </w:divBdr>
                              <w:divsChild>
                                <w:div w:id="517232576">
                                  <w:marLeft w:val="0"/>
                                  <w:marRight w:val="0"/>
                                  <w:marTop w:val="0"/>
                                  <w:marBottom w:val="0"/>
                                  <w:divBdr>
                                    <w:top w:val="none" w:sz="0" w:space="0" w:color="auto"/>
                                    <w:left w:val="none" w:sz="0" w:space="0" w:color="auto"/>
                                    <w:bottom w:val="none" w:sz="0" w:space="0" w:color="auto"/>
                                    <w:right w:val="none" w:sz="0" w:space="0" w:color="auto"/>
                                  </w:divBdr>
                                  <w:divsChild>
                                    <w:div w:id="519860783">
                                      <w:marLeft w:val="0"/>
                                      <w:marRight w:val="0"/>
                                      <w:marTop w:val="0"/>
                                      <w:marBottom w:val="0"/>
                                      <w:divBdr>
                                        <w:top w:val="none" w:sz="0" w:space="0" w:color="auto"/>
                                        <w:left w:val="none" w:sz="0" w:space="0" w:color="auto"/>
                                        <w:bottom w:val="none" w:sz="0" w:space="0" w:color="auto"/>
                                        <w:right w:val="none" w:sz="0" w:space="0" w:color="auto"/>
                                      </w:divBdr>
                                      <w:divsChild>
                                        <w:div w:id="457845607">
                                          <w:marLeft w:val="0"/>
                                          <w:marRight w:val="0"/>
                                          <w:marTop w:val="0"/>
                                          <w:marBottom w:val="0"/>
                                          <w:divBdr>
                                            <w:top w:val="none" w:sz="0" w:space="0" w:color="auto"/>
                                            <w:left w:val="none" w:sz="0" w:space="0" w:color="auto"/>
                                            <w:bottom w:val="none" w:sz="0" w:space="0" w:color="auto"/>
                                            <w:right w:val="none" w:sz="0" w:space="0" w:color="auto"/>
                                          </w:divBdr>
                                          <w:divsChild>
                                            <w:div w:id="1802377642">
                                              <w:marLeft w:val="330"/>
                                              <w:marRight w:val="225"/>
                                              <w:marTop w:val="300"/>
                                              <w:marBottom w:val="450"/>
                                              <w:divBdr>
                                                <w:top w:val="none" w:sz="0" w:space="0" w:color="auto"/>
                                                <w:left w:val="none" w:sz="0" w:space="0" w:color="auto"/>
                                                <w:bottom w:val="none" w:sz="0" w:space="0" w:color="auto"/>
                                                <w:right w:val="none" w:sz="0" w:space="0" w:color="auto"/>
                                              </w:divBdr>
                                              <w:divsChild>
                                                <w:div w:id="82689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1981765636">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64400-B6C4-4573-8793-5C70DF303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CR0125r1</cp:lastModifiedBy>
  <cp:revision>7</cp:revision>
  <cp:lastPrinted>2019-03-25T03:05:00Z</cp:lastPrinted>
  <dcterms:created xsi:type="dcterms:W3CDTF">2020-04-10T08:19:00Z</dcterms:created>
  <dcterms:modified xsi:type="dcterms:W3CDTF">2020-04-14T18:22:00Z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