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DAE8B" w14:textId="71529FD6" w:rsidR="00433BEC" w:rsidRPr="00DB5695" w:rsidRDefault="00433BEC" w:rsidP="00433BEC">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94bis</w:t>
      </w:r>
      <w:r w:rsidRPr="00207615">
        <w:rPr>
          <w:rFonts w:cs="Arial"/>
          <w:sz w:val="24"/>
          <w:szCs w:val="24"/>
        </w:rPr>
        <w:tab/>
      </w:r>
      <w:r w:rsidR="00D6440A" w:rsidRPr="0038753C">
        <w:rPr>
          <w:rFonts w:eastAsia="Times New Roman" w:cs="Arial"/>
          <w:color w:val="333333"/>
          <w:sz w:val="24"/>
          <w:szCs w:val="24"/>
        </w:rPr>
        <w:t>R4-2004807</w:t>
      </w:r>
    </w:p>
    <w:p w14:paraId="2E6DDD71" w14:textId="77777777" w:rsidR="00433BEC" w:rsidRPr="00ED7DA7" w:rsidRDefault="00433BEC" w:rsidP="00433BEC">
      <w:pPr>
        <w:pStyle w:val="Header"/>
        <w:rPr>
          <w:bCs/>
          <w:noProof w:val="0"/>
          <w:lang w:val="en-GB"/>
        </w:rPr>
      </w:pPr>
      <w:r w:rsidRPr="00ED7DA7">
        <w:rPr>
          <w:rFonts w:eastAsia="SimSun"/>
          <w:bCs/>
          <w:sz w:val="24"/>
          <w:szCs w:val="24"/>
          <w:lang w:eastAsia="zh-CN"/>
        </w:rPr>
        <w:t>E-meeting, 2</w:t>
      </w:r>
      <w:r>
        <w:rPr>
          <w:rFonts w:eastAsia="SimSun"/>
          <w:bCs/>
          <w:sz w:val="24"/>
          <w:szCs w:val="24"/>
          <w:lang w:eastAsia="zh-CN"/>
        </w:rPr>
        <w:t>0</w:t>
      </w:r>
      <w:r w:rsidRPr="00ED7DA7">
        <w:rPr>
          <w:rFonts w:eastAsia="SimSun"/>
          <w:bCs/>
          <w:sz w:val="24"/>
          <w:szCs w:val="24"/>
          <w:lang w:eastAsia="zh-CN"/>
        </w:rPr>
        <w:t xml:space="preserve"> </w:t>
      </w:r>
      <w:r>
        <w:rPr>
          <w:rFonts w:eastAsia="SimSun"/>
          <w:bCs/>
          <w:sz w:val="24"/>
          <w:szCs w:val="24"/>
          <w:lang w:eastAsia="zh-CN"/>
        </w:rPr>
        <w:t>April</w:t>
      </w:r>
      <w:r w:rsidRPr="00ED7DA7">
        <w:rPr>
          <w:rFonts w:eastAsia="SimSun"/>
          <w:bCs/>
          <w:sz w:val="24"/>
          <w:szCs w:val="24"/>
          <w:lang w:eastAsia="zh-CN"/>
        </w:rPr>
        <w:t xml:space="preserve"> – </w:t>
      </w:r>
      <w:r>
        <w:rPr>
          <w:rFonts w:eastAsia="SimSun"/>
          <w:bCs/>
          <w:sz w:val="24"/>
          <w:szCs w:val="24"/>
          <w:lang w:eastAsia="zh-CN"/>
        </w:rPr>
        <w:t>1</w:t>
      </w:r>
      <w:r w:rsidRPr="00ED7DA7">
        <w:rPr>
          <w:rFonts w:eastAsia="SimSun"/>
          <w:bCs/>
          <w:sz w:val="24"/>
          <w:szCs w:val="24"/>
          <w:lang w:eastAsia="zh-CN"/>
        </w:rPr>
        <w:t xml:space="preserve"> Ma</w:t>
      </w:r>
      <w:r>
        <w:rPr>
          <w:rFonts w:eastAsia="SimSun"/>
          <w:bCs/>
          <w:sz w:val="24"/>
          <w:szCs w:val="24"/>
          <w:lang w:eastAsia="zh-CN"/>
        </w:rPr>
        <w:t>y</w:t>
      </w:r>
      <w:r w:rsidRPr="00ED7DA7">
        <w:rPr>
          <w:rFonts w:eastAsia="SimSun"/>
          <w:bCs/>
          <w:sz w:val="24"/>
          <w:szCs w:val="24"/>
          <w:lang w:eastAsia="zh-CN"/>
        </w:rPr>
        <w:t>, 2020</w:t>
      </w:r>
    </w:p>
    <w:p w14:paraId="47D514D0" w14:textId="77777777" w:rsidR="00433BEC" w:rsidRPr="008C4D7E" w:rsidRDefault="00433BEC" w:rsidP="00433BEC">
      <w:pPr>
        <w:pStyle w:val="Header"/>
        <w:rPr>
          <w:noProof w:val="0"/>
          <w:lang w:val="en-GB"/>
        </w:rPr>
      </w:pPr>
      <w:bookmarkStart w:id="0" w:name="_GoBack"/>
      <w:bookmarkEnd w:id="0"/>
    </w:p>
    <w:p w14:paraId="548C4475" w14:textId="77777777" w:rsidR="00433BEC" w:rsidRDefault="00433BEC" w:rsidP="00433BEC">
      <w:pPr>
        <w:pStyle w:val="Footer"/>
        <w:rPr>
          <w:noProof w:val="0"/>
        </w:rPr>
      </w:pPr>
    </w:p>
    <w:p w14:paraId="242B0EA1" w14:textId="1371C9F3" w:rsidR="00433BEC" w:rsidRDefault="00433BEC" w:rsidP="00433BEC">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6.5.3.</w:t>
      </w:r>
      <w:r w:rsidR="001536C6">
        <w:rPr>
          <w:rFonts w:ascii="Arial" w:hAnsi="Arial"/>
          <w:sz w:val="24"/>
          <w:lang w:val="en-US"/>
        </w:rPr>
        <w:t>2</w:t>
      </w:r>
    </w:p>
    <w:p w14:paraId="22DCECF7" w14:textId="77777777" w:rsidR="00433BEC" w:rsidRDefault="00433BEC" w:rsidP="00433BEC">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07B753C" w14:textId="72AD3E63" w:rsidR="00433BEC" w:rsidRPr="00F60377" w:rsidRDefault="00433BEC" w:rsidP="00433BEC">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536C6">
        <w:rPr>
          <w:rFonts w:ascii="Arial" w:hAnsi="Arial"/>
          <w:sz w:val="24"/>
          <w:lang w:val="en-US"/>
        </w:rPr>
        <w:t>RRC Connection Mobility Control in IAB Networks</w:t>
      </w:r>
    </w:p>
    <w:p w14:paraId="6B4D266E" w14:textId="77777777" w:rsidR="00433BEC" w:rsidRDefault="00433BEC" w:rsidP="00433BEC">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09C84D8A" w14:textId="77777777" w:rsidR="00433BEC" w:rsidRDefault="00433BEC" w:rsidP="00433BEC">
      <w:pPr>
        <w:pStyle w:val="Heading1"/>
        <w:rPr>
          <w:lang w:val="en-US"/>
        </w:rPr>
      </w:pPr>
      <w:r>
        <w:rPr>
          <w:lang w:val="en-US"/>
        </w:rPr>
        <w:t>Introduction</w:t>
      </w:r>
    </w:p>
    <w:p w14:paraId="6CDAFE3A" w14:textId="77777777" w:rsidR="001536C6" w:rsidRPr="00CC2550" w:rsidRDefault="001536C6" w:rsidP="001536C6">
      <w:pPr>
        <w:rPr>
          <w:lang w:val="en-US"/>
        </w:rPr>
      </w:pPr>
      <w:r>
        <w:rPr>
          <w:lang w:val="en-US"/>
        </w:rPr>
        <w:t>During the last meeting [1], RAN4 agreed to the following requirement:</w:t>
      </w:r>
    </w:p>
    <w:tbl>
      <w:tblPr>
        <w:tblStyle w:val="TableGrid"/>
        <w:tblW w:w="0" w:type="auto"/>
        <w:tblLook w:val="04A0" w:firstRow="1" w:lastRow="0" w:firstColumn="1" w:lastColumn="0" w:noHBand="0" w:noVBand="1"/>
      </w:tblPr>
      <w:tblGrid>
        <w:gridCol w:w="9350"/>
      </w:tblGrid>
      <w:tr w:rsidR="001536C6" w:rsidRPr="00CC1587" w14:paraId="3B068F5C" w14:textId="77777777" w:rsidTr="00DB54DF">
        <w:tc>
          <w:tcPr>
            <w:tcW w:w="9350" w:type="dxa"/>
          </w:tcPr>
          <w:p w14:paraId="523E73DF" w14:textId="77777777" w:rsidR="001536C6" w:rsidRDefault="001536C6" w:rsidP="00873C73">
            <w:pPr>
              <w:rPr>
                <w:highlight w:val="green"/>
                <w:lang w:val="en-US"/>
              </w:rPr>
            </w:pPr>
            <w:r w:rsidRPr="00227E52">
              <w:rPr>
                <w:highlight w:val="green"/>
                <w:lang w:val="en-US"/>
              </w:rPr>
              <w:t>Agreements</w:t>
            </w:r>
          </w:p>
          <w:p w14:paraId="7724AED2" w14:textId="61A9E0C3" w:rsidR="00873C73" w:rsidRDefault="00980BC3" w:rsidP="00873C73">
            <w:pPr>
              <w:rPr>
                <w:rFonts w:eastAsiaTheme="minorEastAsia"/>
              </w:rPr>
            </w:pPr>
            <w:r>
              <w:rPr>
                <w:rFonts w:eastAsiaTheme="minorEastAsia"/>
              </w:rPr>
              <w:t>IAB MT is not required to successfully identify a cell when the SMTC window is larger than 160ms and the serving cell is in low SNR.</w:t>
            </w:r>
          </w:p>
          <w:p w14:paraId="4D2090E0" w14:textId="32856F99" w:rsidR="007B18D1" w:rsidRPr="007B18D1" w:rsidRDefault="007B18D1" w:rsidP="00873C73">
            <w:pPr>
              <w:rPr>
                <w:highlight w:val="green"/>
                <w:lang w:val="en-US"/>
              </w:rPr>
            </w:pPr>
            <w:r w:rsidRPr="00227E52">
              <w:rPr>
                <w:highlight w:val="green"/>
                <w:lang w:val="en-US"/>
              </w:rPr>
              <w:t>Agreements</w:t>
            </w:r>
          </w:p>
          <w:p w14:paraId="4135D68F" w14:textId="44171181" w:rsidR="00980BC3" w:rsidRDefault="00EE7731" w:rsidP="00873C73">
            <w:pPr>
              <w:rPr>
                <w:rFonts w:eastAsiaTheme="minorEastAsia"/>
                <w:lang w:val="en-US"/>
              </w:rPr>
            </w:pPr>
            <w:r>
              <w:rPr>
                <w:rFonts w:eastAsiaTheme="minorEastAsia"/>
                <w:lang w:val="en-US"/>
              </w:rPr>
              <w:t xml:space="preserve">There is no requirement for RRC re-establishment for IAB-MTs if the SSB transmission periodicity is larger than 160 </w:t>
            </w:r>
            <w:proofErr w:type="spellStart"/>
            <w:r>
              <w:rPr>
                <w:rFonts w:eastAsiaTheme="minorEastAsia"/>
                <w:lang w:val="en-US"/>
              </w:rPr>
              <w:t>ms.</w:t>
            </w:r>
            <w:proofErr w:type="spellEnd"/>
          </w:p>
          <w:p w14:paraId="4407624C" w14:textId="1805A120" w:rsidR="007B18D1" w:rsidRPr="007B18D1" w:rsidRDefault="007B18D1" w:rsidP="00873C73">
            <w:pPr>
              <w:rPr>
                <w:highlight w:val="green"/>
                <w:lang w:val="en-US"/>
              </w:rPr>
            </w:pPr>
            <w:r w:rsidRPr="00227E52">
              <w:rPr>
                <w:highlight w:val="green"/>
                <w:lang w:val="en-US"/>
              </w:rPr>
              <w:t>Agreements</w:t>
            </w:r>
          </w:p>
          <w:p w14:paraId="463C5093" w14:textId="77777777" w:rsidR="00EE7731" w:rsidRDefault="00350D3F" w:rsidP="00873C73">
            <w:pPr>
              <w:rPr>
                <w:rFonts w:eastAsiaTheme="minorEastAsia"/>
                <w:lang w:val="en-US"/>
              </w:rPr>
            </w:pPr>
            <w:r>
              <w:rPr>
                <w:rFonts w:eastAsiaTheme="minorEastAsia"/>
                <w:lang w:val="en-US"/>
              </w:rPr>
              <w:t xml:space="preserve">There is no requirement for RRC release with re-direction when the periodicity of SSB is greater than 160 </w:t>
            </w:r>
            <w:proofErr w:type="spellStart"/>
            <w:r>
              <w:rPr>
                <w:rFonts w:eastAsiaTheme="minorEastAsia"/>
                <w:lang w:val="en-US"/>
              </w:rPr>
              <w:t>ms.</w:t>
            </w:r>
            <w:proofErr w:type="spellEnd"/>
          </w:p>
          <w:p w14:paraId="64364202" w14:textId="77777777" w:rsidR="007B18D1" w:rsidRDefault="007B18D1" w:rsidP="007B18D1">
            <w:pPr>
              <w:rPr>
                <w:rFonts w:eastAsiaTheme="minorEastAsia"/>
                <w:iCs/>
                <w:lang w:val="en-US"/>
              </w:rPr>
            </w:pPr>
            <w:r>
              <w:rPr>
                <w:rFonts w:eastAsiaTheme="minorEastAsia"/>
                <w:iCs/>
                <w:u w:val="single"/>
                <w:lang w:val="en-US"/>
              </w:rPr>
              <w:t>Conclusion</w:t>
            </w:r>
            <w:r>
              <w:rPr>
                <w:rFonts w:eastAsiaTheme="minorEastAsia" w:hint="eastAsia"/>
                <w:iCs/>
                <w:u w:val="single"/>
                <w:lang w:val="en-US"/>
              </w:rPr>
              <w:t>:</w:t>
            </w:r>
            <w:r>
              <w:rPr>
                <w:rFonts w:eastAsiaTheme="minorEastAsia"/>
                <w:iCs/>
                <w:lang w:val="en-US"/>
              </w:rPr>
              <w:t xml:space="preserve"> </w:t>
            </w:r>
          </w:p>
          <w:p w14:paraId="12EBEABA" w14:textId="056A9080" w:rsidR="007B18D1" w:rsidRDefault="007B18D1" w:rsidP="007B18D1">
            <w:pPr>
              <w:rPr>
                <w:iCs/>
                <w:lang w:val="en-US"/>
              </w:rPr>
            </w:pPr>
            <w:r>
              <w:rPr>
                <w:rFonts w:eastAsiaTheme="minorEastAsia"/>
                <w:iCs/>
                <w:lang w:val="en-US"/>
              </w:rPr>
              <w:t xml:space="preserve">No consensus of </w:t>
            </w:r>
            <w:r>
              <w:rPr>
                <w:iCs/>
              </w:rPr>
              <w:t>mentioning that up to four SMTC windows can be configured per frequency layer for an IAB MT.</w:t>
            </w:r>
          </w:p>
          <w:p w14:paraId="51AED3F7" w14:textId="22C3A276" w:rsidR="007B18D1" w:rsidRPr="00873C73" w:rsidRDefault="007B18D1" w:rsidP="00873C73">
            <w:pPr>
              <w:rPr>
                <w:highlight w:val="green"/>
                <w:lang w:val="en-US"/>
              </w:rPr>
            </w:pPr>
          </w:p>
        </w:tc>
      </w:tr>
    </w:tbl>
    <w:p w14:paraId="6C8E66EE" w14:textId="20102C4A" w:rsidR="00433BEC" w:rsidRDefault="00433BEC" w:rsidP="00433BEC">
      <w:pPr>
        <w:rPr>
          <w:lang w:val="en-US"/>
        </w:rPr>
      </w:pPr>
    </w:p>
    <w:p w14:paraId="277FCCA8" w14:textId="3058BBA7" w:rsidR="001536C6" w:rsidRPr="00582347" w:rsidRDefault="003A798D" w:rsidP="00433BEC">
      <w:pPr>
        <w:rPr>
          <w:lang w:val="en-US"/>
        </w:rPr>
      </w:pPr>
      <w:r>
        <w:rPr>
          <w:lang w:val="en-US"/>
        </w:rPr>
        <w:t>During the last meeting, several companies wondered why higher number of SMTC windows need to be mentioned while describing core requirements of IAB-MTs.</w:t>
      </w:r>
      <w:r w:rsidR="00B00C6B">
        <w:rPr>
          <w:lang w:val="en-US"/>
        </w:rPr>
        <w:t xml:space="preserve"> We focus on that aspect in this meeting.</w:t>
      </w:r>
    </w:p>
    <w:p w14:paraId="2E0F978C" w14:textId="17FCEAA4" w:rsidR="00433BEC" w:rsidRDefault="001B7415" w:rsidP="00433BEC">
      <w:pPr>
        <w:pStyle w:val="Heading1"/>
      </w:pPr>
      <w:r>
        <w:t>Mention of number of SMTC windows in Rel-15 Requirements</w:t>
      </w:r>
    </w:p>
    <w:p w14:paraId="547612DE" w14:textId="77777777" w:rsidR="001B7415" w:rsidRDefault="001B7415" w:rsidP="001B7415">
      <w:r>
        <w:t>Rel-15 allowed network to configure up to two SMTC windows for each UE. This has been captured in RRC re-establishment delay requirement in the following way.</w:t>
      </w:r>
    </w:p>
    <w:p w14:paraId="54C0463D" w14:textId="77777777" w:rsidR="00991B89" w:rsidRDefault="00991B89" w:rsidP="001B7415"/>
    <w:tbl>
      <w:tblPr>
        <w:tblStyle w:val="TableGrid"/>
        <w:tblW w:w="0" w:type="auto"/>
        <w:tblLook w:val="04A0" w:firstRow="1" w:lastRow="0" w:firstColumn="1" w:lastColumn="0" w:noHBand="0" w:noVBand="1"/>
      </w:tblPr>
      <w:tblGrid>
        <w:gridCol w:w="9350"/>
      </w:tblGrid>
      <w:tr w:rsidR="001B7415" w:rsidRPr="00CC1587" w14:paraId="015C79A4" w14:textId="77777777" w:rsidTr="00DB54DF">
        <w:tc>
          <w:tcPr>
            <w:tcW w:w="9350" w:type="dxa"/>
          </w:tcPr>
          <w:p w14:paraId="43570FAF" w14:textId="77777777" w:rsidR="001B7415" w:rsidRPr="005062C3" w:rsidRDefault="001B7415" w:rsidP="00DB54DF">
            <w:pPr>
              <w:rPr>
                <w:b/>
                <w:u w:val="single"/>
                <w:lang w:eastAsia="x-none"/>
              </w:rPr>
            </w:pPr>
            <w:r w:rsidRPr="005062C3">
              <w:rPr>
                <w:b/>
                <w:u w:val="single"/>
                <w:lang w:eastAsia="x-none"/>
              </w:rPr>
              <w:t>Text of 38.133</w:t>
            </w:r>
          </w:p>
          <w:p w14:paraId="7E0173C1" w14:textId="77777777" w:rsidR="001B7415" w:rsidRPr="005062C3" w:rsidRDefault="007276FF" w:rsidP="00DB54DF">
            <w:pPr>
              <w:pStyle w:val="EQ"/>
              <w:jc w:val="center"/>
              <w:rPr>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8C2A262" w14:textId="77777777" w:rsidR="001B7415" w:rsidRPr="005062C3" w:rsidRDefault="001B7415" w:rsidP="00DB54DF">
            <w:r>
              <w:lastRenderedPageBreak/>
              <w:t>……………………………………..</w:t>
            </w:r>
          </w:p>
          <w:p w14:paraId="7DDC5966" w14:textId="77777777" w:rsidR="001B7415" w:rsidRPr="00885F53" w:rsidRDefault="001B7415" w:rsidP="00DB54DF">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[2] </w:t>
            </w:r>
            <w:proofErr w:type="spellStart"/>
            <w:r w:rsidRPr="00885F53">
              <w:rPr>
                <w:rFonts w:eastAsia="Times New Roman"/>
              </w:rPr>
              <w:t>signaling</w:t>
            </w:r>
            <w:proofErr w:type="spellEnd"/>
            <w:r w:rsidRPr="00885F53">
              <w:rPr>
                <w:rFonts w:eastAsia="Times New Roman"/>
              </w:rPr>
              <w:t xml:space="preserve"> of </w:t>
            </w:r>
            <w:r w:rsidRPr="00885F53">
              <w:rPr>
                <w:rFonts w:eastAsia="Times New Roman"/>
                <w:i/>
              </w:rPr>
              <w:t>smtc2</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885F53">
              <w:rPr>
                <w:rFonts w:eastAsia="Times New Roman"/>
                <w:i/>
              </w:rPr>
              <w:t>smtc1</w:t>
            </w:r>
            <w:r w:rsidRPr="00885F53">
              <w:rPr>
                <w:rFonts w:eastAsia="Times New Roman"/>
              </w:rPr>
              <w:t xml:space="preserve"> or </w:t>
            </w:r>
            <w:r w:rsidRPr="00885F53">
              <w:rPr>
                <w:rFonts w:eastAsia="Times New Roman"/>
                <w:i/>
              </w:rPr>
              <w:t>smtc2</w:t>
            </w:r>
            <w:r w:rsidRPr="00885F53">
              <w:rPr>
                <w:rFonts w:eastAsia="Times New Roman"/>
              </w:rPr>
              <w:t xml:space="preserve"> according to the physical cell ID of the target cell.</w:t>
            </w:r>
          </w:p>
          <w:p w14:paraId="095E890E" w14:textId="77777777" w:rsidR="001B7415" w:rsidRDefault="001B7415" w:rsidP="00DB54DF">
            <w:pPr>
              <w:spacing w:after="0"/>
            </w:pPr>
          </w:p>
          <w:p w14:paraId="0ABCA040" w14:textId="77777777" w:rsidR="001B7415" w:rsidRPr="00E06AAD" w:rsidRDefault="001B7415" w:rsidP="00DB54DF">
            <w:pPr>
              <w:spacing w:after="0"/>
              <w:ind w:left="720"/>
            </w:pPr>
          </w:p>
        </w:tc>
      </w:tr>
    </w:tbl>
    <w:p w14:paraId="53B33981" w14:textId="77777777" w:rsidR="001B7415" w:rsidRDefault="001B7415" w:rsidP="001B7415"/>
    <w:p w14:paraId="193851BA" w14:textId="77777777" w:rsidR="001B7415" w:rsidRPr="0099755D" w:rsidRDefault="001B7415" w:rsidP="001B7415"/>
    <w:p w14:paraId="20A415A1" w14:textId="5CE7ADC3" w:rsidR="001B7415" w:rsidRDefault="001B7415" w:rsidP="001B7415">
      <w:pPr>
        <w:rPr>
          <w:b/>
        </w:rPr>
      </w:pPr>
      <w:r w:rsidRPr="000C18FE">
        <w:rPr>
          <w:b/>
        </w:rPr>
        <w:t>Observation 1: Rel-15 allowed network to configure up to two SMTC windows to each UE</w:t>
      </w:r>
      <w:r w:rsidR="003568B4">
        <w:rPr>
          <w:b/>
        </w:rPr>
        <w:t xml:space="preserve"> in intra-frequency.</w:t>
      </w:r>
    </w:p>
    <w:p w14:paraId="51DE78C9" w14:textId="77777777" w:rsidR="001B7415" w:rsidRPr="000C18FE" w:rsidRDefault="001B7415" w:rsidP="001B7415">
      <w:pPr>
        <w:rPr>
          <w:b/>
        </w:rPr>
      </w:pPr>
      <w:r>
        <w:rPr>
          <w:b/>
        </w:rPr>
        <w:t>Observation 2: The section describing the core requirements for RRC re-establishment delay mentions the number of SMTC windows that can be configured for the UEs.</w:t>
      </w:r>
    </w:p>
    <w:p w14:paraId="5ECC92CE" w14:textId="77777777" w:rsidR="001B7415" w:rsidRDefault="001B7415" w:rsidP="001B7415">
      <w:r>
        <w:t>This configuration of additional number of SMTC windows needs to be captured in RAN4 RRC Re-establishment delay requirements. The remaining part of the existing requirements can be reused for IAB nodes.</w:t>
      </w:r>
    </w:p>
    <w:p w14:paraId="4AD30EE9" w14:textId="77777777" w:rsidR="00433BEC" w:rsidRPr="00583E97" w:rsidRDefault="00433BEC" w:rsidP="00433BEC">
      <w:pPr>
        <w:rPr>
          <w:rFonts w:ascii="Arial" w:hAnsi="Arial"/>
          <w:sz w:val="36"/>
        </w:rPr>
      </w:pPr>
    </w:p>
    <w:p w14:paraId="1DEFDC5C" w14:textId="240C8601" w:rsidR="00433BEC" w:rsidRDefault="00DA624B" w:rsidP="00433BEC">
      <w:pPr>
        <w:pStyle w:val="Heading1"/>
      </w:pPr>
      <w:r>
        <w:t xml:space="preserve">Support of higher number </w:t>
      </w:r>
      <w:r w:rsidR="004C4C40">
        <w:t>of SMTC windows in IAB networks</w:t>
      </w:r>
    </w:p>
    <w:p w14:paraId="19BCFD4A" w14:textId="23ADA2FB" w:rsidR="00433BEC" w:rsidRDefault="00433BEC" w:rsidP="00433BEC"/>
    <w:p w14:paraId="099F8003" w14:textId="60E179FF" w:rsidR="001B7415" w:rsidRDefault="001B7415" w:rsidP="001B7415">
      <w:r>
        <w:t>Rel-16 has allowed network to configure up to four SMTC windows for each IAB MT node</w:t>
      </w:r>
      <w:r w:rsidR="00B6783B">
        <w:t xml:space="preserve"> [2].</w:t>
      </w:r>
    </w:p>
    <w:tbl>
      <w:tblPr>
        <w:tblStyle w:val="TableGrid"/>
        <w:tblW w:w="0" w:type="auto"/>
        <w:tblLook w:val="04A0" w:firstRow="1" w:lastRow="0" w:firstColumn="1" w:lastColumn="0" w:noHBand="0" w:noVBand="1"/>
      </w:tblPr>
      <w:tblGrid>
        <w:gridCol w:w="9350"/>
      </w:tblGrid>
      <w:tr w:rsidR="001B7415" w:rsidRPr="00CC1587" w14:paraId="7DCA3164" w14:textId="77777777" w:rsidTr="00DB54DF">
        <w:tc>
          <w:tcPr>
            <w:tcW w:w="9350" w:type="dxa"/>
          </w:tcPr>
          <w:p w14:paraId="46FEBB8C" w14:textId="77777777" w:rsidR="001B7415" w:rsidRDefault="001B7415" w:rsidP="00DB54DF">
            <w:pPr>
              <w:spacing w:before="60" w:after="60"/>
            </w:pPr>
          </w:p>
          <w:p w14:paraId="356DB623" w14:textId="77777777" w:rsidR="001B7415" w:rsidRPr="004277F4" w:rsidRDefault="001B7415" w:rsidP="00DB54DF">
            <w:pPr>
              <w:rPr>
                <w:lang w:eastAsia="x-none"/>
              </w:rPr>
            </w:pPr>
            <w:r w:rsidRPr="004277F4">
              <w:rPr>
                <w:highlight w:val="green"/>
                <w:lang w:eastAsia="x-none"/>
              </w:rPr>
              <w:t>Agreements</w:t>
            </w:r>
            <w:r w:rsidRPr="004277F4">
              <w:rPr>
                <w:lang w:eastAsia="x-none"/>
              </w:rPr>
              <w:t>:</w:t>
            </w:r>
          </w:p>
          <w:p w14:paraId="4CF1331B" w14:textId="77777777" w:rsidR="001B7415" w:rsidRPr="004277F4" w:rsidRDefault="001B7415" w:rsidP="00DB54DF">
            <w:pPr>
              <w:numPr>
                <w:ilvl w:val="0"/>
                <w:numId w:val="3"/>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14:paraId="5C427D35" w14:textId="77777777" w:rsidR="001B7415" w:rsidRPr="00E06AAD" w:rsidRDefault="001B7415" w:rsidP="00DB54DF">
            <w:pPr>
              <w:pStyle w:val="maintext"/>
              <w:ind w:firstLineChars="0" w:firstLine="0"/>
              <w:rPr>
                <w:lang w:eastAsia="en-US"/>
              </w:rPr>
            </w:pPr>
          </w:p>
        </w:tc>
      </w:tr>
    </w:tbl>
    <w:p w14:paraId="63D1DFED" w14:textId="1437BC67" w:rsidR="00E15394" w:rsidRDefault="00E15394" w:rsidP="00433BEC">
      <w:pPr>
        <w:rPr>
          <w:b/>
          <w:bCs/>
        </w:rPr>
      </w:pPr>
    </w:p>
    <w:p w14:paraId="394386DF" w14:textId="0D662EE2" w:rsidR="00046597" w:rsidRPr="00DA624B" w:rsidRDefault="00046597" w:rsidP="00433BEC">
      <w:r w:rsidRPr="00DA624B">
        <w:t>RAN1 is also discussing to generate an IAB-MT capability regarding this feature [3]</w:t>
      </w: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1451"/>
        <w:gridCol w:w="947"/>
        <w:gridCol w:w="1516"/>
        <w:gridCol w:w="1705"/>
        <w:gridCol w:w="694"/>
        <w:gridCol w:w="1200"/>
      </w:tblGrid>
      <w:tr w:rsidR="00FE188D" w14:paraId="688F6174" w14:textId="77777777" w:rsidTr="00FE188D">
        <w:trPr>
          <w:trHeight w:val="37"/>
        </w:trPr>
        <w:tc>
          <w:tcPr>
            <w:tcW w:w="715" w:type="dxa"/>
            <w:tcBorders>
              <w:top w:val="single" w:sz="4" w:space="0" w:color="auto"/>
              <w:left w:val="single" w:sz="4" w:space="0" w:color="auto"/>
              <w:bottom w:val="single" w:sz="4" w:space="0" w:color="auto"/>
              <w:right w:val="single" w:sz="4" w:space="0" w:color="auto"/>
            </w:tcBorders>
            <w:hideMark/>
          </w:tcPr>
          <w:p w14:paraId="124499B5" w14:textId="77777777" w:rsidR="00FE188D" w:rsidRDefault="00FE188D" w:rsidP="00DB54DF">
            <w:pPr>
              <w:pStyle w:val="TAH"/>
            </w:pPr>
            <w:r>
              <w:lastRenderedPageBreak/>
              <w:t>Index</w:t>
            </w:r>
          </w:p>
        </w:tc>
        <w:tc>
          <w:tcPr>
            <w:tcW w:w="1080" w:type="dxa"/>
            <w:tcBorders>
              <w:top w:val="single" w:sz="4" w:space="0" w:color="auto"/>
              <w:left w:val="single" w:sz="4" w:space="0" w:color="auto"/>
              <w:bottom w:val="single" w:sz="4" w:space="0" w:color="auto"/>
              <w:right w:val="single" w:sz="4" w:space="0" w:color="auto"/>
            </w:tcBorders>
            <w:hideMark/>
          </w:tcPr>
          <w:p w14:paraId="6CC9751D" w14:textId="77777777" w:rsidR="00FE188D" w:rsidRDefault="00FE188D" w:rsidP="00DB54DF">
            <w:pPr>
              <w:pStyle w:val="TAH"/>
            </w:pPr>
            <w:r>
              <w:t>Feature group</w:t>
            </w:r>
          </w:p>
        </w:tc>
        <w:tc>
          <w:tcPr>
            <w:tcW w:w="1451" w:type="dxa"/>
            <w:tcBorders>
              <w:top w:val="single" w:sz="4" w:space="0" w:color="auto"/>
              <w:left w:val="single" w:sz="4" w:space="0" w:color="auto"/>
              <w:bottom w:val="single" w:sz="4" w:space="0" w:color="auto"/>
              <w:right w:val="single" w:sz="4" w:space="0" w:color="auto"/>
            </w:tcBorders>
            <w:hideMark/>
          </w:tcPr>
          <w:p w14:paraId="079EDADD" w14:textId="77777777" w:rsidR="00FE188D" w:rsidRDefault="00FE188D" w:rsidP="00DB54DF">
            <w:pPr>
              <w:pStyle w:val="TAH"/>
            </w:pPr>
            <w:r>
              <w:t>Components</w:t>
            </w:r>
          </w:p>
        </w:tc>
        <w:tc>
          <w:tcPr>
            <w:tcW w:w="947" w:type="dxa"/>
            <w:tcBorders>
              <w:top w:val="single" w:sz="4" w:space="0" w:color="auto"/>
              <w:left w:val="single" w:sz="4" w:space="0" w:color="auto"/>
              <w:bottom w:val="single" w:sz="4" w:space="0" w:color="auto"/>
              <w:right w:val="single" w:sz="4" w:space="0" w:color="auto"/>
            </w:tcBorders>
            <w:hideMark/>
          </w:tcPr>
          <w:p w14:paraId="743F178A" w14:textId="77777777" w:rsidR="00FE188D" w:rsidRDefault="00FE188D" w:rsidP="00DB54DF">
            <w:pPr>
              <w:pStyle w:val="TAH"/>
            </w:pPr>
            <w:r>
              <w:t xml:space="preserve">Need for the </w:t>
            </w:r>
            <w:proofErr w:type="spellStart"/>
            <w:r>
              <w:t>gNB</w:t>
            </w:r>
            <w:proofErr w:type="spellEnd"/>
            <w:r>
              <w:t xml:space="preserve"> to know if the feature is supported</w:t>
            </w:r>
          </w:p>
        </w:tc>
        <w:tc>
          <w:tcPr>
            <w:tcW w:w="1516" w:type="dxa"/>
            <w:tcBorders>
              <w:top w:val="single" w:sz="4" w:space="0" w:color="auto"/>
              <w:left w:val="single" w:sz="4" w:space="0" w:color="auto"/>
              <w:bottom w:val="single" w:sz="4" w:space="0" w:color="auto"/>
              <w:right w:val="single" w:sz="4" w:space="0" w:color="auto"/>
            </w:tcBorders>
            <w:hideMark/>
          </w:tcPr>
          <w:p w14:paraId="3376FF5F" w14:textId="77777777" w:rsidR="00FE188D" w:rsidRDefault="00FE188D" w:rsidP="00DB54DF">
            <w:pPr>
              <w:pStyle w:val="TAN"/>
              <w:ind w:left="0" w:firstLine="0"/>
              <w:rPr>
                <w:b/>
                <w:lang w:eastAsia="ja-JP"/>
              </w:rPr>
            </w:pPr>
            <w:r>
              <w:rPr>
                <w:b/>
                <w:lang w:eastAsia="ja-JP"/>
              </w:rPr>
              <w:t>Consequence if the feature is not supported by the UE</w:t>
            </w:r>
          </w:p>
        </w:tc>
        <w:tc>
          <w:tcPr>
            <w:tcW w:w="1705" w:type="dxa"/>
            <w:tcBorders>
              <w:top w:val="single" w:sz="4" w:space="0" w:color="auto"/>
              <w:left w:val="single" w:sz="4" w:space="0" w:color="auto"/>
              <w:bottom w:val="single" w:sz="4" w:space="0" w:color="auto"/>
              <w:right w:val="single" w:sz="4" w:space="0" w:color="auto"/>
            </w:tcBorders>
            <w:hideMark/>
          </w:tcPr>
          <w:p w14:paraId="772FAB43" w14:textId="77777777" w:rsidR="00FE188D" w:rsidRDefault="00FE188D" w:rsidP="00DB54DF">
            <w:pPr>
              <w:pStyle w:val="TAN"/>
              <w:ind w:left="0" w:firstLine="0"/>
              <w:rPr>
                <w:b/>
                <w:lang w:eastAsia="ja-JP"/>
              </w:rPr>
            </w:pPr>
            <w:r>
              <w:rPr>
                <w:b/>
                <w:lang w:eastAsia="ja-JP"/>
              </w:rPr>
              <w:t>Type</w:t>
            </w:r>
          </w:p>
          <w:p w14:paraId="7ACA1BAD" w14:textId="77777777" w:rsidR="00FE188D" w:rsidRDefault="00FE188D" w:rsidP="00DB54D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694" w:type="dxa"/>
            <w:tcBorders>
              <w:top w:val="single" w:sz="4" w:space="0" w:color="auto"/>
              <w:left w:val="single" w:sz="4" w:space="0" w:color="auto"/>
              <w:bottom w:val="single" w:sz="4" w:space="0" w:color="auto"/>
              <w:right w:val="single" w:sz="4" w:space="0" w:color="auto"/>
            </w:tcBorders>
            <w:hideMark/>
          </w:tcPr>
          <w:p w14:paraId="3694C33E" w14:textId="77777777" w:rsidR="00FE188D" w:rsidRDefault="00FE188D" w:rsidP="00DB54DF">
            <w:pPr>
              <w:pStyle w:val="TAH"/>
            </w:pPr>
            <w:r>
              <w:t>Note</w:t>
            </w:r>
          </w:p>
        </w:tc>
        <w:tc>
          <w:tcPr>
            <w:tcW w:w="1200" w:type="dxa"/>
            <w:tcBorders>
              <w:top w:val="single" w:sz="4" w:space="0" w:color="auto"/>
              <w:left w:val="single" w:sz="4" w:space="0" w:color="auto"/>
              <w:bottom w:val="single" w:sz="4" w:space="0" w:color="auto"/>
              <w:right w:val="single" w:sz="4" w:space="0" w:color="auto"/>
            </w:tcBorders>
            <w:hideMark/>
          </w:tcPr>
          <w:p w14:paraId="0413040F" w14:textId="77777777" w:rsidR="00FE188D" w:rsidRDefault="00FE188D" w:rsidP="00DB54DF">
            <w:pPr>
              <w:pStyle w:val="TAH"/>
            </w:pPr>
            <w:r>
              <w:t>Mandatory/Optional</w:t>
            </w:r>
          </w:p>
        </w:tc>
      </w:tr>
      <w:tr w:rsidR="00FE188D" w14:paraId="0A81FFB2" w14:textId="77777777" w:rsidTr="00FE188D">
        <w:trPr>
          <w:trHeight w:val="37"/>
        </w:trPr>
        <w:tc>
          <w:tcPr>
            <w:tcW w:w="715" w:type="dxa"/>
            <w:tcBorders>
              <w:top w:val="single" w:sz="4" w:space="0" w:color="auto"/>
              <w:left w:val="single" w:sz="4" w:space="0" w:color="auto"/>
              <w:bottom w:val="single" w:sz="4" w:space="0" w:color="auto"/>
              <w:right w:val="single" w:sz="4" w:space="0" w:color="auto"/>
            </w:tcBorders>
            <w:hideMark/>
          </w:tcPr>
          <w:p w14:paraId="5F9A8D35" w14:textId="77777777" w:rsidR="00FE188D" w:rsidRDefault="00FE188D" w:rsidP="00DB54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2823F0" w14:textId="77777777" w:rsidR="00FE188D" w:rsidRDefault="00FE188D" w:rsidP="00DB54DF">
            <w:pPr>
              <w:pStyle w:val="TAL"/>
            </w:pPr>
          </w:p>
        </w:tc>
        <w:tc>
          <w:tcPr>
            <w:tcW w:w="1451" w:type="dxa"/>
            <w:tcBorders>
              <w:top w:val="single" w:sz="4" w:space="0" w:color="auto"/>
              <w:left w:val="single" w:sz="4" w:space="0" w:color="auto"/>
              <w:bottom w:val="single" w:sz="4" w:space="0" w:color="auto"/>
              <w:right w:val="single" w:sz="4" w:space="0" w:color="auto"/>
            </w:tcBorders>
            <w:hideMark/>
          </w:tcPr>
          <w:p w14:paraId="69F7876D" w14:textId="77777777" w:rsidR="00FE188D" w:rsidRDefault="00FE188D" w:rsidP="00DB54DF">
            <w:pPr>
              <w:pStyle w:val="TAL"/>
              <w:rPr>
                <w:rFonts w:eastAsia="SimSun"/>
                <w:lang w:eastAsia="zh-CN"/>
              </w:rPr>
            </w:pPr>
          </w:p>
        </w:tc>
        <w:tc>
          <w:tcPr>
            <w:tcW w:w="947" w:type="dxa"/>
            <w:tcBorders>
              <w:top w:val="single" w:sz="4" w:space="0" w:color="auto"/>
              <w:left w:val="single" w:sz="4" w:space="0" w:color="auto"/>
              <w:bottom w:val="single" w:sz="4" w:space="0" w:color="auto"/>
              <w:right w:val="single" w:sz="4" w:space="0" w:color="auto"/>
            </w:tcBorders>
            <w:hideMark/>
          </w:tcPr>
          <w:p w14:paraId="58134740" w14:textId="77777777" w:rsidR="00FE188D" w:rsidRDefault="00FE188D" w:rsidP="00DB54DF">
            <w:pPr>
              <w:pStyle w:val="TAL"/>
              <w:rPr>
                <w:rFonts w:eastAsia="SimSun"/>
                <w:lang w:eastAsia="zh-CN"/>
              </w:rPr>
            </w:pPr>
          </w:p>
        </w:tc>
        <w:tc>
          <w:tcPr>
            <w:tcW w:w="1516" w:type="dxa"/>
            <w:tcBorders>
              <w:top w:val="single" w:sz="4" w:space="0" w:color="auto"/>
              <w:left w:val="single" w:sz="4" w:space="0" w:color="auto"/>
              <w:bottom w:val="single" w:sz="4" w:space="0" w:color="auto"/>
              <w:right w:val="single" w:sz="4" w:space="0" w:color="auto"/>
            </w:tcBorders>
            <w:hideMark/>
          </w:tcPr>
          <w:p w14:paraId="76A1363E" w14:textId="77777777" w:rsidR="00FE188D" w:rsidRDefault="00FE188D" w:rsidP="00DB54DF">
            <w:pPr>
              <w:pStyle w:val="TAL"/>
              <w:rPr>
                <w:rFonts w:eastAsia="SimSun"/>
                <w:lang w:eastAsia="zh-CN"/>
              </w:rPr>
            </w:pPr>
          </w:p>
        </w:tc>
        <w:tc>
          <w:tcPr>
            <w:tcW w:w="1705" w:type="dxa"/>
            <w:tcBorders>
              <w:top w:val="single" w:sz="4" w:space="0" w:color="auto"/>
              <w:left w:val="single" w:sz="4" w:space="0" w:color="auto"/>
              <w:bottom w:val="single" w:sz="4" w:space="0" w:color="auto"/>
              <w:right w:val="single" w:sz="4" w:space="0" w:color="auto"/>
            </w:tcBorders>
            <w:hideMark/>
          </w:tcPr>
          <w:p w14:paraId="21AADA1E" w14:textId="77777777" w:rsidR="00FE188D" w:rsidRDefault="00FE188D" w:rsidP="00DB54DF">
            <w:pPr>
              <w:pStyle w:val="TAL"/>
              <w:rPr>
                <w:rFonts w:eastAsia="SimSun"/>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27E7276" w14:textId="77777777" w:rsidR="00FE188D" w:rsidRDefault="00FE188D" w:rsidP="00DB54DF">
            <w:pPr>
              <w:pStyle w:val="TAL"/>
              <w:rPr>
                <w:rFonts w:eastAsia="SimSun"/>
                <w:lang w:eastAsia="zh-CN"/>
              </w:rPr>
            </w:pPr>
          </w:p>
        </w:tc>
        <w:tc>
          <w:tcPr>
            <w:tcW w:w="1200" w:type="dxa"/>
            <w:tcBorders>
              <w:top w:val="single" w:sz="4" w:space="0" w:color="auto"/>
              <w:left w:val="single" w:sz="4" w:space="0" w:color="auto"/>
              <w:bottom w:val="single" w:sz="4" w:space="0" w:color="auto"/>
              <w:right w:val="single" w:sz="4" w:space="0" w:color="auto"/>
            </w:tcBorders>
            <w:hideMark/>
          </w:tcPr>
          <w:p w14:paraId="37F9F03C" w14:textId="77777777" w:rsidR="00FE188D" w:rsidRDefault="00FE188D" w:rsidP="00DB54DF">
            <w:pPr>
              <w:pStyle w:val="TAL"/>
              <w:rPr>
                <w:rFonts w:eastAsia="SimSun"/>
                <w:lang w:eastAsia="zh-CN"/>
              </w:rPr>
            </w:pPr>
          </w:p>
        </w:tc>
      </w:tr>
      <w:tr w:rsidR="00FE188D" w14:paraId="04632CE0" w14:textId="77777777" w:rsidTr="00FE188D">
        <w:trPr>
          <w:trHeight w:val="37"/>
        </w:trPr>
        <w:tc>
          <w:tcPr>
            <w:tcW w:w="715" w:type="dxa"/>
            <w:tcBorders>
              <w:top w:val="single" w:sz="4" w:space="0" w:color="auto"/>
              <w:left w:val="single" w:sz="4" w:space="0" w:color="auto"/>
              <w:bottom w:val="single" w:sz="4" w:space="0" w:color="auto"/>
              <w:right w:val="single" w:sz="4" w:space="0" w:color="auto"/>
            </w:tcBorders>
            <w:hideMark/>
          </w:tcPr>
          <w:p w14:paraId="383B1799" w14:textId="77777777" w:rsidR="00FE188D" w:rsidRDefault="00FE188D" w:rsidP="00DB54DF">
            <w:pPr>
              <w:pStyle w:val="TAL"/>
              <w:rPr>
                <w:lang w:eastAsia="ja-JP"/>
              </w:rPr>
            </w:pPr>
            <w:r>
              <w:rPr>
                <w:lang w:eastAsia="ja-JP"/>
              </w:rPr>
              <w:t>20-2</w:t>
            </w:r>
          </w:p>
        </w:tc>
        <w:tc>
          <w:tcPr>
            <w:tcW w:w="1080" w:type="dxa"/>
            <w:tcBorders>
              <w:top w:val="single" w:sz="4" w:space="0" w:color="auto"/>
              <w:left w:val="single" w:sz="4" w:space="0" w:color="auto"/>
              <w:bottom w:val="single" w:sz="4" w:space="0" w:color="auto"/>
              <w:right w:val="single" w:sz="4" w:space="0" w:color="auto"/>
            </w:tcBorders>
            <w:hideMark/>
          </w:tcPr>
          <w:p w14:paraId="4E050A72" w14:textId="77777777" w:rsidR="00FE188D" w:rsidRDefault="00FE188D" w:rsidP="00DB54DF">
            <w:pPr>
              <w:pStyle w:val="TAL"/>
            </w:pPr>
            <w:r>
              <w:t xml:space="preserve">Inter-IAB-node discovery and measurements: SSB reception configuration </w:t>
            </w:r>
          </w:p>
        </w:tc>
        <w:tc>
          <w:tcPr>
            <w:tcW w:w="1451" w:type="dxa"/>
            <w:tcBorders>
              <w:top w:val="single" w:sz="4" w:space="0" w:color="auto"/>
              <w:left w:val="single" w:sz="4" w:space="0" w:color="auto"/>
              <w:bottom w:val="single" w:sz="4" w:space="0" w:color="auto"/>
              <w:right w:val="single" w:sz="4" w:space="0" w:color="auto"/>
            </w:tcBorders>
            <w:hideMark/>
          </w:tcPr>
          <w:p w14:paraId="326E844B" w14:textId="77777777" w:rsidR="00FE188D" w:rsidRDefault="00FE188D" w:rsidP="00DB54DF">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947" w:type="dxa"/>
            <w:tcBorders>
              <w:top w:val="single" w:sz="4" w:space="0" w:color="auto"/>
              <w:left w:val="single" w:sz="4" w:space="0" w:color="auto"/>
              <w:bottom w:val="single" w:sz="4" w:space="0" w:color="auto"/>
              <w:right w:val="single" w:sz="4" w:space="0" w:color="auto"/>
            </w:tcBorders>
            <w:hideMark/>
          </w:tcPr>
          <w:p w14:paraId="54D5F2A8" w14:textId="77777777" w:rsidR="00FE188D" w:rsidRDefault="00FE188D" w:rsidP="00DB54DF">
            <w:pPr>
              <w:pStyle w:val="TAL"/>
              <w:rPr>
                <w:rFonts w:eastAsia="SimSun"/>
                <w:lang w:eastAsia="zh-CN"/>
              </w:rPr>
            </w:pPr>
            <w:r>
              <w:rPr>
                <w:rFonts w:eastAsia="SimSun"/>
                <w:lang w:eastAsia="zh-CN"/>
              </w:rPr>
              <w:t>Yes</w:t>
            </w:r>
          </w:p>
        </w:tc>
        <w:tc>
          <w:tcPr>
            <w:tcW w:w="1516" w:type="dxa"/>
            <w:tcBorders>
              <w:top w:val="single" w:sz="4" w:space="0" w:color="auto"/>
              <w:left w:val="single" w:sz="4" w:space="0" w:color="auto"/>
              <w:bottom w:val="single" w:sz="4" w:space="0" w:color="auto"/>
              <w:right w:val="single" w:sz="4" w:space="0" w:color="auto"/>
            </w:tcBorders>
            <w:hideMark/>
          </w:tcPr>
          <w:p w14:paraId="2ECB06D3" w14:textId="77777777" w:rsidR="00FE188D" w:rsidRDefault="00FE188D" w:rsidP="00DB54DF">
            <w:pPr>
              <w:pStyle w:val="TAL"/>
              <w:rPr>
                <w:rFonts w:eastAsia="SimSun"/>
                <w:lang w:eastAsia="zh-CN"/>
              </w:rPr>
            </w:pPr>
            <w:r>
              <w:rPr>
                <w:rFonts w:eastAsia="SimSun"/>
                <w:lang w:eastAsia="zh-CN"/>
              </w:rPr>
              <w:t>Separate configuration of SMTC windows for Inter-IAB node discovery and measurement is not possible</w:t>
            </w:r>
          </w:p>
        </w:tc>
        <w:tc>
          <w:tcPr>
            <w:tcW w:w="1705" w:type="dxa"/>
            <w:tcBorders>
              <w:top w:val="single" w:sz="4" w:space="0" w:color="auto"/>
              <w:left w:val="single" w:sz="4" w:space="0" w:color="auto"/>
              <w:bottom w:val="single" w:sz="4" w:space="0" w:color="auto"/>
              <w:right w:val="single" w:sz="4" w:space="0" w:color="auto"/>
            </w:tcBorders>
            <w:hideMark/>
          </w:tcPr>
          <w:p w14:paraId="3DD1A6CB" w14:textId="77777777" w:rsidR="00FE188D" w:rsidRDefault="00FE188D" w:rsidP="00DB54DF">
            <w:pPr>
              <w:pStyle w:val="TAL"/>
              <w:rPr>
                <w:rFonts w:eastAsia="SimSun"/>
                <w:lang w:eastAsia="zh-CN"/>
              </w:rPr>
            </w:pPr>
            <w:r>
              <w:rPr>
                <w:rFonts w:eastAsia="SimSun"/>
                <w:lang w:eastAsia="zh-CN"/>
              </w:rPr>
              <w:t>[per IAB node]</w:t>
            </w:r>
          </w:p>
        </w:tc>
        <w:tc>
          <w:tcPr>
            <w:tcW w:w="694" w:type="dxa"/>
            <w:tcBorders>
              <w:top w:val="single" w:sz="4" w:space="0" w:color="auto"/>
              <w:left w:val="single" w:sz="4" w:space="0" w:color="auto"/>
              <w:bottom w:val="single" w:sz="4" w:space="0" w:color="auto"/>
              <w:right w:val="single" w:sz="4" w:space="0" w:color="auto"/>
            </w:tcBorders>
            <w:hideMark/>
          </w:tcPr>
          <w:p w14:paraId="2EF880EE" w14:textId="77777777" w:rsidR="00FE188D" w:rsidRDefault="00FE188D" w:rsidP="00DB54DF">
            <w:pPr>
              <w:pStyle w:val="TAL"/>
              <w:rPr>
                <w:rFonts w:eastAsia="SimSun"/>
                <w:lang w:eastAsia="zh-CN"/>
              </w:rPr>
            </w:pPr>
            <w:r>
              <w:rPr>
                <w:rFonts w:eastAsia="SimSun"/>
                <w:lang w:eastAsia="zh-CN"/>
              </w:rPr>
              <w:t>IAB-MT impact</w:t>
            </w:r>
          </w:p>
        </w:tc>
        <w:tc>
          <w:tcPr>
            <w:tcW w:w="1200" w:type="dxa"/>
            <w:tcBorders>
              <w:top w:val="single" w:sz="4" w:space="0" w:color="auto"/>
              <w:left w:val="single" w:sz="4" w:space="0" w:color="auto"/>
              <w:bottom w:val="single" w:sz="4" w:space="0" w:color="auto"/>
              <w:right w:val="single" w:sz="4" w:space="0" w:color="auto"/>
            </w:tcBorders>
            <w:hideMark/>
          </w:tcPr>
          <w:p w14:paraId="0E76F35F" w14:textId="77777777" w:rsidR="00FE188D" w:rsidRDefault="00FE188D" w:rsidP="00DB54DF">
            <w:pPr>
              <w:pStyle w:val="TAL"/>
              <w:rPr>
                <w:rFonts w:eastAsia="SimSun"/>
                <w:lang w:eastAsia="zh-CN"/>
              </w:rPr>
            </w:pPr>
            <w:r>
              <w:t>Optional with capability signalling. For device supports IAB backhaul, it must report this FG is supported</w:t>
            </w:r>
          </w:p>
        </w:tc>
      </w:tr>
    </w:tbl>
    <w:p w14:paraId="7718ECE2" w14:textId="77777777" w:rsidR="00FE188D" w:rsidRPr="00E46A4C" w:rsidRDefault="00FE188D" w:rsidP="00433BEC">
      <w:pPr>
        <w:rPr>
          <w:b/>
          <w:bCs/>
        </w:rPr>
      </w:pPr>
    </w:p>
    <w:p w14:paraId="21A0F6BD" w14:textId="04D8A418" w:rsidR="00E46A4C" w:rsidRPr="00E4297F" w:rsidRDefault="00E46A4C" w:rsidP="00E46A4C">
      <w:pPr>
        <w:rPr>
          <w:b/>
          <w:bCs/>
        </w:rPr>
      </w:pPr>
      <w:r w:rsidRPr="00E4297F">
        <w:rPr>
          <w:b/>
          <w:bCs/>
        </w:rPr>
        <w:t>Observation 3: Rel-16 allow</w:t>
      </w:r>
      <w:r w:rsidR="00E442AE">
        <w:rPr>
          <w:b/>
          <w:bCs/>
        </w:rPr>
        <w:t>s</w:t>
      </w:r>
      <w:r w:rsidRPr="00E4297F">
        <w:rPr>
          <w:b/>
          <w:bCs/>
        </w:rPr>
        <w:t xml:space="preserve"> network to configure up to four SMTC windows to each IAB MT node.</w:t>
      </w:r>
    </w:p>
    <w:p w14:paraId="339AF71B" w14:textId="50E7CEA4" w:rsidR="00E46A4C" w:rsidRPr="003B3A66" w:rsidRDefault="00943D8C" w:rsidP="00433BEC">
      <w:pPr>
        <w:rPr>
          <w:b/>
          <w:bCs/>
        </w:rPr>
      </w:pPr>
      <w:r w:rsidRPr="00E4297F">
        <w:rPr>
          <w:b/>
          <w:bCs/>
        </w:rPr>
        <w:t xml:space="preserve">Observation 4: </w:t>
      </w:r>
      <w:r w:rsidR="00DA624B" w:rsidRPr="00E4297F">
        <w:rPr>
          <w:b/>
          <w:bCs/>
        </w:rPr>
        <w:t>RAN1 is discussing to generate an IAB-MT capability to support up to 4 SMTC per frequency layer.</w:t>
      </w:r>
    </w:p>
    <w:p w14:paraId="249C852C" w14:textId="77777777" w:rsidR="001B7415" w:rsidRPr="00433BEC" w:rsidRDefault="001B7415" w:rsidP="00433BEC"/>
    <w:p w14:paraId="4D7775C9" w14:textId="5BC99BAA" w:rsidR="00433BEC" w:rsidRDefault="00E4297F" w:rsidP="00433BEC">
      <w:pPr>
        <w:pStyle w:val="Heading1"/>
      </w:pPr>
      <w:r>
        <w:t xml:space="preserve">Inclusion of higher number SMTC </w:t>
      </w:r>
    </w:p>
    <w:p w14:paraId="5AA6E2BD" w14:textId="588F6362" w:rsidR="00433BEC" w:rsidRDefault="00C22530" w:rsidP="00433BEC">
      <w:r>
        <w:t xml:space="preserve">The RRC re-establishment requirements for UEs mention the number of SMTCs that can be configured for UEs. Similarly, the RRC re-establishment requirements for IAB-MTs should mention the number of SMTCs that can be configured for IAB-MTs in each frequency layer. </w:t>
      </w:r>
    </w:p>
    <w:p w14:paraId="1431B07B" w14:textId="77777777" w:rsidR="00317F48" w:rsidRPr="00FF4D8E" w:rsidRDefault="00A563A4" w:rsidP="00317F48">
      <w:pPr>
        <w:pStyle w:val="ListParagraph"/>
        <w:numPr>
          <w:ilvl w:val="0"/>
          <w:numId w:val="3"/>
        </w:numPr>
        <w:contextualSpacing w:val="0"/>
        <w:rPr>
          <w:b/>
          <w:bCs/>
        </w:rPr>
      </w:pPr>
      <w:r w:rsidRPr="00FF4D8E">
        <w:rPr>
          <w:b/>
          <w:bCs/>
        </w:rPr>
        <w:t xml:space="preserve">Proposal 1: The description of </w:t>
      </w:r>
      <w:r w:rsidR="007666DA" w:rsidRPr="00FF4D8E">
        <w:rPr>
          <w:b/>
          <w:bCs/>
        </w:rPr>
        <w:t>T</w:t>
      </w:r>
      <w:r w:rsidR="007666DA" w:rsidRPr="00FF4D8E">
        <w:rPr>
          <w:b/>
          <w:bCs/>
          <w:vertAlign w:val="subscript"/>
        </w:rPr>
        <w:t>SMTC</w:t>
      </w:r>
      <w:r w:rsidR="007666DA" w:rsidRPr="00FF4D8E">
        <w:rPr>
          <w:b/>
          <w:bCs/>
        </w:rPr>
        <w:t xml:space="preserve"> in RRC re-establishment delay requirement </w:t>
      </w:r>
      <w:r w:rsidR="001B513C" w:rsidRPr="00FF4D8E">
        <w:rPr>
          <w:b/>
          <w:bCs/>
        </w:rPr>
        <w:t>should mention that up to four SMTC windows can be configured per frequency layer for an IAB MT.</w:t>
      </w:r>
    </w:p>
    <w:p w14:paraId="3A1F0452" w14:textId="35C58F63" w:rsidR="000F7182" w:rsidRPr="00FF4D8E" w:rsidRDefault="00317F48" w:rsidP="00317F48">
      <w:pPr>
        <w:pStyle w:val="ListParagraph"/>
        <w:numPr>
          <w:ilvl w:val="1"/>
          <w:numId w:val="3"/>
        </w:numPr>
        <w:contextualSpacing w:val="0"/>
        <w:rPr>
          <w:b/>
          <w:bCs/>
        </w:rPr>
      </w:pPr>
      <w:r w:rsidRPr="00FF4D8E">
        <w:rPr>
          <w:b/>
          <w:bCs/>
        </w:rPr>
        <w:t xml:space="preserve">The following example shows how the existing </w:t>
      </w:r>
      <w:r w:rsidR="007C167A" w:rsidRPr="00FF4D8E">
        <w:rPr>
          <w:b/>
          <w:bCs/>
        </w:rPr>
        <w:t xml:space="preserve">text, that discusses the periodicity of SMTC for UEs in Rel-15, can be modified to </w:t>
      </w:r>
      <w:r w:rsidR="00F054CB" w:rsidRPr="00FF4D8E">
        <w:rPr>
          <w:b/>
          <w:bCs/>
        </w:rPr>
        <w:t xml:space="preserve">allow up to four SMTC windows per frequency layer for IAB </w:t>
      </w:r>
      <w:proofErr w:type="spellStart"/>
      <w:r w:rsidR="00F054CB" w:rsidRPr="00FF4D8E">
        <w:rPr>
          <w:b/>
          <w:bCs/>
        </w:rPr>
        <w:t>MTs.</w:t>
      </w:r>
      <w:proofErr w:type="spellEnd"/>
      <w:r w:rsidRPr="00FF4D8E">
        <w:rPr>
          <w:b/>
          <w:bCs/>
        </w:rPr>
        <w:t xml:space="preserve"> </w:t>
      </w:r>
    </w:p>
    <w:p w14:paraId="52F59A2D" w14:textId="77777777" w:rsidR="000F7182" w:rsidRDefault="000F7182" w:rsidP="000F7182">
      <w:pPr>
        <w:pStyle w:val="ListParagraph"/>
      </w:pPr>
    </w:p>
    <w:tbl>
      <w:tblPr>
        <w:tblStyle w:val="TableGrid"/>
        <w:tblW w:w="0" w:type="auto"/>
        <w:tblLook w:val="04A0" w:firstRow="1" w:lastRow="0" w:firstColumn="1" w:lastColumn="0" w:noHBand="0" w:noVBand="1"/>
      </w:tblPr>
      <w:tblGrid>
        <w:gridCol w:w="9350"/>
      </w:tblGrid>
      <w:tr w:rsidR="000F7182" w:rsidRPr="00CC1587" w14:paraId="71689871" w14:textId="77777777" w:rsidTr="00DB54DF">
        <w:tc>
          <w:tcPr>
            <w:tcW w:w="9350" w:type="dxa"/>
          </w:tcPr>
          <w:p w14:paraId="332888C4" w14:textId="77777777" w:rsidR="000F7182" w:rsidRDefault="000F7182" w:rsidP="00DB54DF">
            <w:pPr>
              <w:spacing w:before="60" w:after="60"/>
            </w:pPr>
          </w:p>
          <w:p w14:paraId="76C41C58" w14:textId="77777777" w:rsidR="00445182" w:rsidRPr="005062C3" w:rsidRDefault="007276FF" w:rsidP="00445182">
            <w:pPr>
              <w:pStyle w:val="EQ"/>
              <w:jc w:val="center"/>
              <w:rPr>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5C804431" w14:textId="77777777" w:rsidR="00445182" w:rsidRPr="005062C3" w:rsidRDefault="00445182" w:rsidP="00445182">
            <w:r>
              <w:t>……………………………………..</w:t>
            </w:r>
          </w:p>
          <w:p w14:paraId="76535A82" w14:textId="77777777" w:rsidR="00445182" w:rsidRDefault="00445182" w:rsidP="00DB54DF">
            <w:pPr>
              <w:overflowPunct w:val="0"/>
              <w:autoSpaceDE w:val="0"/>
              <w:autoSpaceDN w:val="0"/>
              <w:adjustRightInd w:val="0"/>
              <w:textAlignment w:val="baseline"/>
              <w:rPr>
                <w:lang w:eastAsia="ko-KR"/>
              </w:rPr>
            </w:pPr>
          </w:p>
          <w:p w14:paraId="2EE39343" w14:textId="5E84A672" w:rsidR="000F7182" w:rsidRPr="00885F53" w:rsidRDefault="000F7182" w:rsidP="00DB54DF">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w:t>
            </w:r>
            <w:proofErr w:type="spellStart"/>
            <w:r w:rsidRPr="00885F53">
              <w:rPr>
                <w:rFonts w:eastAsia="Times New Roman"/>
              </w:rPr>
              <w:t>signaling</w:t>
            </w:r>
            <w:proofErr w:type="spellEnd"/>
            <w:r w:rsidRPr="00885F53">
              <w:rPr>
                <w:rFonts w:eastAsia="Times New Roman"/>
              </w:rPr>
              <w:t xml:space="preserve"> of </w:t>
            </w:r>
            <w:r w:rsidRPr="000C18FE">
              <w:rPr>
                <w:rFonts w:eastAsia="Times New Roman"/>
                <w:i/>
                <w:strike/>
                <w:color w:val="FF0000"/>
              </w:rPr>
              <w:t>smtc2</w:t>
            </w:r>
            <w:r w:rsidRPr="000C18FE">
              <w:rPr>
                <w:rFonts w:eastAsia="Times New Roman"/>
                <w:i/>
                <w:color w:val="FF0000"/>
              </w:rPr>
              <w:t>smtc</w:t>
            </w:r>
            <w:r w:rsidR="0019318C">
              <w:rPr>
                <w:rFonts w:eastAsia="Times New Roman"/>
                <w:i/>
                <w:color w:val="FF0000"/>
              </w:rPr>
              <w:t>K</w:t>
            </w:r>
            <w:r>
              <w:rPr>
                <w:rFonts w:eastAsia="Times New Roman"/>
                <w:i/>
                <w:color w:val="FF0000"/>
              </w:rPr>
              <w:t xml:space="preserve"> where 1&lt;=</w:t>
            </w:r>
            <w:r w:rsidR="0019318C">
              <w:rPr>
                <w:rFonts w:eastAsia="Times New Roman"/>
                <w:i/>
                <w:color w:val="FF0000"/>
              </w:rPr>
              <w:t>K</w:t>
            </w:r>
            <w:r>
              <w:rPr>
                <w:rFonts w:eastAsia="Times New Roman"/>
                <w:i/>
                <w:color w:val="FF0000"/>
              </w:rPr>
              <w:t>&lt;=4,</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0C18FE">
              <w:rPr>
                <w:rFonts w:eastAsia="Times New Roman"/>
                <w:i/>
                <w:strike/>
                <w:color w:val="FF0000"/>
              </w:rPr>
              <w:t>smtc1</w:t>
            </w:r>
            <w:r w:rsidRPr="000C18FE">
              <w:rPr>
                <w:rFonts w:eastAsia="Times New Roman"/>
                <w:strike/>
                <w:color w:val="FF0000"/>
              </w:rPr>
              <w:t xml:space="preserve"> or </w:t>
            </w:r>
            <w:r w:rsidRPr="000C18FE">
              <w:rPr>
                <w:rFonts w:eastAsia="Times New Roman"/>
                <w:i/>
                <w:strike/>
                <w:color w:val="FF0000"/>
              </w:rPr>
              <w:t>smtc2</w:t>
            </w:r>
            <w:r>
              <w:rPr>
                <w:rFonts w:eastAsia="Times New Roman"/>
                <w:i/>
                <w:color w:val="FF0000"/>
              </w:rPr>
              <w:t>smtc</w:t>
            </w:r>
            <w:r w:rsidR="0019318C">
              <w:rPr>
                <w:rFonts w:eastAsia="Times New Roman"/>
                <w:i/>
                <w:color w:val="FF0000"/>
              </w:rPr>
              <w:t>K</w:t>
            </w:r>
            <w:r w:rsidRPr="000C18FE">
              <w:rPr>
                <w:rFonts w:eastAsia="Times New Roman"/>
                <w:color w:val="FF0000"/>
              </w:rPr>
              <w:t xml:space="preserve"> </w:t>
            </w:r>
            <w:r w:rsidRPr="00885F53">
              <w:rPr>
                <w:rFonts w:eastAsia="Times New Roman"/>
              </w:rPr>
              <w:t>according to the physical cell ID of the target cell.</w:t>
            </w:r>
          </w:p>
          <w:p w14:paraId="3605BCFE" w14:textId="59FCEC4E" w:rsidR="000F7182" w:rsidRPr="00C05807" w:rsidRDefault="000F7182" w:rsidP="00C05807">
            <w:pPr>
              <w:overflowPunct w:val="0"/>
              <w:autoSpaceDE w:val="0"/>
              <w:autoSpaceDN w:val="0"/>
              <w:adjustRightInd w:val="0"/>
              <w:textAlignment w:val="baseline"/>
              <w:rPr>
                <w:rFonts w:eastAsia="Times New Roman"/>
              </w:rPr>
            </w:pPr>
            <w:proofErr w:type="spellStart"/>
            <w:proofErr w:type="gramStart"/>
            <w:r w:rsidRPr="00885F53">
              <w:rPr>
                <w:lang w:eastAsia="ko-KR"/>
              </w:rPr>
              <w:lastRenderedPageBreak/>
              <w:t>T</w:t>
            </w:r>
            <w:r w:rsidRPr="00885F53">
              <w:rPr>
                <w:vertAlign w:val="subscript"/>
                <w:lang w:eastAsia="ko-KR"/>
              </w:rPr>
              <w:t>SMTC,</w:t>
            </w:r>
            <w:r w:rsidR="009E2425">
              <w:rPr>
                <w:vertAlign w:val="subscript"/>
                <w:lang w:eastAsia="ko-KR"/>
              </w:rPr>
              <w:t>i</w:t>
            </w:r>
            <w:proofErr w:type="spellEnd"/>
            <w:r w:rsidR="004B6079">
              <w:rPr>
                <w:vertAlign w:val="subscript"/>
                <w:lang w:eastAsia="ko-KR"/>
              </w:rPr>
              <w:t>,</w:t>
            </w:r>
            <w:r w:rsidRPr="00885F53">
              <w:rPr>
                <w:lang w:eastAsia="ko-KR"/>
              </w:rPr>
              <w:t>:</w:t>
            </w:r>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xml:space="preserve">. </w:t>
            </w:r>
            <w:r w:rsidR="00796E97" w:rsidRPr="00EF65AC">
              <w:rPr>
                <w:rFonts w:eastAsia="Times New Roman"/>
                <w:color w:val="FF0000"/>
              </w:rPr>
              <w:t xml:space="preserve">If the UE has been provided with higher layer in TS 38.331 </w:t>
            </w:r>
            <w:proofErr w:type="spellStart"/>
            <w:r w:rsidR="00796E97" w:rsidRPr="00EF65AC">
              <w:rPr>
                <w:rFonts w:eastAsia="Times New Roman"/>
                <w:color w:val="FF0000"/>
              </w:rPr>
              <w:t>signaling</w:t>
            </w:r>
            <w:proofErr w:type="spellEnd"/>
            <w:r w:rsidR="00796E97" w:rsidRPr="00EF65AC">
              <w:rPr>
                <w:rFonts w:eastAsia="Times New Roman"/>
                <w:color w:val="FF0000"/>
              </w:rPr>
              <w:t xml:space="preserve"> of </w:t>
            </w:r>
            <w:proofErr w:type="spellStart"/>
            <w:r w:rsidR="00796E97" w:rsidRPr="00EF65AC">
              <w:rPr>
                <w:rFonts w:eastAsia="Times New Roman"/>
                <w:i/>
                <w:color w:val="FF0000"/>
              </w:rPr>
              <w:t>smtc</w:t>
            </w:r>
            <w:r w:rsidR="00EF65AC" w:rsidRPr="00EF65AC">
              <w:rPr>
                <w:rFonts w:eastAsia="Times New Roman"/>
                <w:i/>
                <w:color w:val="FF0000"/>
              </w:rPr>
              <w:t>i</w:t>
            </w:r>
            <w:r w:rsidR="00252583" w:rsidRPr="00EF65AC">
              <w:rPr>
                <w:rFonts w:eastAsia="Times New Roman"/>
                <w:i/>
                <w:color w:val="FF0000"/>
              </w:rPr>
              <w:t>K</w:t>
            </w:r>
            <w:proofErr w:type="spellEnd"/>
            <w:r w:rsidR="00796E97" w:rsidRPr="00EF65AC">
              <w:rPr>
                <w:rFonts w:eastAsia="Times New Roman"/>
                <w:i/>
                <w:color w:val="FF0000"/>
              </w:rPr>
              <w:t xml:space="preserve"> where 1&lt;=</w:t>
            </w:r>
            <w:r w:rsidR="00252583" w:rsidRPr="00EF65AC">
              <w:rPr>
                <w:rFonts w:eastAsia="Times New Roman"/>
                <w:i/>
                <w:color w:val="FF0000"/>
              </w:rPr>
              <w:t>K</w:t>
            </w:r>
            <w:r w:rsidR="00796E97" w:rsidRPr="00EF65AC">
              <w:rPr>
                <w:rFonts w:eastAsia="Times New Roman"/>
                <w:i/>
                <w:color w:val="FF0000"/>
              </w:rPr>
              <w:t>&lt;=4</w:t>
            </w:r>
            <w:r w:rsidR="00252583" w:rsidRPr="00EF65AC">
              <w:rPr>
                <w:rFonts w:eastAsia="Times New Roman"/>
                <w:i/>
                <w:color w:val="FF0000"/>
              </w:rPr>
              <w:t xml:space="preserve"> </w:t>
            </w:r>
            <w:r w:rsidR="00252583" w:rsidRPr="00EF65AC">
              <w:rPr>
                <w:rFonts w:eastAsia="Times New Roman"/>
                <w:iCs/>
                <w:color w:val="FF0000"/>
              </w:rPr>
              <w:t xml:space="preserve">for the </w:t>
            </w:r>
            <w:proofErr w:type="spellStart"/>
            <w:r w:rsidR="00252583" w:rsidRPr="00EF65AC">
              <w:rPr>
                <w:rFonts w:eastAsia="Times New Roman"/>
                <w:iCs/>
                <w:color w:val="FF0000"/>
              </w:rPr>
              <w:t>i-th</w:t>
            </w:r>
            <w:proofErr w:type="spellEnd"/>
            <w:r w:rsidR="00252583" w:rsidRPr="00EF65AC">
              <w:rPr>
                <w:rFonts w:eastAsia="Times New Roman"/>
                <w:iCs/>
                <w:color w:val="FF0000"/>
              </w:rPr>
              <w:t xml:space="preserve"> frequency layer</w:t>
            </w:r>
            <w:r w:rsidR="00796E97" w:rsidRPr="00EF65AC">
              <w:rPr>
                <w:rFonts w:eastAsia="Times New Roman"/>
                <w:i/>
                <w:color w:val="FF0000"/>
              </w:rPr>
              <w:t>,</w:t>
            </w:r>
            <w:r w:rsidR="00796E97" w:rsidRPr="00EF65AC">
              <w:rPr>
                <w:rFonts w:eastAsia="Times New Roman"/>
                <w:color w:val="FF0000"/>
              </w:rPr>
              <w:t xml:space="preserve"> </w:t>
            </w:r>
            <w:proofErr w:type="spellStart"/>
            <w:proofErr w:type="gramStart"/>
            <w:r w:rsidR="00796E97" w:rsidRPr="00EF65AC">
              <w:rPr>
                <w:color w:val="FF0000"/>
              </w:rPr>
              <w:t>T</w:t>
            </w:r>
            <w:r w:rsidR="00796E97" w:rsidRPr="00EF65AC">
              <w:rPr>
                <w:color w:val="FF0000"/>
                <w:vertAlign w:val="subscript"/>
              </w:rPr>
              <w:t>smtc</w:t>
            </w:r>
            <w:r w:rsidR="00252583" w:rsidRPr="00EF65AC">
              <w:rPr>
                <w:color w:val="FF0000"/>
                <w:vertAlign w:val="subscript"/>
              </w:rPr>
              <w:t>,i</w:t>
            </w:r>
            <w:proofErr w:type="spellEnd"/>
            <w:proofErr w:type="gramEnd"/>
            <w:r w:rsidR="00796E97" w:rsidRPr="00EF65AC">
              <w:rPr>
                <w:rFonts w:eastAsia="Times New Roman"/>
                <w:color w:val="FF0000"/>
              </w:rPr>
              <w:t xml:space="preserve"> follows </w:t>
            </w:r>
            <w:proofErr w:type="spellStart"/>
            <w:r w:rsidR="00EF65AC" w:rsidRPr="00EF65AC">
              <w:rPr>
                <w:rFonts w:eastAsia="Times New Roman"/>
                <w:i/>
                <w:color w:val="FF0000"/>
              </w:rPr>
              <w:t>smtciK</w:t>
            </w:r>
            <w:proofErr w:type="spellEnd"/>
            <w:r w:rsidR="00796E97" w:rsidRPr="00EF65AC">
              <w:rPr>
                <w:rFonts w:eastAsia="Times New Roman"/>
                <w:color w:val="FF0000"/>
              </w:rPr>
              <w:t xml:space="preserve">  according to the physical cell ID of the target cell</w:t>
            </w:r>
            <w:r w:rsidR="00796E97" w:rsidRPr="00885F53">
              <w:rPr>
                <w:rFonts w:eastAsia="Times New Roman"/>
              </w:rPr>
              <w:t>.</w:t>
            </w:r>
            <w:r w:rsidR="00252583">
              <w:rPr>
                <w:rFonts w:eastAsia="Times New Roman"/>
              </w:rPr>
              <w:t xml:space="preserve"> </w:t>
            </w:r>
            <w:r w:rsidRPr="00885F53">
              <w:rPr>
                <w:lang w:eastAsia="ko-KR"/>
              </w:rPr>
              <w:t xml:space="preserve">If it is not configured, the </w:t>
            </w:r>
            <w:r w:rsidRPr="002F3C97">
              <w:rPr>
                <w:strike/>
                <w:color w:val="FF0000"/>
                <w:lang w:eastAsia="ko-KR"/>
              </w:rPr>
              <w:t>UE</w:t>
            </w:r>
            <w:r w:rsidRPr="002F3C97">
              <w:rPr>
                <w:color w:val="FF0000"/>
                <w:lang w:eastAsia="ko-KR"/>
              </w:rPr>
              <w:t xml:space="preserve"> IAB-MT</w:t>
            </w:r>
            <w:r w:rsidRPr="00885F53">
              <w:rPr>
                <w:lang w:eastAsia="ko-KR"/>
              </w:rPr>
              <w:t xml:space="preserve"> may assume that the target SSB periodicity is no larger than 20 </w:t>
            </w:r>
            <w:proofErr w:type="spellStart"/>
            <w:r w:rsidRPr="00885F53">
              <w:rPr>
                <w:lang w:eastAsia="ko-KR"/>
              </w:rPr>
              <w:t>ms</w:t>
            </w:r>
            <w:proofErr w:type="spellEnd"/>
            <w:r w:rsidRPr="00885F53">
              <w:rPr>
                <w:lang w:eastAsia="ko-KR"/>
              </w:rPr>
              <w:t>.</w:t>
            </w:r>
          </w:p>
          <w:p w14:paraId="15301A2B" w14:textId="77777777" w:rsidR="000F7182" w:rsidRPr="00E06AAD" w:rsidRDefault="000F7182" w:rsidP="00DB54DF">
            <w:pPr>
              <w:spacing w:after="0"/>
              <w:ind w:left="720"/>
            </w:pPr>
          </w:p>
        </w:tc>
      </w:tr>
    </w:tbl>
    <w:p w14:paraId="46976C35" w14:textId="77777777" w:rsidR="000F7182" w:rsidRPr="00433BEC" w:rsidRDefault="000F7182" w:rsidP="00433BEC"/>
    <w:p w14:paraId="2A6A165D" w14:textId="6C7AC895" w:rsidR="00433BEC" w:rsidRDefault="00433BEC" w:rsidP="00433BEC">
      <w:pPr>
        <w:pStyle w:val="Heading1"/>
      </w:pPr>
      <w:r>
        <w:t>Conclusion</w:t>
      </w:r>
    </w:p>
    <w:p w14:paraId="4FF5EA84" w14:textId="77777777" w:rsidR="003568B4" w:rsidRDefault="003568B4" w:rsidP="003568B4">
      <w:pPr>
        <w:rPr>
          <w:b/>
        </w:rPr>
      </w:pPr>
      <w:r w:rsidRPr="000C18FE">
        <w:rPr>
          <w:b/>
        </w:rPr>
        <w:t>Observation 1: Rel-15 allowed network to configure up to two SMTC windows to each UE</w:t>
      </w:r>
      <w:r>
        <w:rPr>
          <w:b/>
        </w:rPr>
        <w:t xml:space="preserve"> in intra-frequency.</w:t>
      </w:r>
    </w:p>
    <w:p w14:paraId="295DBDB7" w14:textId="4B341DB4" w:rsidR="00FF4D8E" w:rsidRPr="00FF4D8E" w:rsidRDefault="00FF4D8E" w:rsidP="00FF4D8E">
      <w:pPr>
        <w:rPr>
          <w:b/>
        </w:rPr>
      </w:pPr>
      <w:r>
        <w:rPr>
          <w:b/>
        </w:rPr>
        <w:t>Observation 2: The section describing the core requirements for RRC re-establishment delay mentions the number of SMTC windows that can be configured for the UEs.</w:t>
      </w:r>
    </w:p>
    <w:p w14:paraId="1ABEEB80" w14:textId="77777777" w:rsidR="008C70B3" w:rsidRPr="00E4297F" w:rsidRDefault="008C70B3" w:rsidP="008C70B3">
      <w:pPr>
        <w:rPr>
          <w:b/>
          <w:bCs/>
        </w:rPr>
      </w:pPr>
      <w:r w:rsidRPr="00E4297F">
        <w:rPr>
          <w:b/>
          <w:bCs/>
        </w:rPr>
        <w:t>Observation 3: Rel-16 allow</w:t>
      </w:r>
      <w:r>
        <w:rPr>
          <w:b/>
          <w:bCs/>
        </w:rPr>
        <w:t>s</w:t>
      </w:r>
      <w:r w:rsidRPr="00E4297F">
        <w:rPr>
          <w:b/>
          <w:bCs/>
        </w:rPr>
        <w:t xml:space="preserve"> network to configure up to four SMTC windows to each IAB MT node.</w:t>
      </w:r>
    </w:p>
    <w:p w14:paraId="295D3DD5" w14:textId="77777777" w:rsidR="008C70B3" w:rsidRPr="00E4297F" w:rsidRDefault="008C70B3" w:rsidP="008C70B3">
      <w:pPr>
        <w:rPr>
          <w:b/>
          <w:bCs/>
        </w:rPr>
      </w:pPr>
      <w:r w:rsidRPr="00E4297F">
        <w:rPr>
          <w:b/>
          <w:bCs/>
        </w:rPr>
        <w:t>Observation 4: RAN1 is discussing to generate an IAB-MT capability to support up to 4 SMTC per frequency layer.</w:t>
      </w:r>
    </w:p>
    <w:p w14:paraId="6279BFA6" w14:textId="77777777" w:rsidR="00FF4D8E" w:rsidRPr="00FF4D8E" w:rsidRDefault="00FF4D8E" w:rsidP="00FF4D8E">
      <w:pPr>
        <w:rPr>
          <w:b/>
          <w:bCs/>
        </w:rPr>
      </w:pPr>
      <w:r w:rsidRPr="00FF4D8E">
        <w:rPr>
          <w:b/>
          <w:bCs/>
        </w:rPr>
        <w:t>Proposal 1: The description of T</w:t>
      </w:r>
      <w:r w:rsidRPr="00FF4D8E">
        <w:rPr>
          <w:b/>
          <w:bCs/>
          <w:vertAlign w:val="subscript"/>
        </w:rPr>
        <w:t>SMTC</w:t>
      </w:r>
      <w:r w:rsidRPr="00FF4D8E">
        <w:rPr>
          <w:b/>
          <w:bCs/>
        </w:rPr>
        <w:t xml:space="preserve"> in RRC re-establishment delay requirement should mention that up to four SMTC windows can be configured per frequency layer for an IAB MT.</w:t>
      </w:r>
    </w:p>
    <w:p w14:paraId="1364CC92" w14:textId="5C4A6EDE" w:rsidR="00C05807" w:rsidRPr="00C05807" w:rsidRDefault="00FF4D8E" w:rsidP="00C05807">
      <w:pPr>
        <w:pStyle w:val="ListParagraph"/>
        <w:numPr>
          <w:ilvl w:val="1"/>
          <w:numId w:val="3"/>
        </w:numPr>
        <w:contextualSpacing w:val="0"/>
        <w:rPr>
          <w:b/>
          <w:bCs/>
        </w:rPr>
      </w:pPr>
      <w:r w:rsidRPr="00FF4D8E">
        <w:rPr>
          <w:b/>
          <w:bCs/>
        </w:rPr>
        <w:t xml:space="preserve">The following example shows how the existing text, that discusses the periodicity of SMTC for UEs in Rel-15, can be modified to allow up to four SMTC windows per frequency layer for IAB </w:t>
      </w:r>
      <w:proofErr w:type="spellStart"/>
      <w:r w:rsidRPr="00FF4D8E">
        <w:rPr>
          <w:b/>
          <w:bCs/>
        </w:rPr>
        <w:t>MTs.</w:t>
      </w:r>
      <w:proofErr w:type="spellEnd"/>
      <w:r w:rsidRPr="00FF4D8E">
        <w:rPr>
          <w:b/>
          <w:bCs/>
        </w:rPr>
        <w:t xml:space="preserve"> </w:t>
      </w:r>
    </w:p>
    <w:tbl>
      <w:tblPr>
        <w:tblStyle w:val="TableGrid"/>
        <w:tblW w:w="0" w:type="auto"/>
        <w:tblLook w:val="04A0" w:firstRow="1" w:lastRow="0" w:firstColumn="1" w:lastColumn="0" w:noHBand="0" w:noVBand="1"/>
      </w:tblPr>
      <w:tblGrid>
        <w:gridCol w:w="9350"/>
      </w:tblGrid>
      <w:tr w:rsidR="00C05807" w:rsidRPr="00CC1587" w14:paraId="7CB5A6AD" w14:textId="77777777" w:rsidTr="00DB54DF">
        <w:tc>
          <w:tcPr>
            <w:tcW w:w="9350" w:type="dxa"/>
          </w:tcPr>
          <w:p w14:paraId="1D08AB92" w14:textId="77777777" w:rsidR="00C05807" w:rsidRDefault="00C05807" w:rsidP="00DB54DF">
            <w:pPr>
              <w:spacing w:before="60" w:after="60"/>
            </w:pPr>
          </w:p>
          <w:p w14:paraId="70AAD228" w14:textId="77777777" w:rsidR="00C05807" w:rsidRPr="005062C3" w:rsidRDefault="007276FF" w:rsidP="00DB54DF">
            <w:pPr>
              <w:pStyle w:val="EQ"/>
              <w:jc w:val="center"/>
              <w:rPr>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45F20E0" w14:textId="5EF9773C" w:rsidR="00C05807" w:rsidRDefault="00C05807" w:rsidP="00C05807">
            <w:r>
              <w:t>……………………………………..</w:t>
            </w:r>
          </w:p>
          <w:p w14:paraId="507CDFFB" w14:textId="77777777" w:rsidR="00C05807" w:rsidRPr="00885F53" w:rsidRDefault="00C05807" w:rsidP="00DB54DF">
            <w:pPr>
              <w:overflowPunct w:val="0"/>
              <w:autoSpaceDE w:val="0"/>
              <w:autoSpaceDN w:val="0"/>
              <w:adjustRightInd w:val="0"/>
              <w:textAlignment w:val="baseline"/>
              <w:rPr>
                <w:rFonts w:eastAsia="Times New Roman"/>
              </w:rPr>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rPr>
                <w:rFonts w:eastAsia="Times New Roman"/>
              </w:rPr>
              <w:t xml:space="preserve"> If the UE has been provided with higher layer in TS 38.331 </w:t>
            </w:r>
            <w:proofErr w:type="spellStart"/>
            <w:r w:rsidRPr="00885F53">
              <w:rPr>
                <w:rFonts w:eastAsia="Times New Roman"/>
              </w:rPr>
              <w:t>signaling</w:t>
            </w:r>
            <w:proofErr w:type="spellEnd"/>
            <w:r w:rsidRPr="00885F53">
              <w:rPr>
                <w:rFonts w:eastAsia="Times New Roman"/>
              </w:rPr>
              <w:t xml:space="preserve"> of </w:t>
            </w:r>
            <w:r w:rsidRPr="000C18FE">
              <w:rPr>
                <w:rFonts w:eastAsia="Times New Roman"/>
                <w:i/>
                <w:strike/>
                <w:color w:val="FF0000"/>
              </w:rPr>
              <w:t>smtc2</w:t>
            </w:r>
            <w:r w:rsidRPr="000C18FE">
              <w:rPr>
                <w:rFonts w:eastAsia="Times New Roman"/>
                <w:i/>
                <w:color w:val="FF0000"/>
              </w:rPr>
              <w:t>smtc</w:t>
            </w:r>
            <w:r>
              <w:rPr>
                <w:rFonts w:eastAsia="Times New Roman"/>
                <w:i/>
                <w:color w:val="FF0000"/>
              </w:rPr>
              <w:t>K where 1&lt;=K&lt;=4,</w:t>
            </w:r>
            <w:r w:rsidRPr="00885F53">
              <w:rPr>
                <w:rFonts w:eastAsia="Times New Roman"/>
              </w:rPr>
              <w:t xml:space="preserve"> </w:t>
            </w:r>
            <w:proofErr w:type="spellStart"/>
            <w:r w:rsidRPr="00885F53">
              <w:t>T</w:t>
            </w:r>
            <w:r w:rsidRPr="00885F53">
              <w:rPr>
                <w:vertAlign w:val="subscript"/>
              </w:rPr>
              <w:t>smtc</w:t>
            </w:r>
            <w:proofErr w:type="spellEnd"/>
            <w:r w:rsidRPr="00885F53">
              <w:rPr>
                <w:rFonts w:eastAsia="Times New Roman"/>
              </w:rPr>
              <w:t xml:space="preserve"> follows </w:t>
            </w:r>
            <w:r w:rsidRPr="000C18FE">
              <w:rPr>
                <w:rFonts w:eastAsia="Times New Roman"/>
                <w:i/>
                <w:strike/>
                <w:color w:val="FF0000"/>
              </w:rPr>
              <w:t>smtc1</w:t>
            </w:r>
            <w:r w:rsidRPr="000C18FE">
              <w:rPr>
                <w:rFonts w:eastAsia="Times New Roman"/>
                <w:strike/>
                <w:color w:val="FF0000"/>
              </w:rPr>
              <w:t xml:space="preserve"> or </w:t>
            </w:r>
            <w:r w:rsidRPr="000C18FE">
              <w:rPr>
                <w:rFonts w:eastAsia="Times New Roman"/>
                <w:i/>
                <w:strike/>
                <w:color w:val="FF0000"/>
              </w:rPr>
              <w:t>smtc2</w:t>
            </w:r>
            <w:r>
              <w:rPr>
                <w:rFonts w:eastAsia="Times New Roman"/>
                <w:i/>
                <w:color w:val="FF0000"/>
              </w:rPr>
              <w:t>smtcK</w:t>
            </w:r>
            <w:r w:rsidRPr="000C18FE">
              <w:rPr>
                <w:rFonts w:eastAsia="Times New Roman"/>
                <w:color w:val="FF0000"/>
              </w:rPr>
              <w:t xml:space="preserve"> </w:t>
            </w:r>
            <w:r w:rsidRPr="00885F53">
              <w:rPr>
                <w:rFonts w:eastAsia="Times New Roman"/>
              </w:rPr>
              <w:t>according to the physical cell ID of the target cell.</w:t>
            </w:r>
          </w:p>
          <w:p w14:paraId="3D9E4B25" w14:textId="75B20F8B" w:rsidR="00C05807" w:rsidRPr="00C05807" w:rsidRDefault="00C05807" w:rsidP="00C05807">
            <w:pPr>
              <w:overflowPunct w:val="0"/>
              <w:autoSpaceDE w:val="0"/>
              <w:autoSpaceDN w:val="0"/>
              <w:adjustRightInd w:val="0"/>
              <w:textAlignment w:val="baseline"/>
              <w:rPr>
                <w:rFonts w:eastAsia="Times New Roman"/>
              </w:rPr>
            </w:pPr>
            <w:proofErr w:type="spellStart"/>
            <w:proofErr w:type="gramStart"/>
            <w:r w:rsidRPr="00885F53">
              <w:rPr>
                <w:lang w:eastAsia="ko-KR"/>
              </w:rPr>
              <w:t>T</w:t>
            </w:r>
            <w:r w:rsidRPr="00885F53">
              <w:rPr>
                <w:vertAlign w:val="subscript"/>
                <w:lang w:eastAsia="ko-KR"/>
              </w:rPr>
              <w:t>SMTC,</w:t>
            </w:r>
            <w:r>
              <w:rPr>
                <w:vertAlign w:val="subscript"/>
                <w:lang w:eastAsia="ko-KR"/>
              </w:rPr>
              <w:t>i</w:t>
            </w:r>
            <w:proofErr w:type="spellEnd"/>
            <w:r>
              <w:rPr>
                <w:vertAlign w:val="subscript"/>
                <w:lang w:eastAsia="ko-KR"/>
              </w:rPr>
              <w:t>,</w:t>
            </w:r>
            <w:r w:rsidRPr="00885F53">
              <w:rPr>
                <w:lang w:eastAsia="ko-KR"/>
              </w:rPr>
              <w:t>:</w:t>
            </w:r>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xml:space="preserve">. </w:t>
            </w:r>
            <w:r w:rsidRPr="00EF65AC">
              <w:rPr>
                <w:rFonts w:eastAsia="Times New Roman"/>
                <w:color w:val="FF0000"/>
              </w:rPr>
              <w:t xml:space="preserve">If the UE has been provided with higher layer in TS 38.331 </w:t>
            </w:r>
            <w:proofErr w:type="spellStart"/>
            <w:r w:rsidRPr="00EF65AC">
              <w:rPr>
                <w:rFonts w:eastAsia="Times New Roman"/>
                <w:color w:val="FF0000"/>
              </w:rPr>
              <w:t>signaling</w:t>
            </w:r>
            <w:proofErr w:type="spellEnd"/>
            <w:r w:rsidRPr="00EF65AC">
              <w:rPr>
                <w:rFonts w:eastAsia="Times New Roman"/>
                <w:color w:val="FF0000"/>
              </w:rPr>
              <w:t xml:space="preserve"> of </w:t>
            </w:r>
            <w:proofErr w:type="spellStart"/>
            <w:r w:rsidRPr="00EF65AC">
              <w:rPr>
                <w:rFonts w:eastAsia="Times New Roman"/>
                <w:i/>
                <w:color w:val="FF0000"/>
              </w:rPr>
              <w:t>smtciK</w:t>
            </w:r>
            <w:proofErr w:type="spellEnd"/>
            <w:r w:rsidRPr="00EF65AC">
              <w:rPr>
                <w:rFonts w:eastAsia="Times New Roman"/>
                <w:i/>
                <w:color w:val="FF0000"/>
              </w:rPr>
              <w:t xml:space="preserve"> where 1&lt;=K&lt;=4 </w:t>
            </w:r>
            <w:r w:rsidRPr="00EF65AC">
              <w:rPr>
                <w:rFonts w:eastAsia="Times New Roman"/>
                <w:iCs/>
                <w:color w:val="FF0000"/>
              </w:rPr>
              <w:t xml:space="preserve">for the </w:t>
            </w:r>
            <w:proofErr w:type="spellStart"/>
            <w:r w:rsidRPr="00EF65AC">
              <w:rPr>
                <w:rFonts w:eastAsia="Times New Roman"/>
                <w:iCs/>
                <w:color w:val="FF0000"/>
              </w:rPr>
              <w:t>i-th</w:t>
            </w:r>
            <w:proofErr w:type="spellEnd"/>
            <w:r w:rsidRPr="00EF65AC">
              <w:rPr>
                <w:rFonts w:eastAsia="Times New Roman"/>
                <w:iCs/>
                <w:color w:val="FF0000"/>
              </w:rPr>
              <w:t xml:space="preserve"> frequency layer</w:t>
            </w:r>
            <w:r w:rsidRPr="00EF65AC">
              <w:rPr>
                <w:rFonts w:eastAsia="Times New Roman"/>
                <w:i/>
                <w:color w:val="FF0000"/>
              </w:rPr>
              <w:t>,</w:t>
            </w:r>
            <w:r w:rsidRPr="00EF65AC">
              <w:rPr>
                <w:rFonts w:eastAsia="Times New Roman"/>
                <w:color w:val="FF0000"/>
              </w:rPr>
              <w:t xml:space="preserve"> </w:t>
            </w:r>
            <w:proofErr w:type="spellStart"/>
            <w:proofErr w:type="gramStart"/>
            <w:r w:rsidRPr="00EF65AC">
              <w:rPr>
                <w:color w:val="FF0000"/>
              </w:rPr>
              <w:t>T</w:t>
            </w:r>
            <w:r w:rsidRPr="00EF65AC">
              <w:rPr>
                <w:color w:val="FF0000"/>
                <w:vertAlign w:val="subscript"/>
              </w:rPr>
              <w:t>smtc,i</w:t>
            </w:r>
            <w:proofErr w:type="spellEnd"/>
            <w:proofErr w:type="gramEnd"/>
            <w:r w:rsidRPr="00EF65AC">
              <w:rPr>
                <w:rFonts w:eastAsia="Times New Roman"/>
                <w:color w:val="FF0000"/>
              </w:rPr>
              <w:t xml:space="preserve"> follows </w:t>
            </w:r>
            <w:proofErr w:type="spellStart"/>
            <w:r w:rsidRPr="00EF65AC">
              <w:rPr>
                <w:rFonts w:eastAsia="Times New Roman"/>
                <w:i/>
                <w:color w:val="FF0000"/>
              </w:rPr>
              <w:t>smtciK</w:t>
            </w:r>
            <w:proofErr w:type="spellEnd"/>
            <w:r w:rsidRPr="00EF65AC">
              <w:rPr>
                <w:rFonts w:eastAsia="Times New Roman"/>
                <w:color w:val="FF0000"/>
              </w:rPr>
              <w:t xml:space="preserve">  according to the physical cell ID of the target cell</w:t>
            </w:r>
            <w:r w:rsidRPr="00885F53">
              <w:rPr>
                <w:rFonts w:eastAsia="Times New Roman"/>
              </w:rPr>
              <w:t>.</w:t>
            </w:r>
            <w:r>
              <w:rPr>
                <w:rFonts w:eastAsia="Times New Roman"/>
              </w:rPr>
              <w:t xml:space="preserve"> </w:t>
            </w:r>
            <w:r w:rsidRPr="00885F53">
              <w:rPr>
                <w:lang w:eastAsia="ko-KR"/>
              </w:rPr>
              <w:t xml:space="preserve">If it is not configured, the </w:t>
            </w:r>
            <w:r w:rsidRPr="002F3C97">
              <w:rPr>
                <w:strike/>
                <w:color w:val="FF0000"/>
                <w:lang w:eastAsia="ko-KR"/>
              </w:rPr>
              <w:t>UE</w:t>
            </w:r>
            <w:r w:rsidRPr="002F3C97">
              <w:rPr>
                <w:color w:val="FF0000"/>
                <w:lang w:eastAsia="ko-KR"/>
              </w:rPr>
              <w:t xml:space="preserve"> IAB-MT</w:t>
            </w:r>
            <w:r w:rsidRPr="00885F53">
              <w:rPr>
                <w:lang w:eastAsia="ko-KR"/>
              </w:rPr>
              <w:t xml:space="preserve"> may assume that </w:t>
            </w:r>
            <w:r>
              <w:rPr>
                <w:lang w:eastAsia="ko-KR"/>
              </w:rPr>
              <w:t>t</w:t>
            </w:r>
            <w:r w:rsidRPr="00885F53">
              <w:rPr>
                <w:lang w:eastAsia="ko-KR"/>
              </w:rPr>
              <w:t>he target SSB periodicity is no larger than 20 </w:t>
            </w:r>
            <w:proofErr w:type="spellStart"/>
            <w:r w:rsidRPr="00885F53">
              <w:rPr>
                <w:lang w:eastAsia="ko-KR"/>
              </w:rPr>
              <w:t>ms</w:t>
            </w:r>
            <w:proofErr w:type="spellEnd"/>
            <w:r w:rsidRPr="00885F53">
              <w:rPr>
                <w:lang w:eastAsia="ko-KR"/>
              </w:rPr>
              <w:t>.</w:t>
            </w:r>
          </w:p>
        </w:tc>
      </w:tr>
    </w:tbl>
    <w:p w14:paraId="4834D311" w14:textId="77777777" w:rsidR="00433BEC" w:rsidRPr="00445182" w:rsidRDefault="00433BEC" w:rsidP="00445182">
      <w:pPr>
        <w:rPr>
          <w:b/>
          <w:bCs/>
        </w:rPr>
      </w:pPr>
    </w:p>
    <w:p w14:paraId="40CE7E7F" w14:textId="77777777" w:rsidR="00433BEC" w:rsidRDefault="00433BEC" w:rsidP="00433BEC">
      <w:pPr>
        <w:pStyle w:val="Heading1"/>
      </w:pPr>
      <w:r>
        <w:t>Reference</w:t>
      </w:r>
    </w:p>
    <w:p w14:paraId="428B7EA0" w14:textId="77777777" w:rsidR="00FF4D8E" w:rsidRPr="00943D8C" w:rsidRDefault="00FF4D8E" w:rsidP="00FF4D8E">
      <w:pPr>
        <w:numPr>
          <w:ilvl w:val="0"/>
          <w:numId w:val="2"/>
        </w:numPr>
        <w:jc w:val="both"/>
        <w:rPr>
          <w:lang w:eastAsia="zh-CN"/>
        </w:rPr>
      </w:pPr>
      <w:r w:rsidRPr="00943D8C">
        <w:rPr>
          <w:lang w:eastAsia="zh-CN"/>
        </w:rPr>
        <w:t>Chairman’s notes, 3GPP TSG RAN WG4 Meeting #94-e.</w:t>
      </w:r>
    </w:p>
    <w:p w14:paraId="7C85A5F3" w14:textId="77777777" w:rsidR="00FF4D8E" w:rsidRPr="00943D8C" w:rsidRDefault="00FF4D8E" w:rsidP="00FF4D8E">
      <w:pPr>
        <w:numPr>
          <w:ilvl w:val="0"/>
          <w:numId w:val="2"/>
        </w:numPr>
        <w:jc w:val="both"/>
        <w:rPr>
          <w:lang w:eastAsia="zh-CN"/>
        </w:rPr>
      </w:pPr>
      <w:r w:rsidRPr="00943D8C">
        <w:rPr>
          <w:lang w:eastAsia="zh-CN"/>
        </w:rPr>
        <w:t>Chairman’s notes, 3GPP TSG RAN WG1 Meeting #98bis.</w:t>
      </w:r>
    </w:p>
    <w:p w14:paraId="095FEC9F" w14:textId="7D8EA247" w:rsidR="0055082A" w:rsidRDefault="00FF4D8E" w:rsidP="00445182">
      <w:pPr>
        <w:numPr>
          <w:ilvl w:val="0"/>
          <w:numId w:val="2"/>
        </w:numPr>
        <w:jc w:val="both"/>
        <w:rPr>
          <w:lang w:eastAsia="zh-CN"/>
        </w:rPr>
      </w:pPr>
      <w:r w:rsidRPr="00943D8C">
        <w:rPr>
          <w:rFonts w:eastAsia="Malgun Gothic"/>
        </w:rPr>
        <w:t>R1-2001484, RAN1 UE features list for Rel-16 NR after RAN1#100-E</w:t>
      </w:r>
    </w:p>
    <w:sectPr w:rsidR="005508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E9650F"/>
    <w:multiLevelType w:val="hybridMultilevel"/>
    <w:tmpl w:val="9D9C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74BB7EA8"/>
    <w:multiLevelType w:val="hybridMultilevel"/>
    <w:tmpl w:val="38381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EC"/>
    <w:rsid w:val="00046597"/>
    <w:rsid w:val="000F7182"/>
    <w:rsid w:val="001536C6"/>
    <w:rsid w:val="0019318C"/>
    <w:rsid w:val="001B513C"/>
    <w:rsid w:val="001B7415"/>
    <w:rsid w:val="00210595"/>
    <w:rsid w:val="00252583"/>
    <w:rsid w:val="00317F48"/>
    <w:rsid w:val="00350D3F"/>
    <w:rsid w:val="003568B4"/>
    <w:rsid w:val="00367480"/>
    <w:rsid w:val="003A59D0"/>
    <w:rsid w:val="003A798D"/>
    <w:rsid w:val="003B3A66"/>
    <w:rsid w:val="00433BEC"/>
    <w:rsid w:val="00445182"/>
    <w:rsid w:val="004B6079"/>
    <w:rsid w:val="004C4C40"/>
    <w:rsid w:val="00537D76"/>
    <w:rsid w:val="0055082A"/>
    <w:rsid w:val="00683810"/>
    <w:rsid w:val="007276FF"/>
    <w:rsid w:val="007666DA"/>
    <w:rsid w:val="00796E97"/>
    <w:rsid w:val="007B18D1"/>
    <w:rsid w:val="007C167A"/>
    <w:rsid w:val="00873C73"/>
    <w:rsid w:val="008C70B3"/>
    <w:rsid w:val="00943D8C"/>
    <w:rsid w:val="00980BC3"/>
    <w:rsid w:val="00991B89"/>
    <w:rsid w:val="009E2425"/>
    <w:rsid w:val="00A563A4"/>
    <w:rsid w:val="00AB4065"/>
    <w:rsid w:val="00B00C6B"/>
    <w:rsid w:val="00B6783B"/>
    <w:rsid w:val="00BC1DD1"/>
    <w:rsid w:val="00C05807"/>
    <w:rsid w:val="00C22530"/>
    <w:rsid w:val="00D6440A"/>
    <w:rsid w:val="00DA624B"/>
    <w:rsid w:val="00E15394"/>
    <w:rsid w:val="00E4297F"/>
    <w:rsid w:val="00E442AE"/>
    <w:rsid w:val="00E46A4C"/>
    <w:rsid w:val="00EE7731"/>
    <w:rsid w:val="00EF65AC"/>
    <w:rsid w:val="00F054CB"/>
    <w:rsid w:val="00F80EF0"/>
    <w:rsid w:val="00FB53E0"/>
    <w:rsid w:val="00FE188D"/>
    <w:rsid w:val="00FF4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BC301"/>
  <w15:chartTrackingRefBased/>
  <w15:docId w15:val="{496F11E2-E25C-479C-9907-69179A423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33BEC"/>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33BEC"/>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33BE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33BE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33BE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33BEC"/>
    <w:pPr>
      <w:numPr>
        <w:ilvl w:val="5"/>
      </w:numPr>
      <w:outlineLvl w:val="4"/>
    </w:pPr>
    <w:rPr>
      <w:sz w:val="22"/>
    </w:rPr>
  </w:style>
  <w:style w:type="paragraph" w:styleId="Heading7">
    <w:name w:val="heading 7"/>
    <w:basedOn w:val="Normal"/>
    <w:next w:val="Normal"/>
    <w:link w:val="Heading7Char"/>
    <w:qFormat/>
    <w:rsid w:val="00433BE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33BEC"/>
    <w:pPr>
      <w:numPr>
        <w:ilvl w:val="7"/>
      </w:numPr>
      <w:outlineLvl w:val="7"/>
    </w:pPr>
  </w:style>
  <w:style w:type="paragraph" w:styleId="Heading9">
    <w:name w:val="heading 9"/>
    <w:basedOn w:val="Heading8"/>
    <w:next w:val="Normal"/>
    <w:link w:val="Heading9Char"/>
    <w:qFormat/>
    <w:rsid w:val="00433B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33BEC"/>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3BEC"/>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33BEC"/>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3BEC"/>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433BEC"/>
    <w:rPr>
      <w:rFonts w:ascii="Arial" w:eastAsia="MS Mincho" w:hAnsi="Arial" w:cs="Times New Roman"/>
      <w:szCs w:val="20"/>
      <w:lang w:val="en-GB"/>
    </w:rPr>
  </w:style>
  <w:style w:type="character" w:customStyle="1" w:styleId="Heading7Char">
    <w:name w:val="Heading 7 Char"/>
    <w:basedOn w:val="DefaultParagraphFont"/>
    <w:link w:val="Heading7"/>
    <w:rsid w:val="00433BEC"/>
    <w:rPr>
      <w:rFonts w:ascii="Arial" w:eastAsia="MS Mincho" w:hAnsi="Arial" w:cs="Times New Roman"/>
      <w:sz w:val="20"/>
      <w:szCs w:val="20"/>
      <w:lang w:val="en-GB"/>
    </w:rPr>
  </w:style>
  <w:style w:type="character" w:customStyle="1" w:styleId="Heading8Char">
    <w:name w:val="Heading 8 Char"/>
    <w:basedOn w:val="DefaultParagraphFont"/>
    <w:link w:val="Heading8"/>
    <w:rsid w:val="00433BEC"/>
    <w:rPr>
      <w:rFonts w:ascii="Arial" w:eastAsia="MS Mincho" w:hAnsi="Arial" w:cs="Times New Roman"/>
      <w:sz w:val="36"/>
      <w:szCs w:val="20"/>
      <w:lang w:val="en-GB"/>
    </w:rPr>
  </w:style>
  <w:style w:type="character" w:customStyle="1" w:styleId="Heading9Char">
    <w:name w:val="Heading 9 Char"/>
    <w:basedOn w:val="DefaultParagraphFont"/>
    <w:link w:val="Heading9"/>
    <w:rsid w:val="00433BEC"/>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33BEC"/>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33BEC"/>
    <w:rPr>
      <w:rFonts w:ascii="Arial" w:eastAsia="MS Mincho" w:hAnsi="Arial" w:cs="Times New Roman"/>
      <w:b/>
      <w:noProof/>
      <w:sz w:val="18"/>
      <w:szCs w:val="20"/>
    </w:rPr>
  </w:style>
  <w:style w:type="paragraph" w:styleId="Footer">
    <w:name w:val="footer"/>
    <w:basedOn w:val="Header"/>
    <w:link w:val="FooterChar"/>
    <w:rsid w:val="00433BEC"/>
    <w:pPr>
      <w:jc w:val="center"/>
    </w:pPr>
    <w:rPr>
      <w:i/>
    </w:rPr>
  </w:style>
  <w:style w:type="character" w:customStyle="1" w:styleId="FooterChar">
    <w:name w:val="Footer Char"/>
    <w:basedOn w:val="DefaultParagraphFont"/>
    <w:link w:val="Footer"/>
    <w:rsid w:val="00433BEC"/>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33BEC"/>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433BEC"/>
    <w:rPr>
      <w:rFonts w:ascii="Times New Roman" w:eastAsia="MS Mincho" w:hAnsi="Times New Roman" w:cs="Times New Roman"/>
      <w:sz w:val="20"/>
      <w:szCs w:val="20"/>
      <w:lang w:val="en-GB"/>
    </w:rPr>
  </w:style>
  <w:style w:type="table" w:styleId="TableGrid">
    <w:name w:val="Table Grid"/>
    <w:basedOn w:val="TableNormal"/>
    <w:rsid w:val="00433BEC"/>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1B741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7415"/>
    <w:rPr>
      <w:rFonts w:ascii="Times New Roman" w:eastAsia="Malgun Gothic" w:hAnsi="Times New Roman" w:cs="Times New Roman"/>
      <w:sz w:val="20"/>
      <w:szCs w:val="20"/>
      <w:lang w:val="en-GB" w:eastAsia="ko-KR"/>
    </w:rPr>
  </w:style>
  <w:style w:type="paragraph" w:customStyle="1" w:styleId="EQ">
    <w:name w:val="EQ"/>
    <w:basedOn w:val="Normal"/>
    <w:next w:val="Normal"/>
    <w:link w:val="EQChar"/>
    <w:rsid w:val="001B7415"/>
    <w:pPr>
      <w:keepLines/>
      <w:tabs>
        <w:tab w:val="center" w:pos="4536"/>
        <w:tab w:val="right" w:pos="9072"/>
      </w:tabs>
    </w:pPr>
    <w:rPr>
      <w:rFonts w:eastAsia="SimSun"/>
      <w:noProof/>
    </w:rPr>
  </w:style>
  <w:style w:type="character" w:customStyle="1" w:styleId="EQChar">
    <w:name w:val="EQ Char"/>
    <w:link w:val="EQ"/>
    <w:locked/>
    <w:rsid w:val="001B7415"/>
    <w:rPr>
      <w:rFonts w:ascii="Times New Roman" w:eastAsia="SimSun" w:hAnsi="Times New Roman" w:cs="Times New Roman"/>
      <w:noProof/>
      <w:sz w:val="20"/>
      <w:szCs w:val="20"/>
      <w:lang w:val="en-GB"/>
    </w:rPr>
  </w:style>
  <w:style w:type="paragraph" w:styleId="BalloonText">
    <w:name w:val="Balloon Text"/>
    <w:basedOn w:val="Normal"/>
    <w:link w:val="BalloonTextChar"/>
    <w:uiPriority w:val="99"/>
    <w:semiHidden/>
    <w:unhideWhenUsed/>
    <w:rsid w:val="00E153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394"/>
    <w:rPr>
      <w:rFonts w:ascii="Segoe UI" w:eastAsia="MS Mincho" w:hAnsi="Segoe UI" w:cs="Segoe UI"/>
      <w:sz w:val="18"/>
      <w:szCs w:val="18"/>
      <w:lang w:val="en-GB"/>
    </w:rPr>
  </w:style>
  <w:style w:type="paragraph" w:customStyle="1" w:styleId="TAH">
    <w:name w:val="TAH"/>
    <w:basedOn w:val="Normal"/>
    <w:link w:val="TAHCar"/>
    <w:qFormat/>
    <w:rsid w:val="00E15394"/>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rsid w:val="00E15394"/>
    <w:rPr>
      <w:rFonts w:ascii="Arial" w:eastAsia="Times New Roman" w:hAnsi="Arial" w:cs="Times New Roman"/>
      <w:b/>
      <w:sz w:val="18"/>
      <w:szCs w:val="20"/>
      <w:lang w:val="en-GB" w:eastAsia="ja-JP"/>
    </w:rPr>
  </w:style>
  <w:style w:type="paragraph" w:customStyle="1" w:styleId="TAL">
    <w:name w:val="TAL"/>
    <w:basedOn w:val="Normal"/>
    <w:link w:val="TALCar"/>
    <w:qFormat/>
    <w:rsid w:val="00E15394"/>
    <w:pPr>
      <w:keepNext/>
      <w:keepLines/>
      <w:spacing w:after="0"/>
    </w:pPr>
    <w:rPr>
      <w:rFonts w:ascii="Arial" w:eastAsiaTheme="minorEastAsia" w:hAnsi="Arial"/>
      <w:sz w:val="18"/>
    </w:rPr>
  </w:style>
  <w:style w:type="paragraph" w:customStyle="1" w:styleId="TAN">
    <w:name w:val="TAN"/>
    <w:basedOn w:val="TAL"/>
    <w:qFormat/>
    <w:rsid w:val="00E15394"/>
    <w:pPr>
      <w:ind w:left="851" w:hanging="851"/>
    </w:pPr>
  </w:style>
  <w:style w:type="character" w:customStyle="1" w:styleId="TALCar">
    <w:name w:val="TAL Car"/>
    <w:basedOn w:val="DefaultParagraphFont"/>
    <w:link w:val="TAL"/>
    <w:qFormat/>
    <w:locked/>
    <w:rsid w:val="00E15394"/>
    <w:rPr>
      <w:rFonts w:ascii="Arial" w:eastAsiaTheme="minorEastAsia" w:hAnsi="Arial" w:cs="Times New Roman"/>
      <w:sz w:val="18"/>
      <w:szCs w:val="20"/>
      <w:lang w:val="en-GB"/>
    </w:rPr>
  </w:style>
  <w:style w:type="paragraph" w:customStyle="1" w:styleId="TAC">
    <w:name w:val="TAC"/>
    <w:basedOn w:val="TAL"/>
    <w:link w:val="TACChar"/>
    <w:qFormat/>
    <w:rsid w:val="000F7182"/>
    <w:pPr>
      <w:jc w:val="center"/>
    </w:pPr>
    <w:rPr>
      <w:rFonts w:eastAsia="SimSun"/>
    </w:rPr>
  </w:style>
  <w:style w:type="character" w:customStyle="1" w:styleId="TACChar">
    <w:name w:val="TAC Char"/>
    <w:link w:val="TAC"/>
    <w:qFormat/>
    <w:rsid w:val="000F7182"/>
    <w:rPr>
      <w:rFonts w:ascii="Arial" w:eastAsia="SimSun" w:hAnsi="Arial" w:cs="Times New Roman"/>
      <w:sz w:val="18"/>
      <w:szCs w:val="20"/>
      <w:lang w:val="en-GB"/>
    </w:rPr>
  </w:style>
  <w:style w:type="paragraph" w:customStyle="1" w:styleId="B1">
    <w:name w:val="B1"/>
    <w:basedOn w:val="Normal"/>
    <w:link w:val="B1Char"/>
    <w:rsid w:val="000F7182"/>
    <w:pPr>
      <w:ind w:left="568" w:hanging="284"/>
    </w:pPr>
    <w:rPr>
      <w:rFonts w:eastAsia="SimSun"/>
    </w:rPr>
  </w:style>
  <w:style w:type="character" w:customStyle="1" w:styleId="B1Char">
    <w:name w:val="B1 Char"/>
    <w:link w:val="B1"/>
    <w:rsid w:val="000F7182"/>
    <w:rPr>
      <w:rFonts w:ascii="Times New Roman" w:eastAsia="SimSun" w:hAnsi="Times New Roman" w:cs="Times New Roman"/>
      <w:sz w:val="20"/>
      <w:szCs w:val="20"/>
      <w:lang w:val="en-GB"/>
    </w:rPr>
  </w:style>
  <w:style w:type="paragraph" w:customStyle="1" w:styleId="TH">
    <w:name w:val="TH"/>
    <w:basedOn w:val="Normal"/>
    <w:link w:val="THChar"/>
    <w:qFormat/>
    <w:rsid w:val="000F7182"/>
    <w:pPr>
      <w:keepNext/>
      <w:keepLines/>
      <w:spacing w:before="60"/>
      <w:jc w:val="center"/>
    </w:pPr>
    <w:rPr>
      <w:rFonts w:ascii="Arial" w:eastAsia="SimSun" w:hAnsi="Arial"/>
      <w:b/>
    </w:rPr>
  </w:style>
  <w:style w:type="character" w:customStyle="1" w:styleId="THChar">
    <w:name w:val="TH Char"/>
    <w:link w:val="TH"/>
    <w:qFormat/>
    <w:rsid w:val="000F7182"/>
    <w:rPr>
      <w:rFonts w:ascii="Arial" w:eastAsia="SimSu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24BAF3-2D9A-4054-8E2B-CBF7C59D6808}">
  <ds:schemaRefs>
    <ds:schemaRef ds:uri="http://schemas.microsoft.com/sharepoint/v3/contenttype/forms"/>
  </ds:schemaRefs>
</ds:datastoreItem>
</file>

<file path=customXml/itemProps2.xml><?xml version="1.0" encoding="utf-8"?>
<ds:datastoreItem xmlns:ds="http://schemas.openxmlformats.org/officeDocument/2006/customXml" ds:itemID="{1B606A2F-B993-48FC-92B4-67FBB20CB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46099-5F9E-40DB-87FD-965D989A3C5B}">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2020-04-10T21:22:00Z</dcterms:created>
  <dcterms:modified xsi:type="dcterms:W3CDTF">2020-04-10T21:22:00Z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