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7EA26" w14:textId="5745B226"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#94</w:t>
      </w:r>
      <w:r w:rsidR="00310331">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200</w:t>
      </w:r>
      <w:r w:rsidR="00127F21">
        <w:rPr>
          <w:rFonts w:cs="Arial"/>
          <w:sz w:val="24"/>
          <w:szCs w:val="24"/>
          <w:lang w:val="de-DE"/>
        </w:rPr>
        <w:t>4723</w:t>
      </w:r>
    </w:p>
    <w:p w14:paraId="7B0E701E" w14:textId="2DBAAA29" w:rsidR="006B0412" w:rsidRPr="00DB3907" w:rsidRDefault="00310331" w:rsidP="006B0412">
      <w:pPr>
        <w:pStyle w:val="Header"/>
        <w:tabs>
          <w:tab w:val="left" w:pos="6521"/>
        </w:tabs>
        <w:rPr>
          <w:rFonts w:cs="Arial"/>
          <w:sz w:val="24"/>
          <w:szCs w:val="24"/>
        </w:rPr>
      </w:pPr>
      <w:r>
        <w:rPr>
          <w:rFonts w:cs="Arial"/>
          <w:sz w:val="24"/>
          <w:szCs w:val="24"/>
        </w:rPr>
        <w:t>April</w:t>
      </w:r>
      <w:r w:rsidR="006B0412">
        <w:rPr>
          <w:rFonts w:cs="Arial"/>
          <w:sz w:val="24"/>
          <w:szCs w:val="24"/>
        </w:rPr>
        <w:t xml:space="preserve"> 2</w:t>
      </w:r>
      <w:r>
        <w:rPr>
          <w:rFonts w:cs="Arial"/>
          <w:sz w:val="24"/>
          <w:szCs w:val="24"/>
        </w:rPr>
        <w:t>0</w:t>
      </w:r>
      <w:r w:rsidR="006B0412">
        <w:rPr>
          <w:rFonts w:cs="Arial"/>
          <w:sz w:val="24"/>
          <w:szCs w:val="24"/>
          <w:vertAlign w:val="superscript"/>
        </w:rPr>
        <w:t>th</w:t>
      </w:r>
      <w:r w:rsidR="006B0412">
        <w:rPr>
          <w:rFonts w:cs="Arial"/>
          <w:sz w:val="24"/>
          <w:szCs w:val="24"/>
        </w:rPr>
        <w:t xml:space="preserve"> ‒ </w:t>
      </w:r>
      <w:r>
        <w:rPr>
          <w:rFonts w:cs="Arial"/>
          <w:sz w:val="24"/>
          <w:szCs w:val="24"/>
        </w:rPr>
        <w:t>30</w:t>
      </w:r>
      <w:r w:rsidR="006B0412">
        <w:rPr>
          <w:rFonts w:cs="Arial"/>
          <w:sz w:val="24"/>
          <w:szCs w:val="24"/>
          <w:vertAlign w:val="superscript"/>
        </w:rPr>
        <w:t>th</w:t>
      </w:r>
      <w:r w:rsidR="006B0412">
        <w:rPr>
          <w:rFonts w:cs="Arial"/>
          <w:sz w:val="24"/>
          <w:szCs w:val="24"/>
        </w:rPr>
        <w:t>, 2020</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7DD57606"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127F21">
        <w:rPr>
          <w:rFonts w:ascii="Arial" w:hAnsi="Arial"/>
          <w:sz w:val="24"/>
          <w:lang w:val="en-US"/>
        </w:rPr>
        <w:t>6.1.2.1</w:t>
      </w:r>
      <w:bookmarkStart w:id="0" w:name="_GoBack"/>
      <w:bookmarkEnd w:id="0"/>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071B87F4"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1" w:name="_Hlk36624600"/>
      <w:r w:rsidR="00676DCA">
        <w:rPr>
          <w:rFonts w:ascii="Arial" w:hAnsi="Arial"/>
          <w:sz w:val="24"/>
          <w:lang w:val="en-US"/>
        </w:rPr>
        <w:t xml:space="preserve">NR-U </w:t>
      </w:r>
      <w:bookmarkEnd w:id="1"/>
      <w:r w:rsidR="003051B0">
        <w:rPr>
          <w:rFonts w:ascii="Arial" w:hAnsi="Arial"/>
          <w:sz w:val="24"/>
          <w:lang w:val="en-US"/>
        </w:rPr>
        <w:t>Occupied bandwidth</w:t>
      </w:r>
      <w:r w:rsidR="005E6619">
        <w:rPr>
          <w:rFonts w:ascii="Arial" w:hAnsi="Arial"/>
          <w:sz w:val="24"/>
          <w:lang w:val="en-US"/>
        </w:rPr>
        <w:t xml:space="preserve"> requirement</w:t>
      </w:r>
    </w:p>
    <w:p w14:paraId="013F978F" w14:textId="5EDB7CD0"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DC3A53">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76290628" w14:textId="46BECFCB" w:rsidR="00676DCA" w:rsidRDefault="003051B0" w:rsidP="00676DCA">
      <w:pPr>
        <w:rPr>
          <w:lang w:val="en-US"/>
        </w:rPr>
      </w:pPr>
      <w:r>
        <w:rPr>
          <w:lang w:val="en-US"/>
        </w:rPr>
        <w:t>It is proposed that the occupied bandwidth requirement for NR-U is not needed since it is already guaranteed to be met by ACLR.</w:t>
      </w:r>
    </w:p>
    <w:p w14:paraId="10F6602E" w14:textId="66F72777" w:rsidR="007E1E78" w:rsidRDefault="007E1E78" w:rsidP="0099327E">
      <w:pPr>
        <w:pStyle w:val="Heading1"/>
        <w:tabs>
          <w:tab w:val="clear" w:pos="432"/>
          <w:tab w:val="num" w:pos="522"/>
        </w:tabs>
        <w:ind w:left="522" w:hanging="522"/>
        <w:rPr>
          <w:lang w:val="en-US"/>
        </w:rPr>
      </w:pPr>
      <w:r>
        <w:rPr>
          <w:lang w:val="en-US"/>
        </w:rPr>
        <w:t>Discussion</w:t>
      </w:r>
    </w:p>
    <w:p w14:paraId="03B6CC9C" w14:textId="528DD05A" w:rsidR="003051B0" w:rsidRDefault="005E6619" w:rsidP="005E6619">
      <w:pPr>
        <w:rPr>
          <w:lang w:val="en-US"/>
        </w:rPr>
      </w:pPr>
      <w:r>
        <w:rPr>
          <w:lang w:val="en-US"/>
        </w:rPr>
        <w:t xml:space="preserve">The </w:t>
      </w:r>
      <w:r w:rsidR="003051B0">
        <w:rPr>
          <w:lang w:val="en-US"/>
        </w:rPr>
        <w:t>occupied bandwidth for NR is defined as the bandwidth containing 99% of the total integrated mean power of the transmitted spectrum on the assigned channel.  For NR, the occupied bandwidth is specified to be the same as the channel bandwidth; that is, for a 20 MHz channel, 99% of its power must fall within 20 MHz of bandwidth.  This is equivalent to 20 dB</w:t>
      </w:r>
      <w:r w:rsidR="0033744D">
        <w:rPr>
          <w:lang w:val="en-US"/>
        </w:rPr>
        <w:t xml:space="preserve"> power ratio between in-band and out-of-band.  If the PSD is assumed to be symmetric so that half of the out-of-band power is located below the channel and half of the power above the channel, the ratio of in-band power to one-sided out-of-band power is 23 dB.</w:t>
      </w:r>
    </w:p>
    <w:p w14:paraId="0F8A3104" w14:textId="05905A9B" w:rsidR="0033744D" w:rsidRDefault="003051B0" w:rsidP="005E6619">
      <w:pPr>
        <w:rPr>
          <w:lang w:val="en-US"/>
        </w:rPr>
      </w:pPr>
      <w:r>
        <w:rPr>
          <w:lang w:val="en-US"/>
        </w:rPr>
        <w:t xml:space="preserve">On the other hand, ACLR is defined as the ratio of the filtered mean power centered on the assigned channel frequency to the filtered mean power centered on an adjacent channel frequency.  For NR the filter is a rectangular filter with bandwidth according to the spectrum utilization of the channel, approximately 95 to 98% of the channel bandwidth. </w:t>
      </w:r>
      <w:r w:rsidR="0033744D">
        <w:rPr>
          <w:lang w:val="en-US"/>
        </w:rPr>
        <w:t xml:space="preserve"> To simplify the definition, for NR-U it is proposed to define ACLR with a measurement bandwidth 100% of the channel [1].  </w:t>
      </w:r>
      <w:r>
        <w:rPr>
          <w:lang w:val="en-US"/>
        </w:rPr>
        <w:t xml:space="preserve">The ACLR for NR-U has been agreed to be 27 dB. </w:t>
      </w:r>
    </w:p>
    <w:p w14:paraId="654E08B5" w14:textId="3439ADF6" w:rsidR="0033744D" w:rsidRDefault="0033744D" w:rsidP="005E6619">
      <w:pPr>
        <w:rPr>
          <w:lang w:val="en-US"/>
        </w:rPr>
      </w:pPr>
      <w:r>
        <w:rPr>
          <w:lang w:val="en-US"/>
        </w:rPr>
        <w:t>It is evident that the ACLR and occupied bandwidth requirements meaure very nearly the same metric, but the ACLR is much tighter than NR-U meaning that a UE that complies with ACLR will inherently meet the OBW requirement with margin.  Even accounting for the fact that ACLR measured out-of-band only in one channel away from the wanted signal, since the spectrum emission and spurious emission requirements impose limits on out-of-band emissions further away from the channel, the OBW requirement is superfluous.</w:t>
      </w:r>
    </w:p>
    <w:p w14:paraId="17ECDF7D" w14:textId="2C69CED8" w:rsidR="00FA01C7" w:rsidRDefault="00FA01C7" w:rsidP="00FA01C7">
      <w:pPr>
        <w:pStyle w:val="Heading1"/>
        <w:tabs>
          <w:tab w:val="clear" w:pos="432"/>
          <w:tab w:val="num" w:pos="522"/>
        </w:tabs>
        <w:ind w:left="522" w:hanging="522"/>
        <w:rPr>
          <w:lang w:val="en-US"/>
        </w:rPr>
      </w:pPr>
      <w:r>
        <w:rPr>
          <w:lang w:val="en-US"/>
        </w:rPr>
        <w:t>Conclusion</w:t>
      </w:r>
    </w:p>
    <w:p w14:paraId="58621DEB" w14:textId="1735F107" w:rsidR="00FA01C7" w:rsidRDefault="0033744D" w:rsidP="00A0551F">
      <w:pPr>
        <w:rPr>
          <w:lang w:val="en-US"/>
        </w:rPr>
      </w:pPr>
      <w:r>
        <w:rPr>
          <w:lang w:val="en-US"/>
        </w:rPr>
        <w:t xml:space="preserve">It is suggested in this contribution that occupied bandwidth is not needed for NR-U since the requirement is </w:t>
      </w:r>
      <w:r w:rsidR="002A217C">
        <w:rPr>
          <w:lang w:val="en-US"/>
        </w:rPr>
        <w:t>inherently fulfilled by the more stringent ACLR requirement.</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686833CC" w14:textId="6D7AF88A" w:rsidR="0033744D" w:rsidRPr="00127F21" w:rsidRDefault="00310331" w:rsidP="001219FC">
      <w:pPr>
        <w:numPr>
          <w:ilvl w:val="0"/>
          <w:numId w:val="2"/>
        </w:numPr>
        <w:tabs>
          <w:tab w:val="left" w:pos="1080"/>
        </w:tabs>
        <w:rPr>
          <w:lang w:val="en-US" w:eastAsia="x-none"/>
        </w:rPr>
      </w:pPr>
      <w:bookmarkStart w:id="2" w:name="_Hlk859252"/>
      <w:r w:rsidRPr="00127F21">
        <w:rPr>
          <w:lang w:val="en-US" w:eastAsia="x-none"/>
        </w:rPr>
        <w:t>R4-</w:t>
      </w:r>
      <w:r w:rsidR="005E6619" w:rsidRPr="00127F21">
        <w:rPr>
          <w:lang w:val="en-US" w:eastAsia="x-none"/>
        </w:rPr>
        <w:t>200</w:t>
      </w:r>
      <w:r w:rsidR="00127F21" w:rsidRPr="00127F21">
        <w:rPr>
          <w:lang w:val="en-US" w:eastAsia="x-none"/>
        </w:rPr>
        <w:t>4727</w:t>
      </w:r>
      <w:r w:rsidR="005E6619" w:rsidRPr="00127F21">
        <w:rPr>
          <w:lang w:val="en-US" w:eastAsia="x-none"/>
        </w:rPr>
        <w:t xml:space="preserve">, </w:t>
      </w:r>
      <w:r w:rsidR="00127F21" w:rsidRPr="00127F21">
        <w:rPr>
          <w:lang w:val="en-US" w:eastAsia="x-none"/>
        </w:rPr>
        <w:t>“Introduction of NR-based access to unlicensed spectrum,” Qualcomm Incorporated</w:t>
      </w:r>
    </w:p>
    <w:bookmarkEnd w:id="2"/>
    <w:p w14:paraId="126502BF" w14:textId="77777777" w:rsidR="001B6328" w:rsidRDefault="001B6328" w:rsidP="001B6328">
      <w:pPr>
        <w:tabs>
          <w:tab w:val="left" w:pos="1080"/>
        </w:tabs>
        <w:rPr>
          <w:lang w:val="en-US" w:eastAsia="x-none"/>
        </w:rPr>
      </w:pPr>
    </w:p>
    <w:sectPr w:rsidR="001B6328"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BDD4B" w14:textId="77777777" w:rsidR="0070449A" w:rsidRDefault="0070449A">
      <w:r>
        <w:separator/>
      </w:r>
    </w:p>
  </w:endnote>
  <w:endnote w:type="continuationSeparator" w:id="0">
    <w:p w14:paraId="5B0EF65D" w14:textId="77777777" w:rsidR="0070449A" w:rsidRDefault="00704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686264" w:rsidRDefault="00686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686264" w:rsidRDefault="006862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55925" w14:textId="77777777" w:rsidR="0070449A" w:rsidRDefault="0070449A">
      <w:r>
        <w:separator/>
      </w:r>
    </w:p>
  </w:footnote>
  <w:footnote w:type="continuationSeparator" w:id="0">
    <w:p w14:paraId="1CA5C1F3" w14:textId="77777777" w:rsidR="0070449A" w:rsidRDefault="007044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3"/>
  </w:num>
  <w:num w:numId="3">
    <w:abstractNumId w:val="15"/>
  </w:num>
  <w:num w:numId="4">
    <w:abstractNumId w:val="16"/>
  </w:num>
  <w:num w:numId="5">
    <w:abstractNumId w:val="12"/>
  </w:num>
  <w:num w:numId="6">
    <w:abstractNumId w:val="4"/>
  </w:num>
  <w:num w:numId="7">
    <w:abstractNumId w:val="1"/>
  </w:num>
  <w:num w:numId="8">
    <w:abstractNumId w:val="14"/>
  </w:num>
  <w:num w:numId="9">
    <w:abstractNumId w:val="5"/>
  </w:num>
  <w:num w:numId="10">
    <w:abstractNumId w:val="11"/>
  </w:num>
  <w:num w:numId="11">
    <w:abstractNumId w:val="18"/>
  </w:num>
  <w:num w:numId="12">
    <w:abstractNumId w:val="3"/>
  </w:num>
  <w:num w:numId="13">
    <w:abstractNumId w:val="10"/>
  </w:num>
  <w:num w:numId="14">
    <w:abstractNumId w:val="2"/>
  </w:num>
  <w:num w:numId="15">
    <w:abstractNumId w:val="9"/>
  </w:num>
  <w:num w:numId="16">
    <w:abstractNumId w:val="1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num>
  <w:num w:numId="19">
    <w:abstractNumId w:val="7"/>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27F21"/>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17C"/>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0E6F"/>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1B0"/>
    <w:rsid w:val="00305452"/>
    <w:rsid w:val="00305E70"/>
    <w:rsid w:val="0030648A"/>
    <w:rsid w:val="00306AB4"/>
    <w:rsid w:val="00306C15"/>
    <w:rsid w:val="0030710A"/>
    <w:rsid w:val="00307F1E"/>
    <w:rsid w:val="00310331"/>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083"/>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44D"/>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93E"/>
    <w:rsid w:val="00484AB9"/>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C90"/>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49A"/>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2850"/>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321F"/>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ADF"/>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5013"/>
    <w:rsid w:val="0087541C"/>
    <w:rsid w:val="00875E39"/>
    <w:rsid w:val="00875ECC"/>
    <w:rsid w:val="008760A4"/>
    <w:rsid w:val="008772BE"/>
    <w:rsid w:val="0087751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A4D"/>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5C4"/>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78A"/>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DF023-4B1F-4009-8E19-C4A161AB3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1</Pages>
  <Words>342</Words>
  <Characters>1954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2020-04-10T19:17:00Z</dcterms:created>
  <dcterms:modified xsi:type="dcterms:W3CDTF">2020-04-10T19:17:00Z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