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BD" w:rsidRPr="00BE18BD" w:rsidRDefault="00BE18BD" w:rsidP="00BE18B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BE18BD">
        <w:rPr>
          <w:rFonts w:ascii="Arial" w:hAnsi="Arial" w:cs="Arial"/>
          <w:b/>
          <w:sz w:val="24"/>
          <w:szCs w:val="24"/>
          <w:lang w:val="en-US"/>
        </w:rPr>
        <w:t>3GPP TSG-RAN WG4 Meeting #</w:t>
      </w:r>
      <w:r w:rsidRPr="00BE18BD">
        <w:rPr>
          <w:lang w:val="en-US"/>
        </w:rPr>
        <w:t xml:space="preserve"> </w:t>
      </w:r>
      <w:r w:rsidRPr="00BE18BD">
        <w:rPr>
          <w:rFonts w:ascii="Arial" w:hAnsi="Arial" w:cs="Arial"/>
          <w:b/>
          <w:sz w:val="24"/>
          <w:szCs w:val="24"/>
          <w:lang w:val="en-US"/>
        </w:rPr>
        <w:t>94-e-Bis</w:t>
      </w:r>
      <w:r w:rsidRPr="00BE18BD" w:rsidDel="00277FAB">
        <w:rPr>
          <w:rFonts w:ascii="Arial" w:hAnsi="Arial" w:cs="Arial"/>
          <w:b/>
          <w:sz w:val="24"/>
          <w:szCs w:val="24"/>
          <w:lang w:val="en-US"/>
        </w:rPr>
        <w:t xml:space="preserve"> </w:t>
      </w:r>
      <w:r w:rsidRPr="00BE18BD">
        <w:rPr>
          <w:rFonts w:ascii="Arial" w:hAnsi="Arial" w:cs="Arial"/>
          <w:b/>
          <w:sz w:val="24"/>
          <w:szCs w:val="24"/>
          <w:lang w:val="en-US"/>
        </w:rPr>
        <w:tab/>
      </w:r>
      <w:r w:rsidR="00886525" w:rsidRPr="00886525">
        <w:rPr>
          <w:rFonts w:ascii="Arial" w:hAnsi="Arial" w:cs="Arial"/>
          <w:b/>
          <w:sz w:val="24"/>
          <w:szCs w:val="24"/>
          <w:lang w:val="en-US"/>
        </w:rPr>
        <w:t>R4-2004271</w:t>
      </w:r>
    </w:p>
    <w:p w:rsidR="00BE18BD" w:rsidRPr="00BE18BD" w:rsidRDefault="00BE18BD" w:rsidP="00BE18BD">
      <w:pPr>
        <w:tabs>
          <w:tab w:val="right" w:pos="9781"/>
          <w:tab w:val="right" w:pos="13323"/>
        </w:tabs>
        <w:spacing w:after="0"/>
        <w:outlineLvl w:val="0"/>
        <w:rPr>
          <w:rFonts w:ascii="Arial" w:eastAsia="宋体" w:hAnsi="Arial"/>
          <w:b/>
          <w:sz w:val="24"/>
          <w:szCs w:val="24"/>
          <w:lang w:val="en-US" w:eastAsia="zh-CN"/>
        </w:rPr>
      </w:pPr>
      <w:r w:rsidRPr="00BE18BD">
        <w:rPr>
          <w:rFonts w:ascii="Arial" w:eastAsia="宋体" w:hAnsi="Arial"/>
          <w:b/>
          <w:sz w:val="24"/>
          <w:szCs w:val="24"/>
          <w:lang w:val="en-US" w:eastAsia="zh-CN"/>
        </w:rPr>
        <w:t>Electronic Meeting, 20</w:t>
      </w:r>
      <w:r w:rsidRPr="00BE18BD">
        <w:rPr>
          <w:rFonts w:ascii="Arial" w:eastAsia="宋体" w:hAnsi="Arial" w:hint="eastAsia"/>
          <w:b/>
          <w:sz w:val="24"/>
          <w:szCs w:val="24"/>
          <w:lang w:val="en-US" w:eastAsia="zh-CN"/>
        </w:rPr>
        <w:t xml:space="preserve"> </w:t>
      </w:r>
      <w:r w:rsidRPr="00BE18BD">
        <w:rPr>
          <w:rFonts w:ascii="Arial" w:eastAsia="宋体" w:hAnsi="Arial"/>
          <w:b/>
          <w:sz w:val="24"/>
          <w:szCs w:val="24"/>
          <w:lang w:val="en-US" w:eastAsia="zh-CN"/>
        </w:rPr>
        <w:t>–</w:t>
      </w:r>
      <w:r w:rsidRPr="00BE18BD">
        <w:rPr>
          <w:rFonts w:ascii="Arial" w:eastAsia="宋体" w:hAnsi="Arial" w:hint="eastAsia"/>
          <w:b/>
          <w:sz w:val="24"/>
          <w:szCs w:val="24"/>
          <w:lang w:val="en-US" w:eastAsia="zh-CN"/>
        </w:rPr>
        <w:t xml:space="preserve"> </w:t>
      </w:r>
      <w:r w:rsidRPr="00BE18BD">
        <w:rPr>
          <w:rFonts w:ascii="Arial" w:eastAsia="宋体" w:hAnsi="Arial"/>
          <w:b/>
          <w:sz w:val="24"/>
          <w:szCs w:val="24"/>
          <w:lang w:val="en-US" w:eastAsia="zh-CN"/>
        </w:rPr>
        <w:t>30 Apr., 2020</w:t>
      </w:r>
    </w:p>
    <w:p w:rsidR="00DF0231" w:rsidRPr="00BE18BD"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E18BD">
        <w:rPr>
          <w:rFonts w:ascii="Arial" w:hAnsi="Arial"/>
          <w:sz w:val="24"/>
          <w:lang w:val="en-US"/>
        </w:rPr>
        <w:t>6.1.5.11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ED01C8">
        <w:rPr>
          <w:rFonts w:ascii="Arial" w:hAnsi="Arial"/>
          <w:sz w:val="24"/>
          <w:lang w:val="en-US"/>
        </w:rPr>
        <w:t>measurement requirement</w:t>
      </w:r>
      <w:r w:rsidR="001C4FEE">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 There are some remaining issues about </w:t>
      </w:r>
      <w:r w:rsidR="00ED01C8">
        <w:rPr>
          <w:rFonts w:eastAsiaTheme="minorEastAsia"/>
          <w:lang w:val="en-US" w:eastAsia="zh-CN"/>
        </w:rPr>
        <w:t>measurement requirement</w:t>
      </w:r>
      <w:r w:rsidR="00AF0E37">
        <w:rPr>
          <w:rFonts w:eastAsiaTheme="minorEastAsia"/>
          <w:lang w:val="en-US" w:eastAsia="zh-CN"/>
        </w:rPr>
        <w:t>.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1C4FEE" w:rsidRDefault="001C4FEE" w:rsidP="001C4FEE">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discussions </w:t>
      </w:r>
      <w:r w:rsidR="00451285">
        <w:rPr>
          <w:rFonts w:eastAsiaTheme="minorEastAsia"/>
          <w:lang w:val="en-US" w:eastAsia="zh-CN"/>
        </w:rPr>
        <w:t>in the last RAN4#94e meeting, progress has been made in the following aspects:</w:t>
      </w:r>
    </w:p>
    <w:tbl>
      <w:tblPr>
        <w:tblStyle w:val="a7"/>
        <w:tblW w:w="0" w:type="auto"/>
        <w:tblLook w:val="04A0" w:firstRow="1" w:lastRow="0" w:firstColumn="1" w:lastColumn="0" w:noHBand="0" w:noVBand="1"/>
      </w:tblPr>
      <w:tblGrid>
        <w:gridCol w:w="9562"/>
      </w:tblGrid>
      <w:tr w:rsidR="00451285" w:rsidTr="00451285">
        <w:tc>
          <w:tcPr>
            <w:tcW w:w="9562" w:type="dxa"/>
          </w:tcPr>
          <w:p w:rsidR="00062F6F" w:rsidRPr="00ED01C8" w:rsidRDefault="00D87C93" w:rsidP="00ED01C8">
            <w:pPr>
              <w:numPr>
                <w:ilvl w:val="0"/>
                <w:numId w:val="17"/>
              </w:numPr>
              <w:rPr>
                <w:rFonts w:eastAsiaTheme="minorEastAsia"/>
                <w:lang w:val="en-US" w:eastAsia="zh-CN"/>
              </w:rPr>
            </w:pPr>
            <w:r w:rsidRPr="00ED01C8">
              <w:rPr>
                <w:rFonts w:eastAsiaTheme="minorEastAsia"/>
                <w:lang w:eastAsia="zh-CN"/>
              </w:rPr>
              <w:t>There is no need to specify additional time for PBCH reading during SSB index identification in FR1 NR-U</w:t>
            </w:r>
            <w:r w:rsidRPr="00ED01C8">
              <w:rPr>
                <w:rFonts w:eastAsiaTheme="minorEastAsia"/>
                <w:u w:val="single"/>
                <w:lang w:eastAsia="zh-CN"/>
              </w:rPr>
              <w:t>, if</w:t>
            </w:r>
            <w:r w:rsidRPr="00ED01C8">
              <w:rPr>
                <w:rFonts w:eastAsiaTheme="minorEastAsia"/>
                <w:lang w:eastAsia="zh-CN"/>
              </w:rPr>
              <w:t xml:space="preserve"> </w:t>
            </w:r>
            <w:r w:rsidRPr="00ED01C8">
              <w:rPr>
                <w:rFonts w:eastAsiaTheme="minorEastAsia"/>
                <w:u w:val="single"/>
                <w:lang w:eastAsia="zh-CN"/>
              </w:rPr>
              <w:t>Q is known to the UE</w:t>
            </w:r>
            <w:r w:rsidRPr="00ED01C8">
              <w:rPr>
                <w:rFonts w:eastAsiaTheme="minorEastAsia"/>
                <w:lang w:eastAsia="zh-CN"/>
              </w:rPr>
              <w:t xml:space="preserve">. </w:t>
            </w:r>
          </w:p>
          <w:p w:rsidR="00062F6F" w:rsidRPr="00ED01C8" w:rsidRDefault="00D87C93" w:rsidP="00ED01C8">
            <w:pPr>
              <w:numPr>
                <w:ilvl w:val="0"/>
                <w:numId w:val="17"/>
              </w:numPr>
              <w:rPr>
                <w:rFonts w:eastAsiaTheme="minorEastAsia"/>
                <w:lang w:val="en-US" w:eastAsia="zh-CN"/>
              </w:rPr>
            </w:pPr>
            <w:r w:rsidRPr="00ED01C8">
              <w:rPr>
                <w:rFonts w:eastAsiaTheme="minorEastAsia"/>
                <w:lang w:val="da-DK" w:eastAsia="zh-CN"/>
              </w:rPr>
              <w:t>Options discussed in RAN4 #94e</w:t>
            </w:r>
          </w:p>
          <w:p w:rsidR="00062F6F" w:rsidRPr="00ED01C8" w:rsidRDefault="00D87C93" w:rsidP="00ED01C8">
            <w:pPr>
              <w:numPr>
                <w:ilvl w:val="1"/>
                <w:numId w:val="17"/>
              </w:numPr>
              <w:rPr>
                <w:rFonts w:eastAsiaTheme="minorEastAsia"/>
                <w:lang w:val="en-US" w:eastAsia="zh-CN"/>
              </w:rPr>
            </w:pPr>
            <w:r w:rsidRPr="00ED01C8">
              <w:rPr>
                <w:rFonts w:eastAsiaTheme="minorEastAsia"/>
                <w:lang w:eastAsia="zh-CN"/>
              </w:rPr>
              <w:t>Option 1: We can assume that Q is always known to the UE</w:t>
            </w:r>
          </w:p>
          <w:p w:rsidR="00ED01C8" w:rsidRPr="00ED01C8" w:rsidRDefault="00D87C93" w:rsidP="00ED01C8">
            <w:pPr>
              <w:numPr>
                <w:ilvl w:val="1"/>
                <w:numId w:val="17"/>
              </w:numPr>
              <w:rPr>
                <w:rFonts w:eastAsiaTheme="minorEastAsia"/>
                <w:lang w:val="en-US" w:eastAsia="zh-CN"/>
              </w:rPr>
            </w:pPr>
            <w:r w:rsidRPr="00ED01C8">
              <w:rPr>
                <w:rFonts w:eastAsiaTheme="minorEastAsia"/>
                <w:lang w:eastAsia="zh-CN"/>
              </w:rPr>
              <w:t>Option 2: We cannot assume that Q is always known to the UE</w:t>
            </w:r>
          </w:p>
          <w:p w:rsidR="00062F6F" w:rsidRPr="00ED01C8" w:rsidRDefault="00D87C93" w:rsidP="00ED01C8">
            <w:pPr>
              <w:numPr>
                <w:ilvl w:val="0"/>
                <w:numId w:val="17"/>
              </w:numPr>
              <w:rPr>
                <w:rFonts w:eastAsiaTheme="minorEastAsia"/>
                <w:lang w:val="en-US" w:eastAsia="zh-CN"/>
              </w:rPr>
            </w:pPr>
            <w:r w:rsidRPr="00ED01C8">
              <w:rPr>
                <w:rFonts w:eastAsiaTheme="minorEastAsia"/>
                <w:lang w:val="en-US" w:eastAsia="zh-CN"/>
              </w:rPr>
              <w:t xml:space="preserve">FFS: Decide the </w:t>
            </w:r>
            <w:r w:rsidRPr="00ED01C8">
              <w:rPr>
                <w:rFonts w:eastAsiaTheme="minorEastAsia"/>
                <w:u w:val="single"/>
                <w:lang w:eastAsia="zh-CN"/>
              </w:rPr>
              <w:t>event-triggered periodic and periodic reporting</w:t>
            </w:r>
            <w:r w:rsidRPr="00ED01C8">
              <w:rPr>
                <w:rFonts w:eastAsiaTheme="minorEastAsia"/>
                <w:lang w:val="en-US" w:eastAsia="zh-CN"/>
              </w:rPr>
              <w:t xml:space="preserve"> delay:</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Option 1: Adopt the same definition as in Rel-15.</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2: </w:t>
            </w:r>
            <w:r w:rsidRPr="00ED01C8">
              <w:rPr>
                <w:rFonts w:eastAsiaTheme="minorEastAsia"/>
                <w:lang w:eastAsia="zh-CN"/>
              </w:rPr>
              <w:t xml:space="preserve">For periodic and event-triggered periodic measurement reporting, the UE measurement reporting delay is extended due to UL LBT failures until the time point of the successful reporting attempt or until the new periodic measurement is available, according to [TBD RAN2 specification]. No extension for UL </w:t>
            </w:r>
            <w:r w:rsidRPr="00ED01C8">
              <w:rPr>
                <w:rFonts w:eastAsiaTheme="minorEastAsia"/>
                <w:lang w:val="en-US" w:eastAsia="zh-CN"/>
              </w:rPr>
              <w:t>channel access category 1</w:t>
            </w:r>
            <w:r w:rsidRPr="00ED01C8">
              <w:rPr>
                <w:rFonts w:eastAsiaTheme="minorEastAsia"/>
                <w:lang w:eastAsia="zh-CN"/>
              </w:rPr>
              <w:t>.</w:t>
            </w:r>
          </w:p>
          <w:p w:rsidR="00062F6F" w:rsidRPr="00ED01C8" w:rsidRDefault="00D87C93" w:rsidP="00ED01C8">
            <w:pPr>
              <w:numPr>
                <w:ilvl w:val="0"/>
                <w:numId w:val="17"/>
              </w:numPr>
              <w:rPr>
                <w:rFonts w:eastAsiaTheme="minorEastAsia"/>
                <w:lang w:val="en-US" w:eastAsia="zh-CN"/>
              </w:rPr>
            </w:pPr>
            <w:r w:rsidRPr="00ED01C8">
              <w:rPr>
                <w:rFonts w:eastAsiaTheme="minorEastAsia"/>
                <w:lang w:val="en-US" w:eastAsia="zh-CN"/>
              </w:rPr>
              <w:t xml:space="preserve">For the </w:t>
            </w:r>
            <w:r w:rsidRPr="00ED01C8">
              <w:rPr>
                <w:rFonts w:eastAsiaTheme="minorEastAsia"/>
                <w:u w:val="single"/>
                <w:lang w:eastAsia="zh-CN"/>
              </w:rPr>
              <w:t>event-triggered reporting</w:t>
            </w:r>
            <w:r w:rsidRPr="00ED01C8">
              <w:rPr>
                <w:rFonts w:eastAsiaTheme="minorEastAsia"/>
                <w:lang w:val="en-US" w:eastAsia="zh-CN"/>
              </w:rPr>
              <w:t xml:space="preserve"> delay:</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Option 1: No need to extend the delay, clarify that the measurement reporting delay excludes a delay which is caused by no UL resources available due to CCA. Wording can be further discussed.</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2: </w:t>
            </w:r>
            <w:r w:rsidRPr="00ED01C8">
              <w:rPr>
                <w:rFonts w:eastAsiaTheme="minorEastAsia"/>
                <w:lang w:eastAsia="zh-CN"/>
              </w:rPr>
              <w:t xml:space="preserve">For event-triggered measurement reporting, the UE measurement reporting delay is extended due to UL LBT failures until the time point of the successful reporting attempt, according to [TBD RAN2 specification]. No extension for UL </w:t>
            </w:r>
            <w:r w:rsidRPr="00ED01C8">
              <w:rPr>
                <w:rFonts w:eastAsiaTheme="minorEastAsia"/>
                <w:lang w:val="en-US" w:eastAsia="zh-CN"/>
              </w:rPr>
              <w:t>channel access category 1</w:t>
            </w:r>
            <w:r w:rsidRPr="00ED01C8">
              <w:rPr>
                <w:rFonts w:eastAsiaTheme="minorEastAsia"/>
                <w:lang w:eastAsia="zh-CN"/>
              </w:rPr>
              <w:t>.</w:t>
            </w:r>
          </w:p>
          <w:p w:rsidR="00451285" w:rsidRDefault="00ED01C8" w:rsidP="00ED01C8">
            <w:pPr>
              <w:numPr>
                <w:ilvl w:val="0"/>
                <w:numId w:val="17"/>
              </w:numPr>
              <w:rPr>
                <w:rFonts w:eastAsiaTheme="minorEastAsia"/>
                <w:lang w:val="en-US" w:eastAsia="zh-CN"/>
              </w:rPr>
            </w:pPr>
            <w:r w:rsidRPr="00ED01C8">
              <w:rPr>
                <w:rFonts w:eastAsiaTheme="minorEastAsia"/>
                <w:lang w:val="en-US" w:eastAsia="zh-CN"/>
              </w:rPr>
              <w:t>Measurement and Monitoring QCL-</w:t>
            </w:r>
            <w:proofErr w:type="spellStart"/>
            <w:r w:rsidRPr="00ED01C8">
              <w:rPr>
                <w:rFonts w:eastAsiaTheme="minorEastAsia"/>
                <w:lang w:val="en-US" w:eastAsia="zh-CN"/>
              </w:rPr>
              <w:t>ed</w:t>
            </w:r>
            <w:proofErr w:type="spellEnd"/>
            <w:r w:rsidRPr="00ED01C8">
              <w:rPr>
                <w:rFonts w:eastAsiaTheme="minorEastAsia"/>
                <w:lang w:val="en-US" w:eastAsia="zh-CN"/>
              </w:rPr>
              <w:t xml:space="preserve"> SSBs</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1: </w:t>
            </w:r>
          </w:p>
          <w:p w:rsidR="00062F6F" w:rsidRPr="00ED01C8" w:rsidRDefault="00D87C93" w:rsidP="00ED01C8">
            <w:pPr>
              <w:ind w:left="1080"/>
              <w:rPr>
                <w:rFonts w:eastAsiaTheme="minorEastAsia"/>
                <w:lang w:val="en-US" w:eastAsia="zh-CN"/>
              </w:rPr>
            </w:pPr>
            <w:r w:rsidRPr="00ED01C8">
              <w:rPr>
                <w:rFonts w:eastAsiaTheme="minorEastAsia"/>
                <w:lang w:val="en-US" w:eastAsia="zh-CN"/>
              </w:rPr>
              <w:t xml:space="preserve">UE is required to monitor at least one SSB from the set of SSBs that are </w:t>
            </w:r>
            <w:proofErr w:type="spellStart"/>
            <w:r w:rsidRPr="00ED01C8">
              <w:rPr>
                <w:rFonts w:eastAsiaTheme="minorEastAsia"/>
                <w:lang w:val="en-US" w:eastAsia="zh-CN"/>
              </w:rPr>
              <w:t>QCLed</w:t>
            </w:r>
            <w:proofErr w:type="spellEnd"/>
            <w:r w:rsidRPr="00ED01C8">
              <w:rPr>
                <w:rFonts w:eastAsiaTheme="minorEastAsia"/>
                <w:lang w:val="en-US" w:eastAsia="zh-CN"/>
              </w:rPr>
              <w:t xml:space="preserve"> with each other</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2: </w:t>
            </w:r>
          </w:p>
          <w:p w:rsidR="00062F6F" w:rsidRPr="00ED01C8" w:rsidRDefault="00D87C93" w:rsidP="00ED01C8">
            <w:pPr>
              <w:ind w:left="1080"/>
              <w:rPr>
                <w:rFonts w:eastAsiaTheme="minorEastAsia"/>
                <w:lang w:val="en-US" w:eastAsia="zh-CN"/>
              </w:rPr>
            </w:pPr>
            <w:r w:rsidRPr="00ED01C8">
              <w:rPr>
                <w:rFonts w:eastAsiaTheme="minorEastAsia"/>
                <w:lang w:val="en-US" w:eastAsia="zh-CN"/>
              </w:rPr>
              <w:t xml:space="preserve">UE is required to monitor all SSBs from the set of SSBs that are </w:t>
            </w:r>
            <w:proofErr w:type="spellStart"/>
            <w:r w:rsidRPr="00ED01C8">
              <w:rPr>
                <w:rFonts w:eastAsiaTheme="minorEastAsia"/>
                <w:lang w:val="en-US" w:eastAsia="zh-CN"/>
              </w:rPr>
              <w:t>QCLed</w:t>
            </w:r>
            <w:proofErr w:type="spellEnd"/>
            <w:r w:rsidRPr="00ED01C8">
              <w:rPr>
                <w:rFonts w:eastAsiaTheme="minorEastAsia"/>
                <w:lang w:val="en-US" w:eastAsia="zh-CN"/>
              </w:rPr>
              <w:t xml:space="preserve"> with each other</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3: </w:t>
            </w:r>
          </w:p>
          <w:p w:rsidR="00062F6F" w:rsidRPr="00ED01C8" w:rsidRDefault="00D87C93" w:rsidP="00ED01C8">
            <w:pPr>
              <w:ind w:left="1080"/>
              <w:rPr>
                <w:rFonts w:eastAsiaTheme="minorEastAsia"/>
                <w:lang w:val="en-US" w:eastAsia="zh-CN"/>
              </w:rPr>
            </w:pPr>
            <w:r w:rsidRPr="00ED01C8">
              <w:rPr>
                <w:rFonts w:eastAsiaTheme="minorEastAsia"/>
                <w:lang w:val="en-US" w:eastAsia="zh-CN"/>
              </w:rPr>
              <w:lastRenderedPageBreak/>
              <w:t>UE is required to monitor all SSBs regardless of QCL assumptions</w:t>
            </w:r>
          </w:p>
          <w:p w:rsidR="00ED01C8" w:rsidRPr="00ED01C8" w:rsidRDefault="00ED01C8" w:rsidP="00ED01C8">
            <w:pPr>
              <w:numPr>
                <w:ilvl w:val="0"/>
                <w:numId w:val="17"/>
              </w:numPr>
              <w:rPr>
                <w:rFonts w:eastAsiaTheme="minorEastAsia"/>
                <w:lang w:val="en-US" w:eastAsia="zh-CN"/>
              </w:rPr>
            </w:pPr>
            <w:r w:rsidRPr="00ED01C8">
              <w:rPr>
                <w:rFonts w:eastAsiaTheme="minorEastAsia"/>
                <w:lang w:eastAsia="zh-CN"/>
              </w:rPr>
              <w:t xml:space="preserve">UE </w:t>
            </w:r>
            <w:proofErr w:type="spellStart"/>
            <w:r w:rsidRPr="00ED01C8">
              <w:rPr>
                <w:rFonts w:eastAsiaTheme="minorEastAsia"/>
                <w:lang w:eastAsia="zh-CN"/>
              </w:rPr>
              <w:t>behavior</w:t>
            </w:r>
            <w:proofErr w:type="spellEnd"/>
            <w:r w:rsidRPr="00ED01C8">
              <w:rPr>
                <w:rFonts w:eastAsiaTheme="minorEastAsia"/>
                <w:lang w:eastAsia="zh-CN"/>
              </w:rPr>
              <w:t xml:space="preserve"> upon exceeding the maximum number of DL LBT failures during PSS/SSS detection</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Candidate options:</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Option 1) Behavior is implementation specific</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Option 2</w:t>
            </w:r>
            <w:proofErr w:type="gramStart"/>
            <w:r w:rsidRPr="00ED01C8">
              <w:rPr>
                <w:rFonts w:eastAsiaTheme="minorEastAsia"/>
                <w:lang w:val="en-US" w:eastAsia="zh-CN"/>
              </w:rPr>
              <w:t>)  Upon</w:t>
            </w:r>
            <w:proofErr w:type="gramEnd"/>
            <w:r w:rsidRPr="00ED01C8">
              <w:rPr>
                <w:rFonts w:eastAsiaTheme="minorEastAsia"/>
                <w:lang w:val="en-US" w:eastAsia="zh-CN"/>
              </w:rPr>
              <w:t xml:space="preserve"> exceeding LPSS/</w:t>
            </w:r>
            <w:proofErr w:type="spellStart"/>
            <w:r w:rsidRPr="00ED01C8">
              <w:rPr>
                <w:rFonts w:eastAsiaTheme="minorEastAsia"/>
                <w:lang w:val="en-US" w:eastAsia="zh-CN"/>
              </w:rPr>
              <w:t>SSS,max</w:t>
            </w:r>
            <w:proofErr w:type="spellEnd"/>
            <w:r w:rsidRPr="00ED01C8">
              <w:rPr>
                <w:rFonts w:eastAsiaTheme="minorEastAsia"/>
                <w:lang w:val="en-US" w:eastAsia="zh-CN"/>
              </w:rPr>
              <w:t>, the UE is not required to meet the corresponding intra-frequency PSS/SSS detection requirement.</w:t>
            </w:r>
          </w:p>
          <w:p w:rsidR="00062F6F" w:rsidRPr="00ED01C8" w:rsidRDefault="00D87C93" w:rsidP="00ED01C8">
            <w:pPr>
              <w:numPr>
                <w:ilvl w:val="1"/>
                <w:numId w:val="17"/>
              </w:numPr>
              <w:rPr>
                <w:rFonts w:eastAsiaTheme="minorEastAsia"/>
                <w:lang w:val="en-US" w:eastAsia="zh-CN"/>
              </w:rPr>
            </w:pPr>
            <w:r w:rsidRPr="00ED01C8">
              <w:rPr>
                <w:rFonts w:eastAsiaTheme="minorEastAsia"/>
                <w:lang w:val="en-US" w:eastAsia="zh-CN"/>
              </w:rPr>
              <w:t xml:space="preserve">Option 3) </w:t>
            </w:r>
          </w:p>
          <w:p w:rsidR="00062F6F" w:rsidRPr="00ED01C8" w:rsidRDefault="00D87C93" w:rsidP="00ED01C8">
            <w:pPr>
              <w:numPr>
                <w:ilvl w:val="2"/>
                <w:numId w:val="17"/>
              </w:numPr>
              <w:rPr>
                <w:rFonts w:eastAsiaTheme="minorEastAsia"/>
                <w:lang w:val="en-US" w:eastAsia="zh-CN"/>
              </w:rPr>
            </w:pPr>
            <w:r w:rsidRPr="00ED01C8">
              <w:rPr>
                <w:rFonts w:eastAsiaTheme="minorEastAsia"/>
                <w:lang w:val="en-US" w:eastAsia="zh-CN"/>
              </w:rPr>
              <w:tab/>
              <w:t xml:space="preserve">Upon exceeding the maximum acceptable number of DL LBT failures UE would stop the PSS/SSS detection on the target unlicensed frequency layer, and UE would switch to another carrier for new PSS/SSS detection if this carrier is configured in the </w:t>
            </w:r>
            <w:proofErr w:type="spellStart"/>
            <w:r w:rsidRPr="00ED01C8">
              <w:rPr>
                <w:rFonts w:eastAsiaTheme="minorEastAsia"/>
                <w:lang w:val="en-US" w:eastAsia="zh-CN"/>
              </w:rPr>
              <w:t>MOs.</w:t>
            </w:r>
            <w:proofErr w:type="spellEnd"/>
          </w:p>
          <w:p w:rsidR="00062F6F" w:rsidRPr="00ED01C8" w:rsidRDefault="00D87C93" w:rsidP="00ED01C8">
            <w:pPr>
              <w:numPr>
                <w:ilvl w:val="2"/>
                <w:numId w:val="17"/>
              </w:numPr>
              <w:rPr>
                <w:rFonts w:eastAsiaTheme="minorEastAsia"/>
                <w:lang w:val="en-US" w:eastAsia="zh-CN"/>
              </w:rPr>
            </w:pPr>
            <w:r w:rsidRPr="00ED01C8">
              <w:rPr>
                <w:rFonts w:eastAsiaTheme="minorEastAsia"/>
                <w:lang w:val="en-US" w:eastAsia="zh-CN"/>
              </w:rPr>
              <w:tab/>
              <w:t>RAN4 shall allow UE to stop PSS/SSS detection if UE exceeds the maximum acceptable number of DL LBT failures for PSS/SSS detection on the target carrier and no other MOs are configured from network.</w:t>
            </w:r>
          </w:p>
          <w:p w:rsidR="00ED01C8" w:rsidRPr="00ED01C8" w:rsidRDefault="00ED01C8" w:rsidP="00ED01C8">
            <w:pPr>
              <w:numPr>
                <w:ilvl w:val="0"/>
                <w:numId w:val="17"/>
              </w:numPr>
              <w:rPr>
                <w:rFonts w:eastAsiaTheme="minorEastAsia"/>
                <w:lang w:val="en-US" w:eastAsia="zh-CN"/>
              </w:rPr>
            </w:pPr>
            <w:r w:rsidRPr="00ED01C8">
              <w:rPr>
                <w:rFonts w:eastAsiaTheme="minorEastAsia"/>
                <w:lang w:val="da-DK" w:eastAsia="zh-CN"/>
              </w:rPr>
              <w:t>How to address consecutively missing SSBs for intra and inter-frequency cells</w:t>
            </w:r>
          </w:p>
          <w:p w:rsidR="00062F6F" w:rsidRPr="00ED01C8" w:rsidRDefault="00D87C93" w:rsidP="00ED01C8">
            <w:pPr>
              <w:numPr>
                <w:ilvl w:val="1"/>
                <w:numId w:val="17"/>
              </w:numPr>
              <w:rPr>
                <w:rFonts w:eastAsiaTheme="minorEastAsia"/>
                <w:lang w:val="en-US" w:eastAsia="zh-CN"/>
              </w:rPr>
            </w:pPr>
            <w:r w:rsidRPr="00ED01C8">
              <w:rPr>
                <w:rFonts w:eastAsiaTheme="minorEastAsia"/>
                <w:lang w:eastAsia="zh-CN"/>
              </w:rPr>
              <w:t>A note or clarification is added in the intra-frequency (and inter-frequency) measurement requirements that the requirements apply provided any two closest SSB occasions available at the UE for the measurement shall be separated by no more than the maximum time requirement for the cell to remain known (8 seconds</w:t>
            </w:r>
            <w:r w:rsidRPr="00ED01C8">
              <w:rPr>
                <w:rFonts w:eastAsiaTheme="minorEastAsia"/>
                <w:i/>
                <w:iCs/>
                <w:lang w:eastAsia="zh-CN"/>
              </w:rPr>
              <w:t>)</w:t>
            </w:r>
            <w:r w:rsidRPr="00ED01C8">
              <w:rPr>
                <w:rFonts w:eastAsiaTheme="minorEastAsia"/>
                <w:lang w:eastAsia="zh-CN"/>
              </w:rPr>
              <w:t>, with a reference to the place in TS 38.133 where this is defined.</w:t>
            </w:r>
          </w:p>
          <w:p w:rsidR="00ED01C8" w:rsidRPr="00ED01C8" w:rsidRDefault="00ED01C8" w:rsidP="00ED01C8">
            <w:pPr>
              <w:numPr>
                <w:ilvl w:val="0"/>
                <w:numId w:val="17"/>
              </w:numPr>
              <w:rPr>
                <w:rFonts w:eastAsiaTheme="minorEastAsia"/>
                <w:lang w:val="en-US" w:eastAsia="zh-CN"/>
              </w:rPr>
            </w:pPr>
            <w:r w:rsidRPr="00ED01C8">
              <w:rPr>
                <w:rFonts w:eastAsiaTheme="minorEastAsia"/>
                <w:lang w:eastAsia="zh-CN"/>
              </w:rPr>
              <w:t xml:space="preserve">How to consider the </w:t>
            </w:r>
            <w:proofErr w:type="spellStart"/>
            <w:r w:rsidRPr="00ED01C8">
              <w:rPr>
                <w:rFonts w:eastAsiaTheme="minorEastAsia"/>
                <w:lang w:eastAsia="zh-CN"/>
              </w:rPr>
              <w:t>QCLed</w:t>
            </w:r>
            <w:proofErr w:type="spellEnd"/>
            <w:r w:rsidRPr="00ED01C8">
              <w:rPr>
                <w:rFonts w:eastAsiaTheme="minorEastAsia"/>
                <w:lang w:eastAsia="zh-CN"/>
              </w:rPr>
              <w:t xml:space="preserve"> beams during cell identification stage</w:t>
            </w:r>
          </w:p>
          <w:p w:rsidR="00062F6F" w:rsidRPr="00ED01C8" w:rsidRDefault="00D87C93" w:rsidP="00ED01C8">
            <w:pPr>
              <w:numPr>
                <w:ilvl w:val="1"/>
                <w:numId w:val="17"/>
              </w:numPr>
              <w:rPr>
                <w:rFonts w:eastAsiaTheme="minorEastAsia"/>
                <w:lang w:val="en-US" w:eastAsia="zh-CN"/>
              </w:rPr>
            </w:pPr>
            <w:r w:rsidRPr="00ED01C8">
              <w:rPr>
                <w:rFonts w:eastAsiaTheme="minorEastAsia"/>
                <w:lang w:eastAsia="zh-CN"/>
              </w:rPr>
              <w:t>At least one SSB index in the same SSB position index shall be detectable, as specified in clause 9.2A.2, in the time period for PSS/SSS detection.</w:t>
            </w:r>
          </w:p>
          <w:p w:rsidR="00ED01C8" w:rsidRPr="00ED01C8" w:rsidRDefault="00ED01C8" w:rsidP="00ED01C8">
            <w:pPr>
              <w:numPr>
                <w:ilvl w:val="0"/>
                <w:numId w:val="17"/>
              </w:numPr>
              <w:rPr>
                <w:rFonts w:eastAsiaTheme="minorEastAsia"/>
                <w:lang w:val="en-US" w:eastAsia="zh-CN"/>
              </w:rPr>
            </w:pPr>
            <w:r w:rsidRPr="00ED01C8">
              <w:rPr>
                <w:rFonts w:eastAsiaTheme="minorEastAsia"/>
                <w:lang w:eastAsia="zh-CN"/>
              </w:rPr>
              <w:t>UE behaviour in case of successive DL LBT failures during measurements.</w:t>
            </w:r>
          </w:p>
          <w:p w:rsidR="00062F6F" w:rsidRPr="00ED01C8" w:rsidRDefault="00D87C93" w:rsidP="00ED01C8">
            <w:pPr>
              <w:ind w:left="560" w:firstLineChars="100" w:firstLine="200"/>
              <w:rPr>
                <w:rFonts w:eastAsiaTheme="minorEastAsia"/>
                <w:lang w:val="en-US" w:eastAsia="zh-CN"/>
              </w:rPr>
            </w:pPr>
            <w:r w:rsidRPr="00ED01C8">
              <w:rPr>
                <w:rFonts w:eastAsiaTheme="minorEastAsia"/>
                <w:lang w:val="en-US" w:eastAsia="zh-CN"/>
              </w:rPr>
              <w:t xml:space="preserve">Option 1) After </w:t>
            </w:r>
            <w:proofErr w:type="spellStart"/>
            <w:r w:rsidRPr="00ED01C8">
              <w:rPr>
                <w:rFonts w:eastAsiaTheme="minorEastAsia"/>
                <w:lang w:val="en-US" w:eastAsia="zh-CN"/>
              </w:rPr>
              <w:t>N</w:t>
            </w:r>
            <w:proofErr w:type="spellEnd"/>
            <w:r w:rsidRPr="00ED01C8">
              <w:rPr>
                <w:rFonts w:eastAsiaTheme="minorEastAsia"/>
                <w:lang w:val="en-US" w:eastAsia="zh-CN"/>
              </w:rPr>
              <w:t xml:space="preserve"> unsuccessful measurement attempts due to exceeding the max number of unavailable SMTC occasions, UE should restart from the detection stage again. Value of N can be further discussed in RAN4. </w:t>
            </w:r>
          </w:p>
          <w:p w:rsidR="00062F6F" w:rsidRPr="00ED01C8" w:rsidRDefault="00D87C93" w:rsidP="00ED01C8">
            <w:pPr>
              <w:ind w:leftChars="280" w:left="560" w:firstLineChars="100" w:firstLine="200"/>
              <w:rPr>
                <w:rFonts w:eastAsiaTheme="minorEastAsia"/>
                <w:lang w:val="en-US" w:eastAsia="zh-CN"/>
              </w:rPr>
            </w:pPr>
            <w:r w:rsidRPr="00ED01C8">
              <w:rPr>
                <w:rFonts w:eastAsiaTheme="minorEastAsia"/>
                <w:lang w:val="en-US" w:eastAsia="zh-CN"/>
              </w:rPr>
              <w:t>Option 3) No new UE behavior is needed.</w:t>
            </w:r>
          </w:p>
          <w:p w:rsidR="00ED01C8" w:rsidRPr="00ED01C8" w:rsidRDefault="00ED01C8" w:rsidP="00ED01C8">
            <w:pPr>
              <w:numPr>
                <w:ilvl w:val="0"/>
                <w:numId w:val="17"/>
              </w:numPr>
              <w:rPr>
                <w:rFonts w:eastAsiaTheme="minorEastAsia"/>
                <w:lang w:val="en-US" w:eastAsia="zh-CN"/>
              </w:rPr>
            </w:pPr>
          </w:p>
        </w:tc>
      </w:tr>
    </w:tbl>
    <w:p w:rsidR="00451285" w:rsidRDefault="00451285" w:rsidP="001C4FEE">
      <w:pPr>
        <w:rPr>
          <w:rFonts w:eastAsiaTheme="minorEastAsia"/>
          <w:lang w:val="en-US" w:eastAsia="zh-CN"/>
        </w:rPr>
      </w:pPr>
    </w:p>
    <w:p w:rsidR="00406B4F" w:rsidRPr="00406B4F" w:rsidRDefault="00900196" w:rsidP="001C4FEE">
      <w:pPr>
        <w:rPr>
          <w:rFonts w:eastAsiaTheme="minorEastAsia"/>
          <w:b/>
          <w:u w:val="single"/>
          <w:lang w:val="en-US" w:eastAsia="zh-CN"/>
        </w:rPr>
      </w:pPr>
      <w:r w:rsidRPr="00406B4F">
        <w:rPr>
          <w:rFonts w:eastAsiaTheme="minorEastAsia" w:hint="eastAsia"/>
          <w:b/>
          <w:u w:val="single"/>
          <w:lang w:val="en-US" w:eastAsia="zh-CN"/>
        </w:rPr>
        <w:t>R</w:t>
      </w:r>
      <w:r w:rsidRPr="00406B4F">
        <w:rPr>
          <w:rFonts w:eastAsiaTheme="minorEastAsia"/>
          <w:b/>
          <w:u w:val="single"/>
          <w:lang w:val="en-US" w:eastAsia="zh-CN"/>
        </w:rPr>
        <w:t>eporting delay</w:t>
      </w:r>
    </w:p>
    <w:p w:rsidR="00900196" w:rsidRDefault="00900196" w:rsidP="001C4FEE">
      <w:pPr>
        <w:rPr>
          <w:rFonts w:eastAsiaTheme="minorEastAsia"/>
          <w:lang w:val="en-US" w:eastAsia="zh-CN"/>
        </w:rPr>
      </w:pPr>
      <w:r>
        <w:rPr>
          <w:rFonts w:eastAsiaTheme="minorEastAsia"/>
          <w:lang w:val="en-US" w:eastAsia="zh-CN"/>
        </w:rPr>
        <w:t>It could be observed from LS from RAN2 [2]</w:t>
      </w:r>
      <w:r w:rsidR="00A23D20">
        <w:rPr>
          <w:rFonts w:eastAsiaTheme="minorEastAsia"/>
          <w:lang w:val="en-US" w:eastAsia="zh-CN"/>
        </w:rPr>
        <w:t xml:space="preserve"> that it is not feasible from RAN2’s perspective to drop the measurement reports due to reporting delay caused by LBT failure. Therefore, there is no need to extend the reporting delay or defining particular UE behavior</w:t>
      </w:r>
      <w:r w:rsidR="0028346D">
        <w:rPr>
          <w:rFonts w:eastAsiaTheme="minorEastAsia"/>
          <w:lang w:val="en-US" w:eastAsia="zh-CN"/>
        </w:rPr>
        <w:t xml:space="preserve"> due to UL LBT failure. For event-triggered periodic and periodic reporting delay, the same definition shall be adopted as in Rel-15, which is the option 1 in the WF. </w:t>
      </w:r>
    </w:p>
    <w:p w:rsidR="0028346D" w:rsidRPr="00406B4F" w:rsidRDefault="0028346D" w:rsidP="001C4FEE">
      <w:pPr>
        <w:rPr>
          <w:rFonts w:eastAsiaTheme="minorEastAsia"/>
          <w:b/>
          <w:lang w:val="en-US" w:eastAsia="zh-CN"/>
        </w:rPr>
      </w:pPr>
      <w:r w:rsidRPr="00406B4F">
        <w:rPr>
          <w:rFonts w:eastAsiaTheme="minorEastAsia"/>
          <w:b/>
          <w:lang w:val="en-US" w:eastAsia="zh-CN"/>
        </w:rPr>
        <w:t>Proposal 1: For event-triggered periodic and periodic reporting delay, the same definition shall be adopted as in Rel-15.</w:t>
      </w:r>
    </w:p>
    <w:p w:rsidR="00ED01C8" w:rsidRDefault="0028346D" w:rsidP="001C4FEE">
      <w:pPr>
        <w:rPr>
          <w:rFonts w:eastAsiaTheme="minorEastAsia"/>
          <w:lang w:val="en-US" w:eastAsia="zh-CN"/>
        </w:rPr>
      </w:pPr>
      <w:r>
        <w:rPr>
          <w:rFonts w:eastAsiaTheme="minorEastAsia"/>
          <w:lang w:val="en-US" w:eastAsia="zh-CN"/>
        </w:rPr>
        <w:t xml:space="preserve">For event-triggered reporting, </w:t>
      </w:r>
      <w:r w:rsidR="00406B4F">
        <w:rPr>
          <w:rFonts w:eastAsiaTheme="minorEastAsia"/>
          <w:lang w:val="en-US" w:eastAsia="zh-CN"/>
        </w:rPr>
        <w:t>accordingly, only necessary clarifications are need. We updating the wording of event-triggered reporting delay in our accompanied CR [3] for intra-frequency measurements as follows:</w:t>
      </w:r>
    </w:p>
    <w:p w:rsidR="00406B4F" w:rsidRPr="00406B4F" w:rsidRDefault="00406B4F" w:rsidP="001C4FEE">
      <w:pPr>
        <w:rPr>
          <w:rFonts w:eastAsiaTheme="minorEastAsia"/>
          <w:i/>
          <w:lang w:val="en-US" w:eastAsia="zh-CN"/>
        </w:rPr>
      </w:pPr>
      <w:r w:rsidRPr="00406B4F">
        <w:rPr>
          <w:rFonts w:eastAsiaTheme="minorEastAsia"/>
          <w:i/>
          <w:lang w:val="en-US" w:eastAsia="zh-CN"/>
        </w:rPr>
        <w:t>“</w:t>
      </w:r>
      <w:r w:rsidRPr="00406B4F">
        <w:rPr>
          <w:i/>
        </w:rPr>
        <w:t>This measurement reporting delay excludes a delay which caused by no UL resources being available for UE and/or by UL CCA to send the measurement report on.</w:t>
      </w:r>
      <w:r w:rsidRPr="00406B4F">
        <w:rPr>
          <w:rFonts w:eastAsiaTheme="minorEastAsia"/>
          <w:i/>
          <w:lang w:val="en-US" w:eastAsia="zh-CN"/>
        </w:rPr>
        <w:t>”</w:t>
      </w:r>
    </w:p>
    <w:p w:rsidR="00ED01C8" w:rsidRPr="00406B4F" w:rsidRDefault="00406B4F" w:rsidP="001C4FEE">
      <w:pPr>
        <w:rPr>
          <w:rFonts w:eastAsiaTheme="minorEastAsia"/>
          <w:b/>
          <w:lang w:val="en-US" w:eastAsia="zh-CN"/>
        </w:rPr>
      </w:pPr>
      <w:r w:rsidRPr="00406B4F">
        <w:rPr>
          <w:rFonts w:eastAsiaTheme="minorEastAsia" w:hint="eastAsia"/>
          <w:b/>
          <w:lang w:val="en-US" w:eastAsia="zh-CN"/>
        </w:rPr>
        <w:t xml:space="preserve">Proposal 2: </w:t>
      </w:r>
      <w:r w:rsidRPr="00406B4F">
        <w:rPr>
          <w:rFonts w:eastAsiaTheme="minorEastAsia"/>
          <w:b/>
          <w:lang w:val="en-US" w:eastAsia="zh-CN"/>
        </w:rPr>
        <w:t xml:space="preserve">For event-triggered reporting, the </w:t>
      </w:r>
      <w:r w:rsidRPr="00406B4F">
        <w:rPr>
          <w:b/>
        </w:rPr>
        <w:t>measurement reporting delay excludes a delay which caused by no UL resources being available for UE and/or by UL CCA to send the measurement report on</w:t>
      </w:r>
    </w:p>
    <w:p w:rsidR="00406B4F" w:rsidRDefault="00406B4F" w:rsidP="001C4FEE">
      <w:pPr>
        <w:rPr>
          <w:rFonts w:eastAsiaTheme="minorEastAsia"/>
          <w:b/>
          <w:u w:val="single"/>
          <w:lang w:eastAsia="zh-CN"/>
        </w:rPr>
      </w:pPr>
    </w:p>
    <w:p w:rsidR="00095A2E" w:rsidRDefault="00095A2E" w:rsidP="001C4FEE">
      <w:pPr>
        <w:rPr>
          <w:rFonts w:eastAsiaTheme="minorEastAsia"/>
          <w:b/>
          <w:u w:val="single"/>
          <w:lang w:eastAsia="zh-CN"/>
        </w:rPr>
      </w:pPr>
    </w:p>
    <w:p w:rsidR="00406B4F" w:rsidRPr="00095A2E" w:rsidRDefault="00406B4F" w:rsidP="001C4FEE">
      <w:pPr>
        <w:rPr>
          <w:rFonts w:eastAsiaTheme="minorEastAsia"/>
          <w:b/>
          <w:u w:val="single"/>
          <w:lang w:eastAsia="zh-CN"/>
        </w:rPr>
      </w:pPr>
      <w:r w:rsidRPr="00406B4F">
        <w:rPr>
          <w:rFonts w:eastAsiaTheme="minorEastAsia"/>
          <w:b/>
          <w:u w:val="single"/>
          <w:lang w:eastAsia="zh-CN"/>
        </w:rPr>
        <w:t xml:space="preserve">UE </w:t>
      </w:r>
      <w:proofErr w:type="spellStart"/>
      <w:r w:rsidRPr="00406B4F">
        <w:rPr>
          <w:rFonts w:eastAsiaTheme="minorEastAsia"/>
          <w:b/>
          <w:u w:val="single"/>
          <w:lang w:eastAsia="zh-CN"/>
        </w:rPr>
        <w:t>behavior</w:t>
      </w:r>
      <w:proofErr w:type="spellEnd"/>
      <w:r w:rsidRPr="00406B4F">
        <w:rPr>
          <w:rFonts w:eastAsiaTheme="minorEastAsia"/>
          <w:b/>
          <w:u w:val="single"/>
          <w:lang w:eastAsia="zh-CN"/>
        </w:rPr>
        <w:t xml:space="preserve"> upon exceeding the maximum number of DL LBT failures during PSS/SSS detection</w:t>
      </w:r>
    </w:p>
    <w:p w:rsidR="0050339C" w:rsidRDefault="000A178A" w:rsidP="000A178A">
      <w:pPr>
        <w:rPr>
          <w:rFonts w:eastAsiaTheme="minorEastAsia"/>
          <w:lang w:eastAsia="zh-CN"/>
        </w:rPr>
      </w:pPr>
      <w:r>
        <w:rPr>
          <w:rFonts w:eastAsiaTheme="minorEastAsia"/>
          <w:lang w:eastAsia="zh-CN"/>
        </w:rPr>
        <w:t>In Rel-15, it is implementation specific for UE to switch to other carriers since we have CSSF.</w:t>
      </w:r>
      <w:r>
        <w:rPr>
          <w:rFonts w:eastAsiaTheme="minorEastAsia" w:hint="eastAsia"/>
          <w:vertAlign w:val="subscript"/>
          <w:lang w:eastAsia="zh-CN"/>
        </w:rPr>
        <w:t xml:space="preserve"> </w:t>
      </w:r>
      <w:r>
        <w:rPr>
          <w:rFonts w:eastAsiaTheme="minorEastAsia"/>
          <w:lang w:eastAsia="zh-CN"/>
        </w:rPr>
        <w:t>Thus w</w:t>
      </w:r>
      <w:r w:rsidR="00406B4F" w:rsidRPr="00406B4F">
        <w:rPr>
          <w:rFonts w:eastAsiaTheme="minorEastAsia"/>
          <w:lang w:eastAsia="zh-CN"/>
        </w:rPr>
        <w:t>hen exceeding the maximum number of DL LBT failure during PSS/SSS detection,</w:t>
      </w:r>
      <w:r w:rsidR="00406B4F">
        <w:rPr>
          <w:rFonts w:eastAsiaTheme="minorEastAsia"/>
          <w:lang w:eastAsia="zh-CN"/>
        </w:rPr>
        <w:t xml:space="preserve"> where</w:t>
      </w:r>
      <w:r w:rsidR="00406B4F" w:rsidRPr="00406B4F">
        <w:rPr>
          <w:rFonts w:eastAsiaTheme="minorEastAsia"/>
          <w:lang w:eastAsia="zh-CN"/>
        </w:rPr>
        <w:t xml:space="preserve"> L</w:t>
      </w:r>
      <w:r w:rsidR="00406B4F" w:rsidRPr="00406B4F">
        <w:rPr>
          <w:rFonts w:eastAsiaTheme="minorEastAsia"/>
          <w:vertAlign w:val="subscript"/>
          <w:lang w:eastAsia="zh-CN"/>
        </w:rPr>
        <w:t>PSS/</w:t>
      </w:r>
      <w:proofErr w:type="spellStart"/>
      <w:r w:rsidR="00406B4F" w:rsidRPr="00406B4F">
        <w:rPr>
          <w:rFonts w:eastAsiaTheme="minorEastAsia"/>
          <w:vertAlign w:val="subscript"/>
          <w:lang w:eastAsia="zh-CN"/>
        </w:rPr>
        <w:t>SSS</w:t>
      </w:r>
      <w:proofErr w:type="gramStart"/>
      <w:r w:rsidR="00406B4F" w:rsidRPr="00406B4F">
        <w:rPr>
          <w:rFonts w:eastAsiaTheme="minorEastAsia"/>
          <w:vertAlign w:val="subscript"/>
          <w:lang w:eastAsia="zh-CN"/>
        </w:rPr>
        <w:t>,max</w:t>
      </w:r>
      <w:proofErr w:type="spellEnd"/>
      <w:proofErr w:type="gramEnd"/>
      <w:r w:rsidR="00406B4F" w:rsidRPr="00406B4F">
        <w:rPr>
          <w:rFonts w:eastAsiaTheme="minorEastAsia"/>
          <w:lang w:eastAsia="zh-CN"/>
        </w:rPr>
        <w:t xml:space="preserve"> is </w:t>
      </w:r>
      <w:r w:rsidR="00406B4F">
        <w:rPr>
          <w:rFonts w:eastAsiaTheme="minorEastAsia"/>
          <w:lang w:eastAsia="zh-CN"/>
        </w:rPr>
        <w:t xml:space="preserve">still FFS, </w:t>
      </w:r>
      <w:r>
        <w:rPr>
          <w:rFonts w:eastAsiaTheme="minorEastAsia"/>
          <w:lang w:eastAsia="zh-CN"/>
        </w:rPr>
        <w:t>there is no need to define new UE behaviour, and it shall be up to UE implementation.</w:t>
      </w:r>
    </w:p>
    <w:p w:rsidR="000A178A" w:rsidRPr="003B294E" w:rsidRDefault="000A178A" w:rsidP="000A178A">
      <w:pPr>
        <w:rPr>
          <w:rFonts w:eastAsiaTheme="minorEastAsia"/>
          <w:b/>
          <w:lang w:eastAsia="zh-CN"/>
        </w:rPr>
      </w:pPr>
      <w:r w:rsidRPr="003B294E">
        <w:rPr>
          <w:rFonts w:eastAsiaTheme="minorEastAsia"/>
          <w:b/>
          <w:lang w:eastAsia="zh-CN"/>
        </w:rPr>
        <w:t xml:space="preserve">Proposal </w:t>
      </w:r>
      <w:r w:rsidR="00A23689">
        <w:rPr>
          <w:rFonts w:eastAsiaTheme="minorEastAsia"/>
          <w:b/>
          <w:lang w:eastAsia="zh-CN"/>
        </w:rPr>
        <w:t>3</w:t>
      </w:r>
      <w:r w:rsidRPr="003B294E">
        <w:rPr>
          <w:rFonts w:eastAsiaTheme="minorEastAsia"/>
          <w:b/>
          <w:lang w:eastAsia="zh-CN"/>
        </w:rPr>
        <w:t>: There is no need to define new UE behaviour during the PSS/SSS detection.</w:t>
      </w:r>
    </w:p>
    <w:p w:rsidR="00095A2E" w:rsidRDefault="00095A2E" w:rsidP="000A178A">
      <w:pPr>
        <w:rPr>
          <w:rFonts w:eastAsiaTheme="minorEastAsia"/>
          <w:b/>
          <w:u w:val="single"/>
          <w:lang w:eastAsia="zh-CN"/>
        </w:rPr>
      </w:pPr>
    </w:p>
    <w:p w:rsidR="000A178A" w:rsidRDefault="003B294E" w:rsidP="000A178A">
      <w:pPr>
        <w:rPr>
          <w:rFonts w:eastAsiaTheme="minorEastAsia"/>
          <w:b/>
          <w:u w:val="single"/>
          <w:lang w:eastAsia="zh-CN"/>
        </w:rPr>
      </w:pPr>
      <w:r w:rsidRPr="003B294E">
        <w:rPr>
          <w:rFonts w:eastAsiaTheme="minorEastAsia"/>
          <w:b/>
          <w:u w:val="single"/>
          <w:lang w:eastAsia="zh-CN"/>
        </w:rPr>
        <w:t>How to address consecutively missing SSBs for intra and inter-frequency cells</w:t>
      </w:r>
    </w:p>
    <w:p w:rsidR="00095A2E" w:rsidRDefault="003B294E" w:rsidP="000A178A">
      <w:pPr>
        <w:rPr>
          <w:rFonts w:eastAsiaTheme="minorEastAsia"/>
          <w:lang w:eastAsia="zh-CN"/>
        </w:rPr>
      </w:pPr>
      <w:r w:rsidRPr="003B294E">
        <w:rPr>
          <w:rFonts w:eastAsiaTheme="minorEastAsia"/>
          <w:lang w:eastAsia="zh-CN"/>
        </w:rPr>
        <w:t>As discussed in the last meeting, it is preferred to refer to the maximum time for the cell to remain known to address this issues.</w:t>
      </w:r>
      <w:r>
        <w:rPr>
          <w:rFonts w:eastAsiaTheme="minorEastAsia"/>
          <w:lang w:eastAsia="zh-CN"/>
        </w:rPr>
        <w:t xml:space="preserve"> Thus, </w:t>
      </w:r>
      <w:r w:rsidR="00095A2E">
        <w:rPr>
          <w:rFonts w:eastAsiaTheme="minorEastAsia"/>
          <w:lang w:eastAsia="zh-CN"/>
        </w:rPr>
        <w:t xml:space="preserve">we present the clarification in the accompanied CR [3] as </w:t>
      </w:r>
    </w:p>
    <w:p w:rsidR="00095A2E" w:rsidRDefault="00095A2E" w:rsidP="00095A2E">
      <w:pPr>
        <w:ind w:left="568"/>
        <w:rPr>
          <w:rFonts w:eastAsiaTheme="minorEastAsia"/>
          <w:i/>
          <w:lang w:eastAsia="zh-CN"/>
        </w:rPr>
      </w:pPr>
      <w:r w:rsidRPr="00095A2E">
        <w:rPr>
          <w:rFonts w:eastAsiaTheme="minorEastAsia"/>
          <w:i/>
          <w:lang w:eastAsia="zh-CN"/>
        </w:rPr>
        <w:t>“</w:t>
      </w:r>
      <w:r w:rsidRPr="00095A2E">
        <w:rPr>
          <w:i/>
        </w:rPr>
        <w:t>The requirements apply provided any two closest SSB occasions available at the UE for the measurement shall be separated by no more than the maximum time requirement for the cell to remain known defined in clause 9.2A.4.3.</w:t>
      </w:r>
      <w:r w:rsidRPr="00095A2E">
        <w:rPr>
          <w:rFonts w:eastAsiaTheme="minorEastAsia"/>
          <w:i/>
          <w:lang w:eastAsia="zh-CN"/>
        </w:rPr>
        <w:t>”</w:t>
      </w:r>
    </w:p>
    <w:p w:rsidR="00095A2E" w:rsidRDefault="00095A2E" w:rsidP="00095A2E">
      <w:pPr>
        <w:rPr>
          <w:rFonts w:eastAsiaTheme="minorEastAsia"/>
          <w:b/>
          <w:lang w:eastAsia="zh-CN"/>
        </w:rPr>
      </w:pPr>
      <w:r w:rsidRPr="00095A2E">
        <w:rPr>
          <w:rFonts w:eastAsiaTheme="minorEastAsia"/>
          <w:b/>
          <w:lang w:eastAsia="zh-CN"/>
        </w:rPr>
        <w:t xml:space="preserve">Proposal </w:t>
      </w:r>
      <w:r w:rsidR="00A23689">
        <w:rPr>
          <w:rFonts w:eastAsiaTheme="minorEastAsia"/>
          <w:b/>
          <w:lang w:eastAsia="zh-CN"/>
        </w:rPr>
        <w:t>4</w:t>
      </w:r>
      <w:r w:rsidRPr="00095A2E">
        <w:rPr>
          <w:rFonts w:eastAsiaTheme="minorEastAsia"/>
          <w:b/>
          <w:lang w:eastAsia="zh-CN"/>
        </w:rPr>
        <w:t>: For intra-frequency measurement, the requirements apply provided any two closest SSB occasions available at the UE for the measurement shall be separated by no more than the maximum time requirement for the cell to remain known defined in clause 9.2A.4.3.</w:t>
      </w:r>
    </w:p>
    <w:p w:rsidR="004B5042" w:rsidRPr="00F10730" w:rsidRDefault="004B5042" w:rsidP="004B5042">
      <w:pPr>
        <w:rPr>
          <w:rFonts w:eastAsiaTheme="minorEastAsia"/>
          <w:b/>
          <w:u w:val="single"/>
          <w:lang w:eastAsia="zh-CN"/>
        </w:rPr>
      </w:pPr>
      <w:r w:rsidRPr="00F10730">
        <w:rPr>
          <w:rFonts w:eastAsiaTheme="minorEastAsia"/>
          <w:b/>
          <w:u w:val="single"/>
          <w:lang w:eastAsia="zh-CN"/>
        </w:rPr>
        <w:t>Inter-RAT SFTD</w:t>
      </w:r>
    </w:p>
    <w:p w:rsidR="004B5042" w:rsidRDefault="004B5042" w:rsidP="004B5042">
      <w:pPr>
        <w:rPr>
          <w:rFonts w:eastAsiaTheme="minorEastAsia"/>
          <w:lang w:eastAsia="zh-CN"/>
        </w:rPr>
      </w:pPr>
      <w:r w:rsidRPr="00A00FE9">
        <w:rPr>
          <w:rFonts w:eastAsiaTheme="minorEastAsia"/>
          <w:lang w:eastAsia="zh-CN"/>
        </w:rPr>
        <w:t xml:space="preserve">Based on the discussion of last meeting, </w:t>
      </w:r>
      <w:r>
        <w:rPr>
          <w:rFonts w:eastAsiaTheme="minorEastAsia"/>
          <w:lang w:eastAsia="zh-CN"/>
        </w:rPr>
        <w:t>the remaining issues of inter-RAT SFTD measurement is how to extend the measurement period:</w:t>
      </w:r>
    </w:p>
    <w:tbl>
      <w:tblPr>
        <w:tblStyle w:val="a7"/>
        <w:tblW w:w="0" w:type="auto"/>
        <w:tblLook w:val="04A0" w:firstRow="1" w:lastRow="0" w:firstColumn="1" w:lastColumn="0" w:noHBand="0" w:noVBand="1"/>
      </w:tblPr>
      <w:tblGrid>
        <w:gridCol w:w="9562"/>
      </w:tblGrid>
      <w:tr w:rsidR="004B5042" w:rsidTr="00491B2D">
        <w:tc>
          <w:tcPr>
            <w:tcW w:w="9562" w:type="dxa"/>
          </w:tcPr>
          <w:p w:rsidR="004B5042" w:rsidRPr="00A00FE9" w:rsidRDefault="004B5042" w:rsidP="00491B2D">
            <w:pPr>
              <w:numPr>
                <w:ilvl w:val="0"/>
                <w:numId w:val="26"/>
              </w:numPr>
              <w:rPr>
                <w:rFonts w:eastAsiaTheme="minorEastAsia"/>
                <w:lang w:val="en-US" w:eastAsia="zh-CN"/>
              </w:rPr>
            </w:pPr>
            <w:r w:rsidRPr="00A00FE9">
              <w:rPr>
                <w:rFonts w:eastAsiaTheme="minorEastAsia"/>
                <w:lang w:val="en-US" w:eastAsia="zh-CN"/>
              </w:rPr>
              <w:tab/>
              <w:t>Option 1: k = 6</w:t>
            </w:r>
          </w:p>
          <w:p w:rsidR="004B5042" w:rsidRPr="00A00FE9" w:rsidRDefault="004B5042" w:rsidP="00491B2D">
            <w:pPr>
              <w:numPr>
                <w:ilvl w:val="0"/>
                <w:numId w:val="26"/>
              </w:numPr>
              <w:rPr>
                <w:rFonts w:eastAsiaTheme="minorEastAsia"/>
                <w:lang w:val="en-US" w:eastAsia="zh-CN"/>
              </w:rPr>
            </w:pPr>
            <w:r w:rsidRPr="00A00FE9">
              <w:rPr>
                <w:rFonts w:eastAsiaTheme="minorEastAsia"/>
                <w:lang w:val="en-US" w:eastAsia="zh-CN"/>
              </w:rPr>
              <w:tab/>
              <w:t>Option 2: k =2</w:t>
            </w:r>
          </w:p>
        </w:tc>
      </w:tr>
    </w:tbl>
    <w:p w:rsidR="004B5042" w:rsidRDefault="004B5042" w:rsidP="004B5042">
      <w:pPr>
        <w:rPr>
          <w:rFonts w:eastAsiaTheme="minorEastAsia"/>
          <w:lang w:eastAsia="zh-CN"/>
        </w:rPr>
      </w:pPr>
    </w:p>
    <w:p w:rsidR="004B5042" w:rsidRDefault="004B5042" w:rsidP="004B5042">
      <w:pPr>
        <w:rPr>
          <w:rFonts w:eastAsiaTheme="minorEastAsia"/>
          <w:lang w:eastAsia="zh-CN"/>
        </w:rPr>
      </w:pPr>
      <w:r>
        <w:rPr>
          <w:rFonts w:eastAsiaTheme="minorEastAsia" w:hint="eastAsia"/>
          <w:lang w:eastAsia="zh-CN"/>
        </w:rPr>
        <w:t>F</w:t>
      </w:r>
      <w:r>
        <w:rPr>
          <w:rFonts w:eastAsiaTheme="minorEastAsia"/>
          <w:lang w:eastAsia="zh-CN"/>
        </w:rPr>
        <w:t>rom our understanding, the SFTD measurement is for addition information for NW, which means it shall not lead too much power consumptions for UE. Thus we prefer Option 2 for inter-RAT SFTD.</w:t>
      </w:r>
    </w:p>
    <w:p w:rsidR="004B5042" w:rsidRPr="00F10730" w:rsidRDefault="004B5042" w:rsidP="004B5042">
      <w:pPr>
        <w:rPr>
          <w:rFonts w:eastAsiaTheme="minorEastAsia"/>
          <w:b/>
          <w:lang w:eastAsia="zh-CN"/>
        </w:rPr>
      </w:pPr>
      <w:r w:rsidRPr="00F10730">
        <w:rPr>
          <w:rFonts w:eastAsiaTheme="minorEastAsia"/>
          <w:b/>
          <w:lang w:eastAsia="zh-CN"/>
        </w:rPr>
        <w:t>Proposal 5: K=2 for inter-RAT SFTD measurement.</w:t>
      </w:r>
    </w:p>
    <w:p w:rsidR="00A00FE9" w:rsidRPr="004B5042" w:rsidRDefault="00A00FE9" w:rsidP="00095A2E">
      <w:pPr>
        <w:rPr>
          <w:rFonts w:eastAsiaTheme="minorEastAsia"/>
          <w:lang w:eastAsia="zh-CN"/>
        </w:rPr>
      </w:pPr>
    </w:p>
    <w:p w:rsidR="00095A2E" w:rsidRDefault="00095A2E" w:rsidP="00095A2E">
      <w:pPr>
        <w:pStyle w:val="1"/>
        <w:numPr>
          <w:ilvl w:val="0"/>
          <w:numId w:val="1"/>
        </w:numPr>
        <w:rPr>
          <w:lang w:val="en-US"/>
        </w:rPr>
      </w:pPr>
      <w:r>
        <w:rPr>
          <w:lang w:val="en-US"/>
        </w:rPr>
        <w:t>Conclusions</w:t>
      </w:r>
    </w:p>
    <w:p w:rsidR="00095A2E" w:rsidRDefault="00095A2E" w:rsidP="00095A2E">
      <w:pPr>
        <w:rPr>
          <w:rFonts w:eastAsiaTheme="minorEastAsia"/>
          <w:b/>
          <w:lang w:val="en-US" w:eastAsia="zh-CN"/>
        </w:rPr>
      </w:pPr>
      <w:r w:rsidRPr="00095A2E">
        <w:rPr>
          <w:rFonts w:eastAsiaTheme="minorEastAsia"/>
          <w:b/>
          <w:lang w:val="en-US" w:eastAsia="zh-CN"/>
        </w:rPr>
        <w:t>Proposal 1: For event-triggered periodic and periodic reporting delay, the same definition shall be adopted as in Rel-15.</w:t>
      </w:r>
    </w:p>
    <w:p w:rsidR="00095A2E" w:rsidRPr="00406B4F" w:rsidRDefault="00095A2E" w:rsidP="00095A2E">
      <w:pPr>
        <w:rPr>
          <w:rFonts w:eastAsiaTheme="minorEastAsia"/>
          <w:b/>
          <w:lang w:val="en-US" w:eastAsia="zh-CN"/>
        </w:rPr>
      </w:pPr>
      <w:r w:rsidRPr="00406B4F">
        <w:rPr>
          <w:rFonts w:eastAsiaTheme="minorEastAsia" w:hint="eastAsia"/>
          <w:b/>
          <w:lang w:val="en-US" w:eastAsia="zh-CN"/>
        </w:rPr>
        <w:t xml:space="preserve">Proposal 2: </w:t>
      </w:r>
      <w:r w:rsidRPr="00406B4F">
        <w:rPr>
          <w:rFonts w:eastAsiaTheme="minorEastAsia"/>
          <w:b/>
          <w:lang w:val="en-US" w:eastAsia="zh-CN"/>
        </w:rPr>
        <w:t xml:space="preserve">For event-triggered reporting, the </w:t>
      </w:r>
      <w:r w:rsidRPr="00406B4F">
        <w:rPr>
          <w:b/>
        </w:rPr>
        <w:t>measurement reporting delay excludes a delay which caused by no UL resources being available for UE and/or by UL CCA to send the measurement report on</w:t>
      </w:r>
    </w:p>
    <w:p w:rsidR="00095A2E" w:rsidRPr="003B294E" w:rsidRDefault="00095A2E" w:rsidP="00095A2E">
      <w:pPr>
        <w:rPr>
          <w:rFonts w:eastAsiaTheme="minorEastAsia"/>
          <w:b/>
          <w:lang w:eastAsia="zh-CN"/>
        </w:rPr>
      </w:pPr>
      <w:r w:rsidRPr="003B294E">
        <w:rPr>
          <w:rFonts w:eastAsiaTheme="minorEastAsia"/>
          <w:b/>
          <w:lang w:eastAsia="zh-CN"/>
        </w:rPr>
        <w:t xml:space="preserve">Proposal </w:t>
      </w:r>
      <w:r w:rsidR="00A23689">
        <w:rPr>
          <w:rFonts w:eastAsiaTheme="minorEastAsia"/>
          <w:b/>
          <w:lang w:eastAsia="zh-CN"/>
        </w:rPr>
        <w:t>3</w:t>
      </w:r>
      <w:r w:rsidRPr="003B294E">
        <w:rPr>
          <w:rFonts w:eastAsiaTheme="minorEastAsia"/>
          <w:b/>
          <w:lang w:eastAsia="zh-CN"/>
        </w:rPr>
        <w:t>: There is no need to define new UE behaviour during the PSS/SSS detection.</w:t>
      </w:r>
    </w:p>
    <w:p w:rsidR="00095A2E" w:rsidRDefault="00095A2E" w:rsidP="00095A2E">
      <w:pPr>
        <w:rPr>
          <w:rFonts w:eastAsiaTheme="minorEastAsia"/>
          <w:b/>
          <w:lang w:eastAsia="zh-CN"/>
        </w:rPr>
      </w:pPr>
      <w:r w:rsidRPr="00095A2E">
        <w:rPr>
          <w:rFonts w:eastAsiaTheme="minorEastAsia"/>
          <w:b/>
          <w:lang w:eastAsia="zh-CN"/>
        </w:rPr>
        <w:t xml:space="preserve">Proposal </w:t>
      </w:r>
      <w:r w:rsidR="00A23689">
        <w:rPr>
          <w:rFonts w:eastAsiaTheme="minorEastAsia"/>
          <w:b/>
          <w:lang w:eastAsia="zh-CN"/>
        </w:rPr>
        <w:t>4</w:t>
      </w:r>
      <w:r w:rsidRPr="00095A2E">
        <w:rPr>
          <w:rFonts w:eastAsiaTheme="minorEastAsia"/>
          <w:b/>
          <w:lang w:eastAsia="zh-CN"/>
        </w:rPr>
        <w:t>: For intra-frequency measurement, the requirements apply provided any two closest SSB occasions available at the UE for the measurement shall be separated by no more than the maximum time requirement for the cell to remain known defined in clause 9.2A.4.3.</w:t>
      </w:r>
    </w:p>
    <w:p w:rsidR="004B5042" w:rsidRPr="004B5042" w:rsidRDefault="004B5042" w:rsidP="00095A2E">
      <w:pPr>
        <w:rPr>
          <w:rFonts w:eastAsiaTheme="minorEastAsia"/>
          <w:b/>
          <w:lang w:eastAsia="zh-CN"/>
        </w:rPr>
      </w:pPr>
      <w:r w:rsidRPr="00F10730">
        <w:rPr>
          <w:rFonts w:eastAsiaTheme="minorEastAsia"/>
          <w:b/>
          <w:lang w:eastAsia="zh-CN"/>
        </w:rPr>
        <w:t>Proposal 5: K=2 for inter-RAT SFTD measurement.</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591D07" w:rsidRPr="00591D07">
        <w:t>R4-20022</w:t>
      </w:r>
      <w:r w:rsidR="00900196">
        <w:t>78</w:t>
      </w:r>
      <w:r w:rsidR="00591D07" w:rsidRPr="00591D07">
        <w:t xml:space="preserve"> WF on</w:t>
      </w:r>
      <w:r w:rsidR="00591D07">
        <w:t xml:space="preserve"> NR-U RRM requirements (Part</w:t>
      </w:r>
      <w:r w:rsidR="00900196">
        <w:t xml:space="preserve"> 3</w:t>
      </w:r>
      <w:r w:rsidR="00591D07">
        <w:t xml:space="preserve">), </w:t>
      </w:r>
      <w:r w:rsidR="00900196" w:rsidRPr="00900196">
        <w:t>Nokia, Nokia Shanghai Bell</w:t>
      </w:r>
    </w:p>
    <w:p w:rsidR="00FA5B01" w:rsidRDefault="00FA5B01" w:rsidP="007B692E">
      <w:r>
        <w:t xml:space="preserve">[2] </w:t>
      </w:r>
      <w:r w:rsidR="00406B4F" w:rsidRPr="00406B4F">
        <w:t>R2-2002300</w:t>
      </w:r>
      <w:r w:rsidR="00406B4F">
        <w:t xml:space="preserve"> </w:t>
      </w:r>
      <w:r w:rsidR="00406B4F" w:rsidRPr="00406B4F">
        <w:t>LS on dropping measurement results due to LBT delays</w:t>
      </w:r>
    </w:p>
    <w:p w:rsidR="004361CA" w:rsidRDefault="004361CA" w:rsidP="007B692E">
      <w:r>
        <w:lastRenderedPageBreak/>
        <w:t xml:space="preserve">[3] </w:t>
      </w:r>
      <w:r w:rsidR="00886525" w:rsidRPr="00886525">
        <w:t>R4-2004262</w:t>
      </w:r>
      <w:bookmarkStart w:id="2" w:name="_GoBack"/>
      <w:bookmarkEnd w:id="2"/>
    </w:p>
    <w:sectPr w:rsidR="004361CA"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C59" w:rsidRDefault="006C2C59">
      <w:pPr>
        <w:spacing w:after="0"/>
      </w:pPr>
      <w:r>
        <w:separator/>
      </w:r>
    </w:p>
  </w:endnote>
  <w:endnote w:type="continuationSeparator" w:id="0">
    <w:p w:rsidR="006C2C59" w:rsidRDefault="006C2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09" w:rsidRDefault="00E80B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80B09" w:rsidRDefault="00E80B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09" w:rsidRDefault="00E80B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86525">
      <w:rPr>
        <w:rStyle w:val="a5"/>
      </w:rPr>
      <w:t>4</w:t>
    </w:r>
    <w:r>
      <w:rPr>
        <w:rStyle w:val="a5"/>
      </w:rPr>
      <w:fldChar w:fldCharType="end"/>
    </w:r>
  </w:p>
  <w:p w:rsidR="00E80B09" w:rsidRDefault="00E80B0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C59" w:rsidRDefault="006C2C59">
      <w:pPr>
        <w:spacing w:after="0"/>
      </w:pPr>
      <w:r>
        <w:separator/>
      </w:r>
    </w:p>
  </w:footnote>
  <w:footnote w:type="continuationSeparator" w:id="0">
    <w:p w:rsidR="006C2C59" w:rsidRDefault="006C2C5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96471"/>
    <w:multiLevelType w:val="hybridMultilevel"/>
    <w:tmpl w:val="0CB60750"/>
    <w:lvl w:ilvl="0" w:tplc="C8A2A78E">
      <w:start w:val="1"/>
      <w:numFmt w:val="bullet"/>
      <w:lvlText w:val="•"/>
      <w:lvlJc w:val="left"/>
      <w:pPr>
        <w:tabs>
          <w:tab w:val="num" w:pos="720"/>
        </w:tabs>
        <w:ind w:left="720" w:hanging="360"/>
      </w:pPr>
      <w:rPr>
        <w:rFonts w:ascii="Arial" w:hAnsi="Arial" w:hint="default"/>
      </w:rPr>
    </w:lvl>
    <w:lvl w:ilvl="1" w:tplc="A2C0118E">
      <w:numFmt w:val="bullet"/>
      <w:lvlText w:val="•"/>
      <w:lvlJc w:val="left"/>
      <w:pPr>
        <w:tabs>
          <w:tab w:val="num" w:pos="1440"/>
        </w:tabs>
        <w:ind w:left="1440" w:hanging="360"/>
      </w:pPr>
      <w:rPr>
        <w:rFonts w:ascii="Arial" w:hAnsi="Arial" w:hint="default"/>
      </w:rPr>
    </w:lvl>
    <w:lvl w:ilvl="2" w:tplc="E982B7A2" w:tentative="1">
      <w:start w:val="1"/>
      <w:numFmt w:val="bullet"/>
      <w:lvlText w:val="•"/>
      <w:lvlJc w:val="left"/>
      <w:pPr>
        <w:tabs>
          <w:tab w:val="num" w:pos="2160"/>
        </w:tabs>
        <w:ind w:left="2160" w:hanging="360"/>
      </w:pPr>
      <w:rPr>
        <w:rFonts w:ascii="Arial" w:hAnsi="Arial" w:hint="default"/>
      </w:rPr>
    </w:lvl>
    <w:lvl w:ilvl="3" w:tplc="407E84B4" w:tentative="1">
      <w:start w:val="1"/>
      <w:numFmt w:val="bullet"/>
      <w:lvlText w:val="•"/>
      <w:lvlJc w:val="left"/>
      <w:pPr>
        <w:tabs>
          <w:tab w:val="num" w:pos="2880"/>
        </w:tabs>
        <w:ind w:left="2880" w:hanging="360"/>
      </w:pPr>
      <w:rPr>
        <w:rFonts w:ascii="Arial" w:hAnsi="Arial" w:hint="default"/>
      </w:rPr>
    </w:lvl>
    <w:lvl w:ilvl="4" w:tplc="5C189722" w:tentative="1">
      <w:start w:val="1"/>
      <w:numFmt w:val="bullet"/>
      <w:lvlText w:val="•"/>
      <w:lvlJc w:val="left"/>
      <w:pPr>
        <w:tabs>
          <w:tab w:val="num" w:pos="3600"/>
        </w:tabs>
        <w:ind w:left="3600" w:hanging="360"/>
      </w:pPr>
      <w:rPr>
        <w:rFonts w:ascii="Arial" w:hAnsi="Arial" w:hint="default"/>
      </w:rPr>
    </w:lvl>
    <w:lvl w:ilvl="5" w:tplc="98B2710C" w:tentative="1">
      <w:start w:val="1"/>
      <w:numFmt w:val="bullet"/>
      <w:lvlText w:val="•"/>
      <w:lvlJc w:val="left"/>
      <w:pPr>
        <w:tabs>
          <w:tab w:val="num" w:pos="4320"/>
        </w:tabs>
        <w:ind w:left="4320" w:hanging="360"/>
      </w:pPr>
      <w:rPr>
        <w:rFonts w:ascii="Arial" w:hAnsi="Arial" w:hint="default"/>
      </w:rPr>
    </w:lvl>
    <w:lvl w:ilvl="6" w:tplc="470CFB1C" w:tentative="1">
      <w:start w:val="1"/>
      <w:numFmt w:val="bullet"/>
      <w:lvlText w:val="•"/>
      <w:lvlJc w:val="left"/>
      <w:pPr>
        <w:tabs>
          <w:tab w:val="num" w:pos="5040"/>
        </w:tabs>
        <w:ind w:left="5040" w:hanging="360"/>
      </w:pPr>
      <w:rPr>
        <w:rFonts w:ascii="Arial" w:hAnsi="Arial" w:hint="default"/>
      </w:rPr>
    </w:lvl>
    <w:lvl w:ilvl="7" w:tplc="0116E80E" w:tentative="1">
      <w:start w:val="1"/>
      <w:numFmt w:val="bullet"/>
      <w:lvlText w:val="•"/>
      <w:lvlJc w:val="left"/>
      <w:pPr>
        <w:tabs>
          <w:tab w:val="num" w:pos="5760"/>
        </w:tabs>
        <w:ind w:left="5760" w:hanging="360"/>
      </w:pPr>
      <w:rPr>
        <w:rFonts w:ascii="Arial" w:hAnsi="Arial" w:hint="default"/>
      </w:rPr>
    </w:lvl>
    <w:lvl w:ilvl="8" w:tplc="0CA212D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D6CD0"/>
    <w:multiLevelType w:val="hybridMultilevel"/>
    <w:tmpl w:val="7228E80E"/>
    <w:lvl w:ilvl="0" w:tplc="16702A88">
      <w:start w:val="1"/>
      <w:numFmt w:val="bullet"/>
      <w:lvlText w:val=""/>
      <w:lvlJc w:val="left"/>
      <w:pPr>
        <w:tabs>
          <w:tab w:val="num" w:pos="720"/>
        </w:tabs>
        <w:ind w:left="720" w:hanging="360"/>
      </w:pPr>
      <w:rPr>
        <w:rFonts w:ascii="Symbol" w:hAnsi="Symbol" w:hint="default"/>
      </w:rPr>
    </w:lvl>
    <w:lvl w:ilvl="1" w:tplc="222A16E0">
      <w:start w:val="1"/>
      <w:numFmt w:val="bullet"/>
      <w:lvlText w:val=""/>
      <w:lvlJc w:val="left"/>
      <w:pPr>
        <w:tabs>
          <w:tab w:val="num" w:pos="1440"/>
        </w:tabs>
        <w:ind w:left="1440" w:hanging="360"/>
      </w:pPr>
      <w:rPr>
        <w:rFonts w:ascii="Symbol" w:hAnsi="Symbol" w:hint="default"/>
      </w:rPr>
    </w:lvl>
    <w:lvl w:ilvl="2" w:tplc="F6C4495A" w:tentative="1">
      <w:start w:val="1"/>
      <w:numFmt w:val="bullet"/>
      <w:lvlText w:val=""/>
      <w:lvlJc w:val="left"/>
      <w:pPr>
        <w:tabs>
          <w:tab w:val="num" w:pos="2160"/>
        </w:tabs>
        <w:ind w:left="2160" w:hanging="360"/>
      </w:pPr>
      <w:rPr>
        <w:rFonts w:ascii="Symbol" w:hAnsi="Symbol" w:hint="default"/>
      </w:rPr>
    </w:lvl>
    <w:lvl w:ilvl="3" w:tplc="9782F3B4" w:tentative="1">
      <w:start w:val="1"/>
      <w:numFmt w:val="bullet"/>
      <w:lvlText w:val=""/>
      <w:lvlJc w:val="left"/>
      <w:pPr>
        <w:tabs>
          <w:tab w:val="num" w:pos="2880"/>
        </w:tabs>
        <w:ind w:left="2880" w:hanging="360"/>
      </w:pPr>
      <w:rPr>
        <w:rFonts w:ascii="Symbol" w:hAnsi="Symbol" w:hint="default"/>
      </w:rPr>
    </w:lvl>
    <w:lvl w:ilvl="4" w:tplc="F2AA12A6" w:tentative="1">
      <w:start w:val="1"/>
      <w:numFmt w:val="bullet"/>
      <w:lvlText w:val=""/>
      <w:lvlJc w:val="left"/>
      <w:pPr>
        <w:tabs>
          <w:tab w:val="num" w:pos="3600"/>
        </w:tabs>
        <w:ind w:left="3600" w:hanging="360"/>
      </w:pPr>
      <w:rPr>
        <w:rFonts w:ascii="Symbol" w:hAnsi="Symbol" w:hint="default"/>
      </w:rPr>
    </w:lvl>
    <w:lvl w:ilvl="5" w:tplc="ADEE2870" w:tentative="1">
      <w:start w:val="1"/>
      <w:numFmt w:val="bullet"/>
      <w:lvlText w:val=""/>
      <w:lvlJc w:val="left"/>
      <w:pPr>
        <w:tabs>
          <w:tab w:val="num" w:pos="4320"/>
        </w:tabs>
        <w:ind w:left="4320" w:hanging="360"/>
      </w:pPr>
      <w:rPr>
        <w:rFonts w:ascii="Symbol" w:hAnsi="Symbol" w:hint="default"/>
      </w:rPr>
    </w:lvl>
    <w:lvl w:ilvl="6" w:tplc="BA3E5FB6" w:tentative="1">
      <w:start w:val="1"/>
      <w:numFmt w:val="bullet"/>
      <w:lvlText w:val=""/>
      <w:lvlJc w:val="left"/>
      <w:pPr>
        <w:tabs>
          <w:tab w:val="num" w:pos="5040"/>
        </w:tabs>
        <w:ind w:left="5040" w:hanging="360"/>
      </w:pPr>
      <w:rPr>
        <w:rFonts w:ascii="Symbol" w:hAnsi="Symbol" w:hint="default"/>
      </w:rPr>
    </w:lvl>
    <w:lvl w:ilvl="7" w:tplc="238C3694" w:tentative="1">
      <w:start w:val="1"/>
      <w:numFmt w:val="bullet"/>
      <w:lvlText w:val=""/>
      <w:lvlJc w:val="left"/>
      <w:pPr>
        <w:tabs>
          <w:tab w:val="num" w:pos="5760"/>
        </w:tabs>
        <w:ind w:left="5760" w:hanging="360"/>
      </w:pPr>
      <w:rPr>
        <w:rFonts w:ascii="Symbol" w:hAnsi="Symbol" w:hint="default"/>
      </w:rPr>
    </w:lvl>
    <w:lvl w:ilvl="8" w:tplc="38CC71A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7F1280"/>
    <w:multiLevelType w:val="hybridMultilevel"/>
    <w:tmpl w:val="FC3650A8"/>
    <w:lvl w:ilvl="0" w:tplc="A8649954">
      <w:start w:val="1"/>
      <w:numFmt w:val="bullet"/>
      <w:lvlText w:val="•"/>
      <w:lvlJc w:val="left"/>
      <w:pPr>
        <w:tabs>
          <w:tab w:val="num" w:pos="720"/>
        </w:tabs>
        <w:ind w:left="720" w:hanging="360"/>
      </w:pPr>
      <w:rPr>
        <w:rFonts w:ascii="Arial" w:hAnsi="Arial" w:hint="default"/>
      </w:rPr>
    </w:lvl>
    <w:lvl w:ilvl="1" w:tplc="A432C116" w:tentative="1">
      <w:start w:val="1"/>
      <w:numFmt w:val="bullet"/>
      <w:lvlText w:val="•"/>
      <w:lvlJc w:val="left"/>
      <w:pPr>
        <w:tabs>
          <w:tab w:val="num" w:pos="1440"/>
        </w:tabs>
        <w:ind w:left="1440" w:hanging="360"/>
      </w:pPr>
      <w:rPr>
        <w:rFonts w:ascii="Arial" w:hAnsi="Arial" w:hint="default"/>
      </w:rPr>
    </w:lvl>
    <w:lvl w:ilvl="2" w:tplc="FC201DC2" w:tentative="1">
      <w:start w:val="1"/>
      <w:numFmt w:val="bullet"/>
      <w:lvlText w:val="•"/>
      <w:lvlJc w:val="left"/>
      <w:pPr>
        <w:tabs>
          <w:tab w:val="num" w:pos="2160"/>
        </w:tabs>
        <w:ind w:left="2160" w:hanging="360"/>
      </w:pPr>
      <w:rPr>
        <w:rFonts w:ascii="Arial" w:hAnsi="Arial" w:hint="default"/>
      </w:rPr>
    </w:lvl>
    <w:lvl w:ilvl="3" w:tplc="E27E9DE8" w:tentative="1">
      <w:start w:val="1"/>
      <w:numFmt w:val="bullet"/>
      <w:lvlText w:val="•"/>
      <w:lvlJc w:val="left"/>
      <w:pPr>
        <w:tabs>
          <w:tab w:val="num" w:pos="2880"/>
        </w:tabs>
        <w:ind w:left="2880" w:hanging="360"/>
      </w:pPr>
      <w:rPr>
        <w:rFonts w:ascii="Arial" w:hAnsi="Arial" w:hint="default"/>
      </w:rPr>
    </w:lvl>
    <w:lvl w:ilvl="4" w:tplc="48A2FAAA" w:tentative="1">
      <w:start w:val="1"/>
      <w:numFmt w:val="bullet"/>
      <w:lvlText w:val="•"/>
      <w:lvlJc w:val="left"/>
      <w:pPr>
        <w:tabs>
          <w:tab w:val="num" w:pos="3600"/>
        </w:tabs>
        <w:ind w:left="3600" w:hanging="360"/>
      </w:pPr>
      <w:rPr>
        <w:rFonts w:ascii="Arial" w:hAnsi="Arial" w:hint="default"/>
      </w:rPr>
    </w:lvl>
    <w:lvl w:ilvl="5" w:tplc="F20691E6" w:tentative="1">
      <w:start w:val="1"/>
      <w:numFmt w:val="bullet"/>
      <w:lvlText w:val="•"/>
      <w:lvlJc w:val="left"/>
      <w:pPr>
        <w:tabs>
          <w:tab w:val="num" w:pos="4320"/>
        </w:tabs>
        <w:ind w:left="4320" w:hanging="360"/>
      </w:pPr>
      <w:rPr>
        <w:rFonts w:ascii="Arial" w:hAnsi="Arial" w:hint="default"/>
      </w:rPr>
    </w:lvl>
    <w:lvl w:ilvl="6" w:tplc="AFA0F81C" w:tentative="1">
      <w:start w:val="1"/>
      <w:numFmt w:val="bullet"/>
      <w:lvlText w:val="•"/>
      <w:lvlJc w:val="left"/>
      <w:pPr>
        <w:tabs>
          <w:tab w:val="num" w:pos="5040"/>
        </w:tabs>
        <w:ind w:left="5040" w:hanging="360"/>
      </w:pPr>
      <w:rPr>
        <w:rFonts w:ascii="Arial" w:hAnsi="Arial" w:hint="default"/>
      </w:rPr>
    </w:lvl>
    <w:lvl w:ilvl="7" w:tplc="E004A820" w:tentative="1">
      <w:start w:val="1"/>
      <w:numFmt w:val="bullet"/>
      <w:lvlText w:val="•"/>
      <w:lvlJc w:val="left"/>
      <w:pPr>
        <w:tabs>
          <w:tab w:val="num" w:pos="5760"/>
        </w:tabs>
        <w:ind w:left="5760" w:hanging="360"/>
      </w:pPr>
      <w:rPr>
        <w:rFonts w:ascii="Arial" w:hAnsi="Arial" w:hint="default"/>
      </w:rPr>
    </w:lvl>
    <w:lvl w:ilvl="8" w:tplc="6F9E85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9621C4"/>
    <w:multiLevelType w:val="hybridMultilevel"/>
    <w:tmpl w:val="2850CD18"/>
    <w:lvl w:ilvl="0" w:tplc="86BC5676">
      <w:start w:val="1"/>
      <w:numFmt w:val="bullet"/>
      <w:lvlText w:val="•"/>
      <w:lvlJc w:val="left"/>
      <w:pPr>
        <w:tabs>
          <w:tab w:val="num" w:pos="720"/>
        </w:tabs>
        <w:ind w:left="720" w:hanging="360"/>
      </w:pPr>
      <w:rPr>
        <w:rFonts w:ascii="Arial" w:hAnsi="Arial" w:hint="default"/>
      </w:rPr>
    </w:lvl>
    <w:lvl w:ilvl="1" w:tplc="50BA4AB0">
      <w:numFmt w:val="bullet"/>
      <w:lvlText w:val="•"/>
      <w:lvlJc w:val="left"/>
      <w:pPr>
        <w:tabs>
          <w:tab w:val="num" w:pos="1440"/>
        </w:tabs>
        <w:ind w:left="1440" w:hanging="360"/>
      </w:pPr>
      <w:rPr>
        <w:rFonts w:ascii="Arial" w:hAnsi="Arial" w:hint="default"/>
      </w:rPr>
    </w:lvl>
    <w:lvl w:ilvl="2" w:tplc="94D8D150" w:tentative="1">
      <w:start w:val="1"/>
      <w:numFmt w:val="bullet"/>
      <w:lvlText w:val="•"/>
      <w:lvlJc w:val="left"/>
      <w:pPr>
        <w:tabs>
          <w:tab w:val="num" w:pos="2160"/>
        </w:tabs>
        <w:ind w:left="2160" w:hanging="360"/>
      </w:pPr>
      <w:rPr>
        <w:rFonts w:ascii="Arial" w:hAnsi="Arial" w:hint="default"/>
      </w:rPr>
    </w:lvl>
    <w:lvl w:ilvl="3" w:tplc="9EE4F736" w:tentative="1">
      <w:start w:val="1"/>
      <w:numFmt w:val="bullet"/>
      <w:lvlText w:val="•"/>
      <w:lvlJc w:val="left"/>
      <w:pPr>
        <w:tabs>
          <w:tab w:val="num" w:pos="2880"/>
        </w:tabs>
        <w:ind w:left="2880" w:hanging="360"/>
      </w:pPr>
      <w:rPr>
        <w:rFonts w:ascii="Arial" w:hAnsi="Arial" w:hint="default"/>
      </w:rPr>
    </w:lvl>
    <w:lvl w:ilvl="4" w:tplc="74A0C056" w:tentative="1">
      <w:start w:val="1"/>
      <w:numFmt w:val="bullet"/>
      <w:lvlText w:val="•"/>
      <w:lvlJc w:val="left"/>
      <w:pPr>
        <w:tabs>
          <w:tab w:val="num" w:pos="3600"/>
        </w:tabs>
        <w:ind w:left="3600" w:hanging="360"/>
      </w:pPr>
      <w:rPr>
        <w:rFonts w:ascii="Arial" w:hAnsi="Arial" w:hint="default"/>
      </w:rPr>
    </w:lvl>
    <w:lvl w:ilvl="5" w:tplc="5E5A15FC" w:tentative="1">
      <w:start w:val="1"/>
      <w:numFmt w:val="bullet"/>
      <w:lvlText w:val="•"/>
      <w:lvlJc w:val="left"/>
      <w:pPr>
        <w:tabs>
          <w:tab w:val="num" w:pos="4320"/>
        </w:tabs>
        <w:ind w:left="4320" w:hanging="360"/>
      </w:pPr>
      <w:rPr>
        <w:rFonts w:ascii="Arial" w:hAnsi="Arial" w:hint="default"/>
      </w:rPr>
    </w:lvl>
    <w:lvl w:ilvl="6" w:tplc="B0FA05A8" w:tentative="1">
      <w:start w:val="1"/>
      <w:numFmt w:val="bullet"/>
      <w:lvlText w:val="•"/>
      <w:lvlJc w:val="left"/>
      <w:pPr>
        <w:tabs>
          <w:tab w:val="num" w:pos="5040"/>
        </w:tabs>
        <w:ind w:left="5040" w:hanging="360"/>
      </w:pPr>
      <w:rPr>
        <w:rFonts w:ascii="Arial" w:hAnsi="Arial" w:hint="default"/>
      </w:rPr>
    </w:lvl>
    <w:lvl w:ilvl="7" w:tplc="465461C4" w:tentative="1">
      <w:start w:val="1"/>
      <w:numFmt w:val="bullet"/>
      <w:lvlText w:val="•"/>
      <w:lvlJc w:val="left"/>
      <w:pPr>
        <w:tabs>
          <w:tab w:val="num" w:pos="5760"/>
        </w:tabs>
        <w:ind w:left="5760" w:hanging="360"/>
      </w:pPr>
      <w:rPr>
        <w:rFonts w:ascii="Arial" w:hAnsi="Arial" w:hint="default"/>
      </w:rPr>
    </w:lvl>
    <w:lvl w:ilvl="8" w:tplc="F9BC52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5A2444"/>
    <w:multiLevelType w:val="hybridMultilevel"/>
    <w:tmpl w:val="19A2D2AA"/>
    <w:lvl w:ilvl="0" w:tplc="691A9BEC">
      <w:start w:val="1"/>
      <w:numFmt w:val="bullet"/>
      <w:lvlText w:val="•"/>
      <w:lvlJc w:val="left"/>
      <w:pPr>
        <w:tabs>
          <w:tab w:val="num" w:pos="720"/>
        </w:tabs>
        <w:ind w:left="720" w:hanging="360"/>
      </w:pPr>
      <w:rPr>
        <w:rFonts w:ascii="Arial" w:hAnsi="Arial" w:hint="default"/>
      </w:rPr>
    </w:lvl>
    <w:lvl w:ilvl="1" w:tplc="4194267C">
      <w:start w:val="1"/>
      <w:numFmt w:val="bullet"/>
      <w:lvlText w:val="•"/>
      <w:lvlJc w:val="left"/>
      <w:pPr>
        <w:tabs>
          <w:tab w:val="num" w:pos="1440"/>
        </w:tabs>
        <w:ind w:left="1440" w:hanging="360"/>
      </w:pPr>
      <w:rPr>
        <w:rFonts w:ascii="Arial" w:hAnsi="Arial" w:hint="default"/>
      </w:rPr>
    </w:lvl>
    <w:lvl w:ilvl="2" w:tplc="BF3A9DB2">
      <w:start w:val="1"/>
      <w:numFmt w:val="bullet"/>
      <w:lvlText w:val="•"/>
      <w:lvlJc w:val="left"/>
      <w:pPr>
        <w:tabs>
          <w:tab w:val="num" w:pos="2160"/>
        </w:tabs>
        <w:ind w:left="2160" w:hanging="360"/>
      </w:pPr>
      <w:rPr>
        <w:rFonts w:ascii="Arial" w:hAnsi="Arial" w:hint="default"/>
      </w:rPr>
    </w:lvl>
    <w:lvl w:ilvl="3" w:tplc="2D928496" w:tentative="1">
      <w:start w:val="1"/>
      <w:numFmt w:val="bullet"/>
      <w:lvlText w:val="•"/>
      <w:lvlJc w:val="left"/>
      <w:pPr>
        <w:tabs>
          <w:tab w:val="num" w:pos="2880"/>
        </w:tabs>
        <w:ind w:left="2880" w:hanging="360"/>
      </w:pPr>
      <w:rPr>
        <w:rFonts w:ascii="Arial" w:hAnsi="Arial" w:hint="default"/>
      </w:rPr>
    </w:lvl>
    <w:lvl w:ilvl="4" w:tplc="155005D4" w:tentative="1">
      <w:start w:val="1"/>
      <w:numFmt w:val="bullet"/>
      <w:lvlText w:val="•"/>
      <w:lvlJc w:val="left"/>
      <w:pPr>
        <w:tabs>
          <w:tab w:val="num" w:pos="3600"/>
        </w:tabs>
        <w:ind w:left="3600" w:hanging="360"/>
      </w:pPr>
      <w:rPr>
        <w:rFonts w:ascii="Arial" w:hAnsi="Arial" w:hint="default"/>
      </w:rPr>
    </w:lvl>
    <w:lvl w:ilvl="5" w:tplc="15C6D3DC" w:tentative="1">
      <w:start w:val="1"/>
      <w:numFmt w:val="bullet"/>
      <w:lvlText w:val="•"/>
      <w:lvlJc w:val="left"/>
      <w:pPr>
        <w:tabs>
          <w:tab w:val="num" w:pos="4320"/>
        </w:tabs>
        <w:ind w:left="4320" w:hanging="360"/>
      </w:pPr>
      <w:rPr>
        <w:rFonts w:ascii="Arial" w:hAnsi="Arial" w:hint="default"/>
      </w:rPr>
    </w:lvl>
    <w:lvl w:ilvl="6" w:tplc="20A4AB32" w:tentative="1">
      <w:start w:val="1"/>
      <w:numFmt w:val="bullet"/>
      <w:lvlText w:val="•"/>
      <w:lvlJc w:val="left"/>
      <w:pPr>
        <w:tabs>
          <w:tab w:val="num" w:pos="5040"/>
        </w:tabs>
        <w:ind w:left="5040" w:hanging="360"/>
      </w:pPr>
      <w:rPr>
        <w:rFonts w:ascii="Arial" w:hAnsi="Arial" w:hint="default"/>
      </w:rPr>
    </w:lvl>
    <w:lvl w:ilvl="7" w:tplc="2940F414" w:tentative="1">
      <w:start w:val="1"/>
      <w:numFmt w:val="bullet"/>
      <w:lvlText w:val="•"/>
      <w:lvlJc w:val="left"/>
      <w:pPr>
        <w:tabs>
          <w:tab w:val="num" w:pos="5760"/>
        </w:tabs>
        <w:ind w:left="5760" w:hanging="360"/>
      </w:pPr>
      <w:rPr>
        <w:rFonts w:ascii="Arial" w:hAnsi="Arial" w:hint="default"/>
      </w:rPr>
    </w:lvl>
    <w:lvl w:ilvl="8" w:tplc="3F62FA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8F29F5"/>
    <w:multiLevelType w:val="hybridMultilevel"/>
    <w:tmpl w:val="99C801AA"/>
    <w:lvl w:ilvl="0" w:tplc="18DC0716">
      <w:start w:val="1"/>
      <w:numFmt w:val="bullet"/>
      <w:lvlText w:val="•"/>
      <w:lvlJc w:val="left"/>
      <w:pPr>
        <w:tabs>
          <w:tab w:val="num" w:pos="720"/>
        </w:tabs>
        <w:ind w:left="720" w:hanging="360"/>
      </w:pPr>
      <w:rPr>
        <w:rFonts w:ascii="Arial" w:hAnsi="Arial" w:hint="default"/>
      </w:rPr>
    </w:lvl>
    <w:lvl w:ilvl="1" w:tplc="45E252B4">
      <w:numFmt w:val="bullet"/>
      <w:lvlText w:val="•"/>
      <w:lvlJc w:val="left"/>
      <w:pPr>
        <w:tabs>
          <w:tab w:val="num" w:pos="1440"/>
        </w:tabs>
        <w:ind w:left="1440" w:hanging="360"/>
      </w:pPr>
      <w:rPr>
        <w:rFonts w:ascii="Arial" w:hAnsi="Arial" w:hint="default"/>
      </w:rPr>
    </w:lvl>
    <w:lvl w:ilvl="2" w:tplc="178EE64A" w:tentative="1">
      <w:start w:val="1"/>
      <w:numFmt w:val="bullet"/>
      <w:lvlText w:val="•"/>
      <w:lvlJc w:val="left"/>
      <w:pPr>
        <w:tabs>
          <w:tab w:val="num" w:pos="2160"/>
        </w:tabs>
        <w:ind w:left="2160" w:hanging="360"/>
      </w:pPr>
      <w:rPr>
        <w:rFonts w:ascii="Arial" w:hAnsi="Arial" w:hint="default"/>
      </w:rPr>
    </w:lvl>
    <w:lvl w:ilvl="3" w:tplc="26E212EC" w:tentative="1">
      <w:start w:val="1"/>
      <w:numFmt w:val="bullet"/>
      <w:lvlText w:val="•"/>
      <w:lvlJc w:val="left"/>
      <w:pPr>
        <w:tabs>
          <w:tab w:val="num" w:pos="2880"/>
        </w:tabs>
        <w:ind w:left="2880" w:hanging="360"/>
      </w:pPr>
      <w:rPr>
        <w:rFonts w:ascii="Arial" w:hAnsi="Arial" w:hint="default"/>
      </w:rPr>
    </w:lvl>
    <w:lvl w:ilvl="4" w:tplc="6D42EE18" w:tentative="1">
      <w:start w:val="1"/>
      <w:numFmt w:val="bullet"/>
      <w:lvlText w:val="•"/>
      <w:lvlJc w:val="left"/>
      <w:pPr>
        <w:tabs>
          <w:tab w:val="num" w:pos="3600"/>
        </w:tabs>
        <w:ind w:left="3600" w:hanging="360"/>
      </w:pPr>
      <w:rPr>
        <w:rFonts w:ascii="Arial" w:hAnsi="Arial" w:hint="default"/>
      </w:rPr>
    </w:lvl>
    <w:lvl w:ilvl="5" w:tplc="C69AAD02" w:tentative="1">
      <w:start w:val="1"/>
      <w:numFmt w:val="bullet"/>
      <w:lvlText w:val="•"/>
      <w:lvlJc w:val="left"/>
      <w:pPr>
        <w:tabs>
          <w:tab w:val="num" w:pos="4320"/>
        </w:tabs>
        <w:ind w:left="4320" w:hanging="360"/>
      </w:pPr>
      <w:rPr>
        <w:rFonts w:ascii="Arial" w:hAnsi="Arial" w:hint="default"/>
      </w:rPr>
    </w:lvl>
    <w:lvl w:ilvl="6" w:tplc="C52A54E6" w:tentative="1">
      <w:start w:val="1"/>
      <w:numFmt w:val="bullet"/>
      <w:lvlText w:val="•"/>
      <w:lvlJc w:val="left"/>
      <w:pPr>
        <w:tabs>
          <w:tab w:val="num" w:pos="5040"/>
        </w:tabs>
        <w:ind w:left="5040" w:hanging="360"/>
      </w:pPr>
      <w:rPr>
        <w:rFonts w:ascii="Arial" w:hAnsi="Arial" w:hint="default"/>
      </w:rPr>
    </w:lvl>
    <w:lvl w:ilvl="7" w:tplc="633A005C" w:tentative="1">
      <w:start w:val="1"/>
      <w:numFmt w:val="bullet"/>
      <w:lvlText w:val="•"/>
      <w:lvlJc w:val="left"/>
      <w:pPr>
        <w:tabs>
          <w:tab w:val="num" w:pos="5760"/>
        </w:tabs>
        <w:ind w:left="5760" w:hanging="360"/>
      </w:pPr>
      <w:rPr>
        <w:rFonts w:ascii="Arial" w:hAnsi="Arial" w:hint="default"/>
      </w:rPr>
    </w:lvl>
    <w:lvl w:ilvl="8" w:tplc="14E4B2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8200A8"/>
    <w:multiLevelType w:val="hybridMultilevel"/>
    <w:tmpl w:val="B47A3A52"/>
    <w:lvl w:ilvl="0" w:tplc="B51EEE32">
      <w:start w:val="1"/>
      <w:numFmt w:val="bullet"/>
      <w:lvlText w:val="o"/>
      <w:lvlJc w:val="left"/>
      <w:pPr>
        <w:tabs>
          <w:tab w:val="num" w:pos="720"/>
        </w:tabs>
        <w:ind w:left="720" w:hanging="360"/>
      </w:pPr>
      <w:rPr>
        <w:rFonts w:ascii="Courier New" w:hAnsi="Courier New" w:hint="default"/>
      </w:rPr>
    </w:lvl>
    <w:lvl w:ilvl="1" w:tplc="8BC6AC50" w:tentative="1">
      <w:start w:val="1"/>
      <w:numFmt w:val="bullet"/>
      <w:lvlText w:val="o"/>
      <w:lvlJc w:val="left"/>
      <w:pPr>
        <w:tabs>
          <w:tab w:val="num" w:pos="1440"/>
        </w:tabs>
        <w:ind w:left="1440" w:hanging="360"/>
      </w:pPr>
      <w:rPr>
        <w:rFonts w:ascii="Courier New" w:hAnsi="Courier New" w:hint="default"/>
      </w:rPr>
    </w:lvl>
    <w:lvl w:ilvl="2" w:tplc="1A5CBF0A">
      <w:start w:val="1"/>
      <w:numFmt w:val="bullet"/>
      <w:lvlText w:val="o"/>
      <w:lvlJc w:val="left"/>
      <w:pPr>
        <w:tabs>
          <w:tab w:val="num" w:pos="2160"/>
        </w:tabs>
        <w:ind w:left="2160" w:hanging="360"/>
      </w:pPr>
      <w:rPr>
        <w:rFonts w:ascii="Courier New" w:hAnsi="Courier New" w:hint="default"/>
      </w:rPr>
    </w:lvl>
    <w:lvl w:ilvl="3" w:tplc="946C633E" w:tentative="1">
      <w:start w:val="1"/>
      <w:numFmt w:val="bullet"/>
      <w:lvlText w:val="o"/>
      <w:lvlJc w:val="left"/>
      <w:pPr>
        <w:tabs>
          <w:tab w:val="num" w:pos="2880"/>
        </w:tabs>
        <w:ind w:left="2880" w:hanging="360"/>
      </w:pPr>
      <w:rPr>
        <w:rFonts w:ascii="Courier New" w:hAnsi="Courier New" w:hint="default"/>
      </w:rPr>
    </w:lvl>
    <w:lvl w:ilvl="4" w:tplc="D5C6AFC8" w:tentative="1">
      <w:start w:val="1"/>
      <w:numFmt w:val="bullet"/>
      <w:lvlText w:val="o"/>
      <w:lvlJc w:val="left"/>
      <w:pPr>
        <w:tabs>
          <w:tab w:val="num" w:pos="3600"/>
        </w:tabs>
        <w:ind w:left="3600" w:hanging="360"/>
      </w:pPr>
      <w:rPr>
        <w:rFonts w:ascii="Courier New" w:hAnsi="Courier New" w:hint="default"/>
      </w:rPr>
    </w:lvl>
    <w:lvl w:ilvl="5" w:tplc="00D0688E" w:tentative="1">
      <w:start w:val="1"/>
      <w:numFmt w:val="bullet"/>
      <w:lvlText w:val="o"/>
      <w:lvlJc w:val="left"/>
      <w:pPr>
        <w:tabs>
          <w:tab w:val="num" w:pos="4320"/>
        </w:tabs>
        <w:ind w:left="4320" w:hanging="360"/>
      </w:pPr>
      <w:rPr>
        <w:rFonts w:ascii="Courier New" w:hAnsi="Courier New" w:hint="default"/>
      </w:rPr>
    </w:lvl>
    <w:lvl w:ilvl="6" w:tplc="A1B64CD2" w:tentative="1">
      <w:start w:val="1"/>
      <w:numFmt w:val="bullet"/>
      <w:lvlText w:val="o"/>
      <w:lvlJc w:val="left"/>
      <w:pPr>
        <w:tabs>
          <w:tab w:val="num" w:pos="5040"/>
        </w:tabs>
        <w:ind w:left="5040" w:hanging="360"/>
      </w:pPr>
      <w:rPr>
        <w:rFonts w:ascii="Courier New" w:hAnsi="Courier New" w:hint="default"/>
      </w:rPr>
    </w:lvl>
    <w:lvl w:ilvl="7" w:tplc="AD50635C" w:tentative="1">
      <w:start w:val="1"/>
      <w:numFmt w:val="bullet"/>
      <w:lvlText w:val="o"/>
      <w:lvlJc w:val="left"/>
      <w:pPr>
        <w:tabs>
          <w:tab w:val="num" w:pos="5760"/>
        </w:tabs>
        <w:ind w:left="5760" w:hanging="360"/>
      </w:pPr>
      <w:rPr>
        <w:rFonts w:ascii="Courier New" w:hAnsi="Courier New" w:hint="default"/>
      </w:rPr>
    </w:lvl>
    <w:lvl w:ilvl="8" w:tplc="37A0602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C45C16"/>
    <w:multiLevelType w:val="hybridMultilevel"/>
    <w:tmpl w:val="DE783972"/>
    <w:lvl w:ilvl="0" w:tplc="293A0914">
      <w:start w:val="1"/>
      <w:numFmt w:val="bullet"/>
      <w:lvlText w:val="•"/>
      <w:lvlJc w:val="left"/>
      <w:pPr>
        <w:tabs>
          <w:tab w:val="num" w:pos="720"/>
        </w:tabs>
        <w:ind w:left="720" w:hanging="360"/>
      </w:pPr>
      <w:rPr>
        <w:rFonts w:ascii="Arial" w:hAnsi="Arial" w:hint="default"/>
      </w:rPr>
    </w:lvl>
    <w:lvl w:ilvl="1" w:tplc="93C44D64" w:tentative="1">
      <w:start w:val="1"/>
      <w:numFmt w:val="bullet"/>
      <w:lvlText w:val="•"/>
      <w:lvlJc w:val="left"/>
      <w:pPr>
        <w:tabs>
          <w:tab w:val="num" w:pos="1440"/>
        </w:tabs>
        <w:ind w:left="1440" w:hanging="360"/>
      </w:pPr>
      <w:rPr>
        <w:rFonts w:ascii="Arial" w:hAnsi="Arial" w:hint="default"/>
      </w:rPr>
    </w:lvl>
    <w:lvl w:ilvl="2" w:tplc="57C48760" w:tentative="1">
      <w:start w:val="1"/>
      <w:numFmt w:val="bullet"/>
      <w:lvlText w:val="•"/>
      <w:lvlJc w:val="left"/>
      <w:pPr>
        <w:tabs>
          <w:tab w:val="num" w:pos="2160"/>
        </w:tabs>
        <w:ind w:left="2160" w:hanging="360"/>
      </w:pPr>
      <w:rPr>
        <w:rFonts w:ascii="Arial" w:hAnsi="Arial" w:hint="default"/>
      </w:rPr>
    </w:lvl>
    <w:lvl w:ilvl="3" w:tplc="0DE6845C" w:tentative="1">
      <w:start w:val="1"/>
      <w:numFmt w:val="bullet"/>
      <w:lvlText w:val="•"/>
      <w:lvlJc w:val="left"/>
      <w:pPr>
        <w:tabs>
          <w:tab w:val="num" w:pos="2880"/>
        </w:tabs>
        <w:ind w:left="2880" w:hanging="360"/>
      </w:pPr>
      <w:rPr>
        <w:rFonts w:ascii="Arial" w:hAnsi="Arial" w:hint="default"/>
      </w:rPr>
    </w:lvl>
    <w:lvl w:ilvl="4" w:tplc="5EEE59FC" w:tentative="1">
      <w:start w:val="1"/>
      <w:numFmt w:val="bullet"/>
      <w:lvlText w:val="•"/>
      <w:lvlJc w:val="left"/>
      <w:pPr>
        <w:tabs>
          <w:tab w:val="num" w:pos="3600"/>
        </w:tabs>
        <w:ind w:left="3600" w:hanging="360"/>
      </w:pPr>
      <w:rPr>
        <w:rFonts w:ascii="Arial" w:hAnsi="Arial" w:hint="default"/>
      </w:rPr>
    </w:lvl>
    <w:lvl w:ilvl="5" w:tplc="9B8E45E0" w:tentative="1">
      <w:start w:val="1"/>
      <w:numFmt w:val="bullet"/>
      <w:lvlText w:val="•"/>
      <w:lvlJc w:val="left"/>
      <w:pPr>
        <w:tabs>
          <w:tab w:val="num" w:pos="4320"/>
        </w:tabs>
        <w:ind w:left="4320" w:hanging="360"/>
      </w:pPr>
      <w:rPr>
        <w:rFonts w:ascii="Arial" w:hAnsi="Arial" w:hint="default"/>
      </w:rPr>
    </w:lvl>
    <w:lvl w:ilvl="6" w:tplc="33ACAD8C" w:tentative="1">
      <w:start w:val="1"/>
      <w:numFmt w:val="bullet"/>
      <w:lvlText w:val="•"/>
      <w:lvlJc w:val="left"/>
      <w:pPr>
        <w:tabs>
          <w:tab w:val="num" w:pos="5040"/>
        </w:tabs>
        <w:ind w:left="5040" w:hanging="360"/>
      </w:pPr>
      <w:rPr>
        <w:rFonts w:ascii="Arial" w:hAnsi="Arial" w:hint="default"/>
      </w:rPr>
    </w:lvl>
    <w:lvl w:ilvl="7" w:tplc="4D20536A" w:tentative="1">
      <w:start w:val="1"/>
      <w:numFmt w:val="bullet"/>
      <w:lvlText w:val="•"/>
      <w:lvlJc w:val="left"/>
      <w:pPr>
        <w:tabs>
          <w:tab w:val="num" w:pos="5760"/>
        </w:tabs>
        <w:ind w:left="5760" w:hanging="360"/>
      </w:pPr>
      <w:rPr>
        <w:rFonts w:ascii="Arial" w:hAnsi="Arial" w:hint="default"/>
      </w:rPr>
    </w:lvl>
    <w:lvl w:ilvl="8" w:tplc="7812CA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3A247B"/>
    <w:multiLevelType w:val="hybridMultilevel"/>
    <w:tmpl w:val="718ECC6C"/>
    <w:lvl w:ilvl="0" w:tplc="C9B6F13A">
      <w:start w:val="1"/>
      <w:numFmt w:val="bullet"/>
      <w:lvlText w:val="•"/>
      <w:lvlJc w:val="left"/>
      <w:pPr>
        <w:tabs>
          <w:tab w:val="num" w:pos="720"/>
        </w:tabs>
        <w:ind w:left="720" w:hanging="360"/>
      </w:pPr>
      <w:rPr>
        <w:rFonts w:ascii="Arial" w:hAnsi="Arial" w:hint="default"/>
      </w:rPr>
    </w:lvl>
    <w:lvl w:ilvl="1" w:tplc="C85E374C">
      <w:numFmt w:val="bullet"/>
      <w:lvlText w:val="•"/>
      <w:lvlJc w:val="left"/>
      <w:pPr>
        <w:tabs>
          <w:tab w:val="num" w:pos="1440"/>
        </w:tabs>
        <w:ind w:left="1440" w:hanging="360"/>
      </w:pPr>
      <w:rPr>
        <w:rFonts w:ascii="Arial" w:hAnsi="Arial" w:hint="default"/>
      </w:rPr>
    </w:lvl>
    <w:lvl w:ilvl="2" w:tplc="B58C35A6">
      <w:numFmt w:val="bullet"/>
      <w:lvlText w:val="•"/>
      <w:lvlJc w:val="left"/>
      <w:pPr>
        <w:tabs>
          <w:tab w:val="num" w:pos="2160"/>
        </w:tabs>
        <w:ind w:left="2160" w:hanging="360"/>
      </w:pPr>
      <w:rPr>
        <w:rFonts w:ascii="Arial" w:hAnsi="Arial" w:hint="default"/>
      </w:rPr>
    </w:lvl>
    <w:lvl w:ilvl="3" w:tplc="99224BDA" w:tentative="1">
      <w:start w:val="1"/>
      <w:numFmt w:val="bullet"/>
      <w:lvlText w:val="•"/>
      <w:lvlJc w:val="left"/>
      <w:pPr>
        <w:tabs>
          <w:tab w:val="num" w:pos="2880"/>
        </w:tabs>
        <w:ind w:left="2880" w:hanging="360"/>
      </w:pPr>
      <w:rPr>
        <w:rFonts w:ascii="Arial" w:hAnsi="Arial" w:hint="default"/>
      </w:rPr>
    </w:lvl>
    <w:lvl w:ilvl="4" w:tplc="3A703AEE" w:tentative="1">
      <w:start w:val="1"/>
      <w:numFmt w:val="bullet"/>
      <w:lvlText w:val="•"/>
      <w:lvlJc w:val="left"/>
      <w:pPr>
        <w:tabs>
          <w:tab w:val="num" w:pos="3600"/>
        </w:tabs>
        <w:ind w:left="3600" w:hanging="360"/>
      </w:pPr>
      <w:rPr>
        <w:rFonts w:ascii="Arial" w:hAnsi="Arial" w:hint="default"/>
      </w:rPr>
    </w:lvl>
    <w:lvl w:ilvl="5" w:tplc="47AE3540" w:tentative="1">
      <w:start w:val="1"/>
      <w:numFmt w:val="bullet"/>
      <w:lvlText w:val="•"/>
      <w:lvlJc w:val="left"/>
      <w:pPr>
        <w:tabs>
          <w:tab w:val="num" w:pos="4320"/>
        </w:tabs>
        <w:ind w:left="4320" w:hanging="360"/>
      </w:pPr>
      <w:rPr>
        <w:rFonts w:ascii="Arial" w:hAnsi="Arial" w:hint="default"/>
      </w:rPr>
    </w:lvl>
    <w:lvl w:ilvl="6" w:tplc="36DA9E66" w:tentative="1">
      <w:start w:val="1"/>
      <w:numFmt w:val="bullet"/>
      <w:lvlText w:val="•"/>
      <w:lvlJc w:val="left"/>
      <w:pPr>
        <w:tabs>
          <w:tab w:val="num" w:pos="5040"/>
        </w:tabs>
        <w:ind w:left="5040" w:hanging="360"/>
      </w:pPr>
      <w:rPr>
        <w:rFonts w:ascii="Arial" w:hAnsi="Arial" w:hint="default"/>
      </w:rPr>
    </w:lvl>
    <w:lvl w:ilvl="7" w:tplc="5692AB60" w:tentative="1">
      <w:start w:val="1"/>
      <w:numFmt w:val="bullet"/>
      <w:lvlText w:val="•"/>
      <w:lvlJc w:val="left"/>
      <w:pPr>
        <w:tabs>
          <w:tab w:val="num" w:pos="5760"/>
        </w:tabs>
        <w:ind w:left="5760" w:hanging="360"/>
      </w:pPr>
      <w:rPr>
        <w:rFonts w:ascii="Arial" w:hAnsi="Arial" w:hint="default"/>
      </w:rPr>
    </w:lvl>
    <w:lvl w:ilvl="8" w:tplc="19B487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3E4AE9"/>
    <w:multiLevelType w:val="hybridMultilevel"/>
    <w:tmpl w:val="06B24872"/>
    <w:lvl w:ilvl="0" w:tplc="CCD6E518">
      <w:start w:val="1"/>
      <w:numFmt w:val="bullet"/>
      <w:lvlText w:val="•"/>
      <w:lvlJc w:val="left"/>
      <w:pPr>
        <w:tabs>
          <w:tab w:val="num" w:pos="720"/>
        </w:tabs>
        <w:ind w:left="720" w:hanging="360"/>
      </w:pPr>
      <w:rPr>
        <w:rFonts w:ascii="Arial" w:hAnsi="Arial" w:hint="default"/>
      </w:rPr>
    </w:lvl>
    <w:lvl w:ilvl="1" w:tplc="61B2498A" w:tentative="1">
      <w:start w:val="1"/>
      <w:numFmt w:val="bullet"/>
      <w:lvlText w:val="•"/>
      <w:lvlJc w:val="left"/>
      <w:pPr>
        <w:tabs>
          <w:tab w:val="num" w:pos="1440"/>
        </w:tabs>
        <w:ind w:left="1440" w:hanging="360"/>
      </w:pPr>
      <w:rPr>
        <w:rFonts w:ascii="Arial" w:hAnsi="Arial" w:hint="default"/>
      </w:rPr>
    </w:lvl>
    <w:lvl w:ilvl="2" w:tplc="B832FAB2" w:tentative="1">
      <w:start w:val="1"/>
      <w:numFmt w:val="bullet"/>
      <w:lvlText w:val="•"/>
      <w:lvlJc w:val="left"/>
      <w:pPr>
        <w:tabs>
          <w:tab w:val="num" w:pos="2160"/>
        </w:tabs>
        <w:ind w:left="2160" w:hanging="360"/>
      </w:pPr>
      <w:rPr>
        <w:rFonts w:ascii="Arial" w:hAnsi="Arial" w:hint="default"/>
      </w:rPr>
    </w:lvl>
    <w:lvl w:ilvl="3" w:tplc="30F6D9C8" w:tentative="1">
      <w:start w:val="1"/>
      <w:numFmt w:val="bullet"/>
      <w:lvlText w:val="•"/>
      <w:lvlJc w:val="left"/>
      <w:pPr>
        <w:tabs>
          <w:tab w:val="num" w:pos="2880"/>
        </w:tabs>
        <w:ind w:left="2880" w:hanging="360"/>
      </w:pPr>
      <w:rPr>
        <w:rFonts w:ascii="Arial" w:hAnsi="Arial" w:hint="default"/>
      </w:rPr>
    </w:lvl>
    <w:lvl w:ilvl="4" w:tplc="6F0CC116" w:tentative="1">
      <w:start w:val="1"/>
      <w:numFmt w:val="bullet"/>
      <w:lvlText w:val="•"/>
      <w:lvlJc w:val="left"/>
      <w:pPr>
        <w:tabs>
          <w:tab w:val="num" w:pos="3600"/>
        </w:tabs>
        <w:ind w:left="3600" w:hanging="360"/>
      </w:pPr>
      <w:rPr>
        <w:rFonts w:ascii="Arial" w:hAnsi="Arial" w:hint="default"/>
      </w:rPr>
    </w:lvl>
    <w:lvl w:ilvl="5" w:tplc="23527652" w:tentative="1">
      <w:start w:val="1"/>
      <w:numFmt w:val="bullet"/>
      <w:lvlText w:val="•"/>
      <w:lvlJc w:val="left"/>
      <w:pPr>
        <w:tabs>
          <w:tab w:val="num" w:pos="4320"/>
        </w:tabs>
        <w:ind w:left="4320" w:hanging="360"/>
      </w:pPr>
      <w:rPr>
        <w:rFonts w:ascii="Arial" w:hAnsi="Arial" w:hint="default"/>
      </w:rPr>
    </w:lvl>
    <w:lvl w:ilvl="6" w:tplc="9E581D28" w:tentative="1">
      <w:start w:val="1"/>
      <w:numFmt w:val="bullet"/>
      <w:lvlText w:val="•"/>
      <w:lvlJc w:val="left"/>
      <w:pPr>
        <w:tabs>
          <w:tab w:val="num" w:pos="5040"/>
        </w:tabs>
        <w:ind w:left="5040" w:hanging="360"/>
      </w:pPr>
      <w:rPr>
        <w:rFonts w:ascii="Arial" w:hAnsi="Arial" w:hint="default"/>
      </w:rPr>
    </w:lvl>
    <w:lvl w:ilvl="7" w:tplc="CD28067C" w:tentative="1">
      <w:start w:val="1"/>
      <w:numFmt w:val="bullet"/>
      <w:lvlText w:val="•"/>
      <w:lvlJc w:val="left"/>
      <w:pPr>
        <w:tabs>
          <w:tab w:val="num" w:pos="5760"/>
        </w:tabs>
        <w:ind w:left="5760" w:hanging="360"/>
      </w:pPr>
      <w:rPr>
        <w:rFonts w:ascii="Arial" w:hAnsi="Arial" w:hint="default"/>
      </w:rPr>
    </w:lvl>
    <w:lvl w:ilvl="8" w:tplc="2DCE8F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F64F11"/>
    <w:multiLevelType w:val="hybridMultilevel"/>
    <w:tmpl w:val="025E520C"/>
    <w:lvl w:ilvl="0" w:tplc="F724D660">
      <w:start w:val="1"/>
      <w:numFmt w:val="bullet"/>
      <w:lvlText w:val="•"/>
      <w:lvlJc w:val="left"/>
      <w:pPr>
        <w:tabs>
          <w:tab w:val="num" w:pos="720"/>
        </w:tabs>
        <w:ind w:left="720" w:hanging="360"/>
      </w:pPr>
      <w:rPr>
        <w:rFonts w:ascii="Arial" w:hAnsi="Arial" w:hint="default"/>
      </w:rPr>
    </w:lvl>
    <w:lvl w:ilvl="1" w:tplc="C3423E5E">
      <w:start w:val="1"/>
      <w:numFmt w:val="bullet"/>
      <w:lvlText w:val="•"/>
      <w:lvlJc w:val="left"/>
      <w:pPr>
        <w:tabs>
          <w:tab w:val="num" w:pos="1440"/>
        </w:tabs>
        <w:ind w:left="1440" w:hanging="360"/>
      </w:pPr>
      <w:rPr>
        <w:rFonts w:ascii="Arial" w:hAnsi="Arial" w:hint="default"/>
      </w:rPr>
    </w:lvl>
    <w:lvl w:ilvl="2" w:tplc="FEB0694E" w:tentative="1">
      <w:start w:val="1"/>
      <w:numFmt w:val="bullet"/>
      <w:lvlText w:val="•"/>
      <w:lvlJc w:val="left"/>
      <w:pPr>
        <w:tabs>
          <w:tab w:val="num" w:pos="2160"/>
        </w:tabs>
        <w:ind w:left="2160" w:hanging="360"/>
      </w:pPr>
      <w:rPr>
        <w:rFonts w:ascii="Arial" w:hAnsi="Arial" w:hint="default"/>
      </w:rPr>
    </w:lvl>
    <w:lvl w:ilvl="3" w:tplc="5FB873D2" w:tentative="1">
      <w:start w:val="1"/>
      <w:numFmt w:val="bullet"/>
      <w:lvlText w:val="•"/>
      <w:lvlJc w:val="left"/>
      <w:pPr>
        <w:tabs>
          <w:tab w:val="num" w:pos="2880"/>
        </w:tabs>
        <w:ind w:left="2880" w:hanging="360"/>
      </w:pPr>
      <w:rPr>
        <w:rFonts w:ascii="Arial" w:hAnsi="Arial" w:hint="default"/>
      </w:rPr>
    </w:lvl>
    <w:lvl w:ilvl="4" w:tplc="E2F67D78" w:tentative="1">
      <w:start w:val="1"/>
      <w:numFmt w:val="bullet"/>
      <w:lvlText w:val="•"/>
      <w:lvlJc w:val="left"/>
      <w:pPr>
        <w:tabs>
          <w:tab w:val="num" w:pos="3600"/>
        </w:tabs>
        <w:ind w:left="3600" w:hanging="360"/>
      </w:pPr>
      <w:rPr>
        <w:rFonts w:ascii="Arial" w:hAnsi="Arial" w:hint="default"/>
      </w:rPr>
    </w:lvl>
    <w:lvl w:ilvl="5" w:tplc="F8F698D8" w:tentative="1">
      <w:start w:val="1"/>
      <w:numFmt w:val="bullet"/>
      <w:lvlText w:val="•"/>
      <w:lvlJc w:val="left"/>
      <w:pPr>
        <w:tabs>
          <w:tab w:val="num" w:pos="4320"/>
        </w:tabs>
        <w:ind w:left="4320" w:hanging="360"/>
      </w:pPr>
      <w:rPr>
        <w:rFonts w:ascii="Arial" w:hAnsi="Arial" w:hint="default"/>
      </w:rPr>
    </w:lvl>
    <w:lvl w:ilvl="6" w:tplc="2FC06128" w:tentative="1">
      <w:start w:val="1"/>
      <w:numFmt w:val="bullet"/>
      <w:lvlText w:val="•"/>
      <w:lvlJc w:val="left"/>
      <w:pPr>
        <w:tabs>
          <w:tab w:val="num" w:pos="5040"/>
        </w:tabs>
        <w:ind w:left="5040" w:hanging="360"/>
      </w:pPr>
      <w:rPr>
        <w:rFonts w:ascii="Arial" w:hAnsi="Arial" w:hint="default"/>
      </w:rPr>
    </w:lvl>
    <w:lvl w:ilvl="7" w:tplc="AB3A5924" w:tentative="1">
      <w:start w:val="1"/>
      <w:numFmt w:val="bullet"/>
      <w:lvlText w:val="•"/>
      <w:lvlJc w:val="left"/>
      <w:pPr>
        <w:tabs>
          <w:tab w:val="num" w:pos="5760"/>
        </w:tabs>
        <w:ind w:left="5760" w:hanging="360"/>
      </w:pPr>
      <w:rPr>
        <w:rFonts w:ascii="Arial" w:hAnsi="Arial" w:hint="default"/>
      </w:rPr>
    </w:lvl>
    <w:lvl w:ilvl="8" w:tplc="39BE9E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5" w15:restartNumberingAfterBreak="0">
    <w:nsid w:val="7DEB6577"/>
    <w:multiLevelType w:val="hybridMultilevel"/>
    <w:tmpl w:val="90082126"/>
    <w:lvl w:ilvl="0" w:tplc="22521A3C">
      <w:start w:val="1"/>
      <w:numFmt w:val="bullet"/>
      <w:lvlText w:val="•"/>
      <w:lvlJc w:val="left"/>
      <w:pPr>
        <w:tabs>
          <w:tab w:val="num" w:pos="720"/>
        </w:tabs>
        <w:ind w:left="720" w:hanging="360"/>
      </w:pPr>
      <w:rPr>
        <w:rFonts w:ascii="Arial" w:hAnsi="Arial" w:hint="default"/>
      </w:rPr>
    </w:lvl>
    <w:lvl w:ilvl="1" w:tplc="C1FC8E36">
      <w:numFmt w:val="bullet"/>
      <w:lvlText w:val="•"/>
      <w:lvlJc w:val="left"/>
      <w:pPr>
        <w:tabs>
          <w:tab w:val="num" w:pos="1440"/>
        </w:tabs>
        <w:ind w:left="1440" w:hanging="360"/>
      </w:pPr>
      <w:rPr>
        <w:rFonts w:ascii="Arial" w:hAnsi="Arial" w:hint="default"/>
      </w:rPr>
    </w:lvl>
    <w:lvl w:ilvl="2" w:tplc="2E224BEA" w:tentative="1">
      <w:start w:val="1"/>
      <w:numFmt w:val="bullet"/>
      <w:lvlText w:val="•"/>
      <w:lvlJc w:val="left"/>
      <w:pPr>
        <w:tabs>
          <w:tab w:val="num" w:pos="2160"/>
        </w:tabs>
        <w:ind w:left="2160" w:hanging="360"/>
      </w:pPr>
      <w:rPr>
        <w:rFonts w:ascii="Arial" w:hAnsi="Arial" w:hint="default"/>
      </w:rPr>
    </w:lvl>
    <w:lvl w:ilvl="3" w:tplc="B7F6E98A" w:tentative="1">
      <w:start w:val="1"/>
      <w:numFmt w:val="bullet"/>
      <w:lvlText w:val="•"/>
      <w:lvlJc w:val="left"/>
      <w:pPr>
        <w:tabs>
          <w:tab w:val="num" w:pos="2880"/>
        </w:tabs>
        <w:ind w:left="2880" w:hanging="360"/>
      </w:pPr>
      <w:rPr>
        <w:rFonts w:ascii="Arial" w:hAnsi="Arial" w:hint="default"/>
      </w:rPr>
    </w:lvl>
    <w:lvl w:ilvl="4" w:tplc="FB627406" w:tentative="1">
      <w:start w:val="1"/>
      <w:numFmt w:val="bullet"/>
      <w:lvlText w:val="•"/>
      <w:lvlJc w:val="left"/>
      <w:pPr>
        <w:tabs>
          <w:tab w:val="num" w:pos="3600"/>
        </w:tabs>
        <w:ind w:left="3600" w:hanging="360"/>
      </w:pPr>
      <w:rPr>
        <w:rFonts w:ascii="Arial" w:hAnsi="Arial" w:hint="default"/>
      </w:rPr>
    </w:lvl>
    <w:lvl w:ilvl="5" w:tplc="9C6ECB18" w:tentative="1">
      <w:start w:val="1"/>
      <w:numFmt w:val="bullet"/>
      <w:lvlText w:val="•"/>
      <w:lvlJc w:val="left"/>
      <w:pPr>
        <w:tabs>
          <w:tab w:val="num" w:pos="4320"/>
        </w:tabs>
        <w:ind w:left="4320" w:hanging="360"/>
      </w:pPr>
      <w:rPr>
        <w:rFonts w:ascii="Arial" w:hAnsi="Arial" w:hint="default"/>
      </w:rPr>
    </w:lvl>
    <w:lvl w:ilvl="6" w:tplc="F1305558" w:tentative="1">
      <w:start w:val="1"/>
      <w:numFmt w:val="bullet"/>
      <w:lvlText w:val="•"/>
      <w:lvlJc w:val="left"/>
      <w:pPr>
        <w:tabs>
          <w:tab w:val="num" w:pos="5040"/>
        </w:tabs>
        <w:ind w:left="5040" w:hanging="360"/>
      </w:pPr>
      <w:rPr>
        <w:rFonts w:ascii="Arial" w:hAnsi="Arial" w:hint="default"/>
      </w:rPr>
    </w:lvl>
    <w:lvl w:ilvl="7" w:tplc="6D7C8F96" w:tentative="1">
      <w:start w:val="1"/>
      <w:numFmt w:val="bullet"/>
      <w:lvlText w:val="•"/>
      <w:lvlJc w:val="left"/>
      <w:pPr>
        <w:tabs>
          <w:tab w:val="num" w:pos="5760"/>
        </w:tabs>
        <w:ind w:left="5760" w:hanging="360"/>
      </w:pPr>
      <w:rPr>
        <w:rFonts w:ascii="Arial" w:hAnsi="Arial" w:hint="default"/>
      </w:rPr>
    </w:lvl>
    <w:lvl w:ilvl="8" w:tplc="1046BDC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
  </w:num>
  <w:num w:numId="3">
    <w:abstractNumId w:val="22"/>
  </w:num>
  <w:num w:numId="4">
    <w:abstractNumId w:val="24"/>
  </w:num>
  <w:num w:numId="5">
    <w:abstractNumId w:val="18"/>
  </w:num>
  <w:num w:numId="6">
    <w:abstractNumId w:val="9"/>
  </w:num>
  <w:num w:numId="7">
    <w:abstractNumId w:val="16"/>
  </w:num>
  <w:num w:numId="8">
    <w:abstractNumId w:val="4"/>
  </w:num>
  <w:num w:numId="9">
    <w:abstractNumId w:val="8"/>
  </w:num>
  <w:num w:numId="10">
    <w:abstractNumId w:val="6"/>
  </w:num>
  <w:num w:numId="11">
    <w:abstractNumId w:val="11"/>
  </w:num>
  <w:num w:numId="12">
    <w:abstractNumId w:val="12"/>
  </w:num>
  <w:num w:numId="13">
    <w:abstractNumId w:val="14"/>
  </w:num>
  <w:num w:numId="14">
    <w:abstractNumId w:val="3"/>
  </w:num>
  <w:num w:numId="15">
    <w:abstractNumId w:val="17"/>
  </w:num>
  <w:num w:numId="16">
    <w:abstractNumId w:val="1"/>
  </w:num>
  <w:num w:numId="17">
    <w:abstractNumId w:val="10"/>
  </w:num>
  <w:num w:numId="18">
    <w:abstractNumId w:val="25"/>
  </w:num>
  <w:num w:numId="19">
    <w:abstractNumId w:val="15"/>
  </w:num>
  <w:num w:numId="20">
    <w:abstractNumId w:val="0"/>
  </w:num>
  <w:num w:numId="21">
    <w:abstractNumId w:val="7"/>
  </w:num>
  <w:num w:numId="22">
    <w:abstractNumId w:val="20"/>
  </w:num>
  <w:num w:numId="23">
    <w:abstractNumId w:val="5"/>
  </w:num>
  <w:num w:numId="24">
    <w:abstractNumId w:val="23"/>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2F6F"/>
    <w:rsid w:val="00063E08"/>
    <w:rsid w:val="00067B89"/>
    <w:rsid w:val="00073ADB"/>
    <w:rsid w:val="00095A2E"/>
    <w:rsid w:val="000A178A"/>
    <w:rsid w:val="000A2ED7"/>
    <w:rsid w:val="000A4BCB"/>
    <w:rsid w:val="000D2930"/>
    <w:rsid w:val="000E2C03"/>
    <w:rsid w:val="000F7EAD"/>
    <w:rsid w:val="00100360"/>
    <w:rsid w:val="00187A32"/>
    <w:rsid w:val="00192DA7"/>
    <w:rsid w:val="001C4FEE"/>
    <w:rsid w:val="001E7174"/>
    <w:rsid w:val="001F2AE4"/>
    <w:rsid w:val="0020033A"/>
    <w:rsid w:val="002221AC"/>
    <w:rsid w:val="002328DD"/>
    <w:rsid w:val="00254F38"/>
    <w:rsid w:val="00282D3C"/>
    <w:rsid w:val="0028346D"/>
    <w:rsid w:val="002954B6"/>
    <w:rsid w:val="002A5E54"/>
    <w:rsid w:val="002B45C3"/>
    <w:rsid w:val="002E668C"/>
    <w:rsid w:val="002F579F"/>
    <w:rsid w:val="00311CF9"/>
    <w:rsid w:val="00336939"/>
    <w:rsid w:val="00356FB6"/>
    <w:rsid w:val="003664ED"/>
    <w:rsid w:val="00393619"/>
    <w:rsid w:val="003A5E2B"/>
    <w:rsid w:val="003B294E"/>
    <w:rsid w:val="003F37F1"/>
    <w:rsid w:val="003F5BF9"/>
    <w:rsid w:val="003F762D"/>
    <w:rsid w:val="00404BD3"/>
    <w:rsid w:val="00406B4F"/>
    <w:rsid w:val="00430F24"/>
    <w:rsid w:val="00435EBD"/>
    <w:rsid w:val="004361CA"/>
    <w:rsid w:val="00451285"/>
    <w:rsid w:val="00466D02"/>
    <w:rsid w:val="00477263"/>
    <w:rsid w:val="00490A38"/>
    <w:rsid w:val="0049501A"/>
    <w:rsid w:val="004A678E"/>
    <w:rsid w:val="004A7CF2"/>
    <w:rsid w:val="004B5042"/>
    <w:rsid w:val="004C4868"/>
    <w:rsid w:val="004D4020"/>
    <w:rsid w:val="004F0167"/>
    <w:rsid w:val="0050339C"/>
    <w:rsid w:val="005235DB"/>
    <w:rsid w:val="00530EB0"/>
    <w:rsid w:val="005449A0"/>
    <w:rsid w:val="00545EC2"/>
    <w:rsid w:val="0054734A"/>
    <w:rsid w:val="00591D07"/>
    <w:rsid w:val="005B5877"/>
    <w:rsid w:val="005F5231"/>
    <w:rsid w:val="006C2C59"/>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2E6A"/>
    <w:rsid w:val="00804945"/>
    <w:rsid w:val="008446CE"/>
    <w:rsid w:val="00847DA9"/>
    <w:rsid w:val="0087326D"/>
    <w:rsid w:val="00873C1C"/>
    <w:rsid w:val="00886525"/>
    <w:rsid w:val="00892EAE"/>
    <w:rsid w:val="008A1C4E"/>
    <w:rsid w:val="008B4F73"/>
    <w:rsid w:val="008D2271"/>
    <w:rsid w:val="008D3137"/>
    <w:rsid w:val="008D55C5"/>
    <w:rsid w:val="008E2591"/>
    <w:rsid w:val="008E4053"/>
    <w:rsid w:val="00900196"/>
    <w:rsid w:val="0090615E"/>
    <w:rsid w:val="00914A03"/>
    <w:rsid w:val="009250D1"/>
    <w:rsid w:val="009450D8"/>
    <w:rsid w:val="00951825"/>
    <w:rsid w:val="009708D0"/>
    <w:rsid w:val="00985077"/>
    <w:rsid w:val="009968CF"/>
    <w:rsid w:val="009C4E39"/>
    <w:rsid w:val="009C7D5E"/>
    <w:rsid w:val="009D03C6"/>
    <w:rsid w:val="009D2942"/>
    <w:rsid w:val="009E6763"/>
    <w:rsid w:val="009E6DC8"/>
    <w:rsid w:val="00A00FE9"/>
    <w:rsid w:val="00A1597D"/>
    <w:rsid w:val="00A22790"/>
    <w:rsid w:val="00A23689"/>
    <w:rsid w:val="00A23D20"/>
    <w:rsid w:val="00A26AB0"/>
    <w:rsid w:val="00A42E3A"/>
    <w:rsid w:val="00A90E6D"/>
    <w:rsid w:val="00AC2C97"/>
    <w:rsid w:val="00AC79C3"/>
    <w:rsid w:val="00AD69AA"/>
    <w:rsid w:val="00AE6BE0"/>
    <w:rsid w:val="00AF0E37"/>
    <w:rsid w:val="00AF5966"/>
    <w:rsid w:val="00B10C6E"/>
    <w:rsid w:val="00B23292"/>
    <w:rsid w:val="00B32D45"/>
    <w:rsid w:val="00B41E6D"/>
    <w:rsid w:val="00B474B6"/>
    <w:rsid w:val="00B73A82"/>
    <w:rsid w:val="00BB2A32"/>
    <w:rsid w:val="00BC47AB"/>
    <w:rsid w:val="00BD2AB1"/>
    <w:rsid w:val="00BE18BD"/>
    <w:rsid w:val="00BE1FD4"/>
    <w:rsid w:val="00BE677A"/>
    <w:rsid w:val="00BF00A7"/>
    <w:rsid w:val="00BF33D9"/>
    <w:rsid w:val="00BF6B5E"/>
    <w:rsid w:val="00C11B10"/>
    <w:rsid w:val="00C22855"/>
    <w:rsid w:val="00C338CA"/>
    <w:rsid w:val="00C50A0A"/>
    <w:rsid w:val="00C83525"/>
    <w:rsid w:val="00CA1729"/>
    <w:rsid w:val="00CA1DAE"/>
    <w:rsid w:val="00CE0DA0"/>
    <w:rsid w:val="00CF40B2"/>
    <w:rsid w:val="00D41D2D"/>
    <w:rsid w:val="00D87C93"/>
    <w:rsid w:val="00D933B5"/>
    <w:rsid w:val="00DB1DD4"/>
    <w:rsid w:val="00DB61B3"/>
    <w:rsid w:val="00DD1DFF"/>
    <w:rsid w:val="00DD38B2"/>
    <w:rsid w:val="00DF0231"/>
    <w:rsid w:val="00E17F78"/>
    <w:rsid w:val="00E52FB0"/>
    <w:rsid w:val="00E5666B"/>
    <w:rsid w:val="00E577DD"/>
    <w:rsid w:val="00E80B09"/>
    <w:rsid w:val="00E9184C"/>
    <w:rsid w:val="00EA4E79"/>
    <w:rsid w:val="00EA5149"/>
    <w:rsid w:val="00EB02DF"/>
    <w:rsid w:val="00ED01C8"/>
    <w:rsid w:val="00EE6F45"/>
    <w:rsid w:val="00F0497C"/>
    <w:rsid w:val="00F076D1"/>
    <w:rsid w:val="00F10730"/>
    <w:rsid w:val="00F12F0F"/>
    <w:rsid w:val="00F14AB2"/>
    <w:rsid w:val="00F303F4"/>
    <w:rsid w:val="00F413E7"/>
    <w:rsid w:val="00FA4943"/>
    <w:rsid w:val="00FA5B01"/>
    <w:rsid w:val="00FC0F9D"/>
    <w:rsid w:val="00FC27EC"/>
    <w:rsid w:val="00FC3492"/>
    <w:rsid w:val="00FC625D"/>
    <w:rsid w:val="00FC76D1"/>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128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 w:type="paragraph" w:styleId="ab">
    <w:name w:val="Balloon Text"/>
    <w:basedOn w:val="a"/>
    <w:link w:val="Char2"/>
    <w:uiPriority w:val="99"/>
    <w:semiHidden/>
    <w:unhideWhenUsed/>
    <w:rsid w:val="004B5042"/>
    <w:pPr>
      <w:spacing w:after="0"/>
    </w:pPr>
    <w:rPr>
      <w:sz w:val="18"/>
      <w:szCs w:val="18"/>
    </w:rPr>
  </w:style>
  <w:style w:type="character" w:customStyle="1" w:styleId="Char2">
    <w:name w:val="批注框文本 Char"/>
    <w:basedOn w:val="a0"/>
    <w:link w:val="ab"/>
    <w:uiPriority w:val="99"/>
    <w:semiHidden/>
    <w:rsid w:val="004B5042"/>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08736045">
      <w:bodyDiv w:val="1"/>
      <w:marLeft w:val="0"/>
      <w:marRight w:val="0"/>
      <w:marTop w:val="0"/>
      <w:marBottom w:val="0"/>
      <w:divBdr>
        <w:top w:val="none" w:sz="0" w:space="0" w:color="auto"/>
        <w:left w:val="none" w:sz="0" w:space="0" w:color="auto"/>
        <w:bottom w:val="none" w:sz="0" w:space="0" w:color="auto"/>
        <w:right w:val="none" w:sz="0" w:space="0" w:color="auto"/>
      </w:divBdr>
      <w:divsChild>
        <w:div w:id="1169978322">
          <w:marLeft w:val="360"/>
          <w:marRight w:val="0"/>
          <w:marTop w:val="200"/>
          <w:marBottom w:val="0"/>
          <w:divBdr>
            <w:top w:val="none" w:sz="0" w:space="0" w:color="auto"/>
            <w:left w:val="none" w:sz="0" w:space="0" w:color="auto"/>
            <w:bottom w:val="none" w:sz="0" w:space="0" w:color="auto"/>
            <w:right w:val="none" w:sz="0" w:space="0" w:color="auto"/>
          </w:divBdr>
        </w:div>
        <w:div w:id="1177647256">
          <w:marLeft w:val="360"/>
          <w:marRight w:val="0"/>
          <w:marTop w:val="200"/>
          <w:marBottom w:val="0"/>
          <w:divBdr>
            <w:top w:val="none" w:sz="0" w:space="0" w:color="auto"/>
            <w:left w:val="none" w:sz="0" w:space="0" w:color="auto"/>
            <w:bottom w:val="none" w:sz="0" w:space="0" w:color="auto"/>
            <w:right w:val="none" w:sz="0" w:space="0" w:color="auto"/>
          </w:divBdr>
        </w:div>
      </w:divsChild>
    </w:div>
    <w:div w:id="258878667">
      <w:bodyDiv w:val="1"/>
      <w:marLeft w:val="0"/>
      <w:marRight w:val="0"/>
      <w:marTop w:val="0"/>
      <w:marBottom w:val="0"/>
      <w:divBdr>
        <w:top w:val="none" w:sz="0" w:space="0" w:color="auto"/>
        <w:left w:val="none" w:sz="0" w:space="0" w:color="auto"/>
        <w:bottom w:val="none" w:sz="0" w:space="0" w:color="auto"/>
        <w:right w:val="none" w:sz="0" w:space="0" w:color="auto"/>
      </w:divBdr>
      <w:divsChild>
        <w:div w:id="120999218">
          <w:marLeft w:val="1080"/>
          <w:marRight w:val="0"/>
          <w:marTop w:val="100"/>
          <w:marBottom w:val="0"/>
          <w:divBdr>
            <w:top w:val="none" w:sz="0" w:space="0" w:color="auto"/>
            <w:left w:val="none" w:sz="0" w:space="0" w:color="auto"/>
            <w:bottom w:val="none" w:sz="0" w:space="0" w:color="auto"/>
            <w:right w:val="none" w:sz="0" w:space="0" w:color="auto"/>
          </w:divBdr>
        </w:div>
      </w:divsChild>
    </w:div>
    <w:div w:id="398138888">
      <w:bodyDiv w:val="1"/>
      <w:marLeft w:val="0"/>
      <w:marRight w:val="0"/>
      <w:marTop w:val="0"/>
      <w:marBottom w:val="0"/>
      <w:divBdr>
        <w:top w:val="none" w:sz="0" w:space="0" w:color="auto"/>
        <w:left w:val="none" w:sz="0" w:space="0" w:color="auto"/>
        <w:bottom w:val="none" w:sz="0" w:space="0" w:color="auto"/>
        <w:right w:val="none" w:sz="0" w:space="0" w:color="auto"/>
      </w:divBdr>
      <w:divsChild>
        <w:div w:id="584460435">
          <w:marLeft w:val="1080"/>
          <w:marRight w:val="0"/>
          <w:marTop w:val="1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12129005">
      <w:bodyDiv w:val="1"/>
      <w:marLeft w:val="0"/>
      <w:marRight w:val="0"/>
      <w:marTop w:val="0"/>
      <w:marBottom w:val="0"/>
      <w:divBdr>
        <w:top w:val="none" w:sz="0" w:space="0" w:color="auto"/>
        <w:left w:val="none" w:sz="0" w:space="0" w:color="auto"/>
        <w:bottom w:val="none" w:sz="0" w:space="0" w:color="auto"/>
        <w:right w:val="none" w:sz="0" w:space="0" w:color="auto"/>
      </w:divBdr>
      <w:divsChild>
        <w:div w:id="1628701473">
          <w:marLeft w:val="360"/>
          <w:marRight w:val="0"/>
          <w:marTop w:val="200"/>
          <w:marBottom w:val="0"/>
          <w:divBdr>
            <w:top w:val="none" w:sz="0" w:space="0" w:color="auto"/>
            <w:left w:val="none" w:sz="0" w:space="0" w:color="auto"/>
            <w:bottom w:val="none" w:sz="0" w:space="0" w:color="auto"/>
            <w:right w:val="none" w:sz="0" w:space="0" w:color="auto"/>
          </w:divBdr>
        </w:div>
        <w:div w:id="1379083456">
          <w:marLeft w:val="1080"/>
          <w:marRight w:val="0"/>
          <w:marTop w:val="100"/>
          <w:marBottom w:val="0"/>
          <w:divBdr>
            <w:top w:val="none" w:sz="0" w:space="0" w:color="auto"/>
            <w:left w:val="none" w:sz="0" w:space="0" w:color="auto"/>
            <w:bottom w:val="none" w:sz="0" w:space="0" w:color="auto"/>
            <w:right w:val="none" w:sz="0" w:space="0" w:color="auto"/>
          </w:divBdr>
        </w:div>
        <w:div w:id="1641110747">
          <w:marLeft w:val="360"/>
          <w:marRight w:val="0"/>
          <w:marTop w:val="200"/>
          <w:marBottom w:val="0"/>
          <w:divBdr>
            <w:top w:val="none" w:sz="0" w:space="0" w:color="auto"/>
            <w:left w:val="none" w:sz="0" w:space="0" w:color="auto"/>
            <w:bottom w:val="none" w:sz="0" w:space="0" w:color="auto"/>
            <w:right w:val="none" w:sz="0" w:space="0" w:color="auto"/>
          </w:divBdr>
        </w:div>
        <w:div w:id="404381175">
          <w:marLeft w:val="1080"/>
          <w:marRight w:val="0"/>
          <w:marTop w:val="100"/>
          <w:marBottom w:val="0"/>
          <w:divBdr>
            <w:top w:val="none" w:sz="0" w:space="0" w:color="auto"/>
            <w:left w:val="none" w:sz="0" w:space="0" w:color="auto"/>
            <w:bottom w:val="none" w:sz="0" w:space="0" w:color="auto"/>
            <w:right w:val="none" w:sz="0" w:space="0" w:color="auto"/>
          </w:divBdr>
        </w:div>
        <w:div w:id="455560851">
          <w:marLeft w:val="360"/>
          <w:marRight w:val="0"/>
          <w:marTop w:val="200"/>
          <w:marBottom w:val="0"/>
          <w:divBdr>
            <w:top w:val="none" w:sz="0" w:space="0" w:color="auto"/>
            <w:left w:val="none" w:sz="0" w:space="0" w:color="auto"/>
            <w:bottom w:val="none" w:sz="0" w:space="0" w:color="auto"/>
            <w:right w:val="none" w:sz="0" w:space="0" w:color="auto"/>
          </w:divBdr>
        </w:div>
        <w:div w:id="1252081679">
          <w:marLeft w:val="1080"/>
          <w:marRight w:val="0"/>
          <w:marTop w:val="1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86718536">
      <w:bodyDiv w:val="1"/>
      <w:marLeft w:val="0"/>
      <w:marRight w:val="0"/>
      <w:marTop w:val="0"/>
      <w:marBottom w:val="0"/>
      <w:divBdr>
        <w:top w:val="none" w:sz="0" w:space="0" w:color="auto"/>
        <w:left w:val="none" w:sz="0" w:space="0" w:color="auto"/>
        <w:bottom w:val="none" w:sz="0" w:space="0" w:color="auto"/>
        <w:right w:val="none" w:sz="0" w:space="0" w:color="auto"/>
      </w:divBdr>
      <w:divsChild>
        <w:div w:id="1873961383">
          <w:marLeft w:val="360"/>
          <w:marRight w:val="0"/>
          <w:marTop w:val="200"/>
          <w:marBottom w:val="0"/>
          <w:divBdr>
            <w:top w:val="none" w:sz="0" w:space="0" w:color="auto"/>
            <w:left w:val="none" w:sz="0" w:space="0" w:color="auto"/>
            <w:bottom w:val="none" w:sz="0" w:space="0" w:color="auto"/>
            <w:right w:val="none" w:sz="0" w:space="0" w:color="auto"/>
          </w:divBdr>
        </w:div>
        <w:div w:id="1220359431">
          <w:marLeft w:val="1080"/>
          <w:marRight w:val="0"/>
          <w:marTop w:val="100"/>
          <w:marBottom w:val="0"/>
          <w:divBdr>
            <w:top w:val="none" w:sz="0" w:space="0" w:color="auto"/>
            <w:left w:val="none" w:sz="0" w:space="0" w:color="auto"/>
            <w:bottom w:val="none" w:sz="0" w:space="0" w:color="auto"/>
            <w:right w:val="none" w:sz="0" w:space="0" w:color="auto"/>
          </w:divBdr>
        </w:div>
        <w:div w:id="1860778506">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66081616">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90540499">
      <w:bodyDiv w:val="1"/>
      <w:marLeft w:val="0"/>
      <w:marRight w:val="0"/>
      <w:marTop w:val="0"/>
      <w:marBottom w:val="0"/>
      <w:divBdr>
        <w:top w:val="none" w:sz="0" w:space="0" w:color="auto"/>
        <w:left w:val="none" w:sz="0" w:space="0" w:color="auto"/>
        <w:bottom w:val="none" w:sz="0" w:space="0" w:color="auto"/>
        <w:right w:val="none" w:sz="0" w:space="0" w:color="auto"/>
      </w:divBdr>
      <w:divsChild>
        <w:div w:id="181653223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1387812">
      <w:bodyDiv w:val="1"/>
      <w:marLeft w:val="0"/>
      <w:marRight w:val="0"/>
      <w:marTop w:val="0"/>
      <w:marBottom w:val="0"/>
      <w:divBdr>
        <w:top w:val="none" w:sz="0" w:space="0" w:color="auto"/>
        <w:left w:val="none" w:sz="0" w:space="0" w:color="auto"/>
        <w:bottom w:val="none" w:sz="0" w:space="0" w:color="auto"/>
        <w:right w:val="none" w:sz="0" w:space="0" w:color="auto"/>
      </w:divBdr>
      <w:divsChild>
        <w:div w:id="1079716909">
          <w:marLeft w:val="360"/>
          <w:marRight w:val="0"/>
          <w:marTop w:val="200"/>
          <w:marBottom w:val="0"/>
          <w:divBdr>
            <w:top w:val="none" w:sz="0" w:space="0" w:color="auto"/>
            <w:left w:val="none" w:sz="0" w:space="0" w:color="auto"/>
            <w:bottom w:val="none" w:sz="0" w:space="0" w:color="auto"/>
            <w:right w:val="none" w:sz="0" w:space="0" w:color="auto"/>
          </w:divBdr>
        </w:div>
      </w:divsChild>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199004040">
      <w:bodyDiv w:val="1"/>
      <w:marLeft w:val="0"/>
      <w:marRight w:val="0"/>
      <w:marTop w:val="0"/>
      <w:marBottom w:val="0"/>
      <w:divBdr>
        <w:top w:val="none" w:sz="0" w:space="0" w:color="auto"/>
        <w:left w:val="none" w:sz="0" w:space="0" w:color="auto"/>
        <w:bottom w:val="none" w:sz="0" w:space="0" w:color="auto"/>
        <w:right w:val="none" w:sz="0" w:space="0" w:color="auto"/>
      </w:divBdr>
      <w:divsChild>
        <w:div w:id="333846256">
          <w:marLeft w:val="360"/>
          <w:marRight w:val="0"/>
          <w:marTop w:val="200"/>
          <w:marBottom w:val="0"/>
          <w:divBdr>
            <w:top w:val="none" w:sz="0" w:space="0" w:color="auto"/>
            <w:left w:val="none" w:sz="0" w:space="0" w:color="auto"/>
            <w:bottom w:val="none" w:sz="0" w:space="0" w:color="auto"/>
            <w:right w:val="none" w:sz="0" w:space="0" w:color="auto"/>
          </w:divBdr>
        </w:div>
        <w:div w:id="156072462">
          <w:marLeft w:val="1080"/>
          <w:marRight w:val="0"/>
          <w:marTop w:val="100"/>
          <w:marBottom w:val="0"/>
          <w:divBdr>
            <w:top w:val="none" w:sz="0" w:space="0" w:color="auto"/>
            <w:left w:val="none" w:sz="0" w:space="0" w:color="auto"/>
            <w:bottom w:val="none" w:sz="0" w:space="0" w:color="auto"/>
            <w:right w:val="none" w:sz="0" w:space="0" w:color="auto"/>
          </w:divBdr>
        </w:div>
        <w:div w:id="586689167">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02419764">
      <w:bodyDiv w:val="1"/>
      <w:marLeft w:val="0"/>
      <w:marRight w:val="0"/>
      <w:marTop w:val="0"/>
      <w:marBottom w:val="0"/>
      <w:divBdr>
        <w:top w:val="none" w:sz="0" w:space="0" w:color="auto"/>
        <w:left w:val="none" w:sz="0" w:space="0" w:color="auto"/>
        <w:bottom w:val="none" w:sz="0" w:space="0" w:color="auto"/>
        <w:right w:val="none" w:sz="0" w:space="0" w:color="auto"/>
      </w:divBdr>
    </w:div>
    <w:div w:id="1356078242">
      <w:bodyDiv w:val="1"/>
      <w:marLeft w:val="0"/>
      <w:marRight w:val="0"/>
      <w:marTop w:val="0"/>
      <w:marBottom w:val="0"/>
      <w:divBdr>
        <w:top w:val="none" w:sz="0" w:space="0" w:color="auto"/>
        <w:left w:val="none" w:sz="0" w:space="0" w:color="auto"/>
        <w:bottom w:val="none" w:sz="0" w:space="0" w:color="auto"/>
        <w:right w:val="none" w:sz="0" w:space="0" w:color="auto"/>
      </w:divBdr>
      <w:divsChild>
        <w:div w:id="1865711284">
          <w:marLeft w:val="360"/>
          <w:marRight w:val="0"/>
          <w:marTop w:val="200"/>
          <w:marBottom w:val="0"/>
          <w:divBdr>
            <w:top w:val="none" w:sz="0" w:space="0" w:color="auto"/>
            <w:left w:val="none" w:sz="0" w:space="0" w:color="auto"/>
            <w:bottom w:val="none" w:sz="0" w:space="0" w:color="auto"/>
            <w:right w:val="none" w:sz="0" w:space="0" w:color="auto"/>
          </w:divBdr>
        </w:div>
        <w:div w:id="478616136">
          <w:marLeft w:val="360"/>
          <w:marRight w:val="0"/>
          <w:marTop w:val="200"/>
          <w:marBottom w:val="0"/>
          <w:divBdr>
            <w:top w:val="none" w:sz="0" w:space="0" w:color="auto"/>
            <w:left w:val="none" w:sz="0" w:space="0" w:color="auto"/>
            <w:bottom w:val="none" w:sz="0" w:space="0" w:color="auto"/>
            <w:right w:val="none" w:sz="0" w:space="0" w:color="auto"/>
          </w:divBdr>
        </w:div>
      </w:divsChild>
    </w:div>
    <w:div w:id="1359890854">
      <w:bodyDiv w:val="1"/>
      <w:marLeft w:val="0"/>
      <w:marRight w:val="0"/>
      <w:marTop w:val="0"/>
      <w:marBottom w:val="0"/>
      <w:divBdr>
        <w:top w:val="none" w:sz="0" w:space="0" w:color="auto"/>
        <w:left w:val="none" w:sz="0" w:space="0" w:color="auto"/>
        <w:bottom w:val="none" w:sz="0" w:space="0" w:color="auto"/>
        <w:right w:val="none" w:sz="0" w:space="0" w:color="auto"/>
      </w:divBdr>
      <w:divsChild>
        <w:div w:id="1256326239">
          <w:marLeft w:val="1886"/>
          <w:marRight w:val="0"/>
          <w:marTop w:val="0"/>
          <w:marBottom w:val="0"/>
          <w:divBdr>
            <w:top w:val="none" w:sz="0" w:space="0" w:color="auto"/>
            <w:left w:val="none" w:sz="0" w:space="0" w:color="auto"/>
            <w:bottom w:val="none" w:sz="0" w:space="0" w:color="auto"/>
            <w:right w:val="none" w:sz="0" w:space="0" w:color="auto"/>
          </w:divBdr>
        </w:div>
        <w:div w:id="1211113895">
          <w:marLeft w:val="1886"/>
          <w:marRight w:val="0"/>
          <w:marTop w:val="0"/>
          <w:marBottom w:val="0"/>
          <w:divBdr>
            <w:top w:val="none" w:sz="0" w:space="0" w:color="auto"/>
            <w:left w:val="none" w:sz="0" w:space="0" w:color="auto"/>
            <w:bottom w:val="none" w:sz="0" w:space="0" w:color="auto"/>
            <w:right w:val="none" w:sz="0" w:space="0" w:color="auto"/>
          </w:divBdr>
        </w:div>
        <w:div w:id="1510605266">
          <w:marLeft w:val="1267"/>
          <w:marRight w:val="0"/>
          <w:marTop w:val="0"/>
          <w:marBottom w:val="60"/>
          <w:divBdr>
            <w:top w:val="none" w:sz="0" w:space="0" w:color="auto"/>
            <w:left w:val="none" w:sz="0" w:space="0" w:color="auto"/>
            <w:bottom w:val="none" w:sz="0" w:space="0" w:color="auto"/>
            <w:right w:val="none" w:sz="0" w:space="0" w:color="auto"/>
          </w:divBdr>
        </w:div>
      </w:divsChild>
    </w:div>
    <w:div w:id="1363824803">
      <w:bodyDiv w:val="1"/>
      <w:marLeft w:val="0"/>
      <w:marRight w:val="0"/>
      <w:marTop w:val="0"/>
      <w:marBottom w:val="0"/>
      <w:divBdr>
        <w:top w:val="none" w:sz="0" w:space="0" w:color="auto"/>
        <w:left w:val="none" w:sz="0" w:space="0" w:color="auto"/>
        <w:bottom w:val="none" w:sz="0" w:space="0" w:color="auto"/>
        <w:right w:val="none" w:sz="0" w:space="0" w:color="auto"/>
      </w:divBdr>
      <w:divsChild>
        <w:div w:id="1395589856">
          <w:marLeft w:val="360"/>
          <w:marRight w:val="0"/>
          <w:marTop w:val="200"/>
          <w:marBottom w:val="0"/>
          <w:divBdr>
            <w:top w:val="none" w:sz="0" w:space="0" w:color="auto"/>
            <w:left w:val="none" w:sz="0" w:space="0" w:color="auto"/>
            <w:bottom w:val="none" w:sz="0" w:space="0" w:color="auto"/>
            <w:right w:val="none" w:sz="0" w:space="0" w:color="auto"/>
          </w:divBdr>
        </w:div>
        <w:div w:id="590822241">
          <w:marLeft w:val="1080"/>
          <w:marRight w:val="0"/>
          <w:marTop w:val="100"/>
          <w:marBottom w:val="0"/>
          <w:divBdr>
            <w:top w:val="none" w:sz="0" w:space="0" w:color="auto"/>
            <w:left w:val="none" w:sz="0" w:space="0" w:color="auto"/>
            <w:bottom w:val="none" w:sz="0" w:space="0" w:color="auto"/>
            <w:right w:val="none" w:sz="0" w:space="0" w:color="auto"/>
          </w:divBdr>
        </w:div>
        <w:div w:id="1920479405">
          <w:marLeft w:val="1080"/>
          <w:marRight w:val="0"/>
          <w:marTop w:val="100"/>
          <w:marBottom w:val="0"/>
          <w:divBdr>
            <w:top w:val="none" w:sz="0" w:space="0" w:color="auto"/>
            <w:left w:val="none" w:sz="0" w:space="0" w:color="auto"/>
            <w:bottom w:val="none" w:sz="0" w:space="0" w:color="auto"/>
            <w:right w:val="none" w:sz="0" w:space="0" w:color="auto"/>
          </w:divBdr>
        </w:div>
        <w:div w:id="2116049564">
          <w:marLeft w:val="1080"/>
          <w:marRight w:val="0"/>
          <w:marTop w:val="100"/>
          <w:marBottom w:val="0"/>
          <w:divBdr>
            <w:top w:val="none" w:sz="0" w:space="0" w:color="auto"/>
            <w:left w:val="none" w:sz="0" w:space="0" w:color="auto"/>
            <w:bottom w:val="none" w:sz="0" w:space="0" w:color="auto"/>
            <w:right w:val="none" w:sz="0" w:space="0" w:color="auto"/>
          </w:divBdr>
        </w:div>
        <w:div w:id="125468654">
          <w:marLeft w:val="1800"/>
          <w:marRight w:val="0"/>
          <w:marTop w:val="100"/>
          <w:marBottom w:val="0"/>
          <w:divBdr>
            <w:top w:val="none" w:sz="0" w:space="0" w:color="auto"/>
            <w:left w:val="none" w:sz="0" w:space="0" w:color="auto"/>
            <w:bottom w:val="none" w:sz="0" w:space="0" w:color="auto"/>
            <w:right w:val="none" w:sz="0" w:space="0" w:color="auto"/>
          </w:divBdr>
        </w:div>
        <w:div w:id="1889679106">
          <w:marLeft w:val="1800"/>
          <w:marRight w:val="0"/>
          <w:marTop w:val="100"/>
          <w:marBottom w:val="0"/>
          <w:divBdr>
            <w:top w:val="none" w:sz="0" w:space="0" w:color="auto"/>
            <w:left w:val="none" w:sz="0" w:space="0" w:color="auto"/>
            <w:bottom w:val="none" w:sz="0" w:space="0" w:color="auto"/>
            <w:right w:val="none" w:sz="0" w:space="0" w:color="auto"/>
          </w:divBdr>
        </w:div>
      </w:divsChild>
    </w:div>
    <w:div w:id="1368214680">
      <w:bodyDiv w:val="1"/>
      <w:marLeft w:val="0"/>
      <w:marRight w:val="0"/>
      <w:marTop w:val="0"/>
      <w:marBottom w:val="0"/>
      <w:divBdr>
        <w:top w:val="none" w:sz="0" w:space="0" w:color="auto"/>
        <w:left w:val="none" w:sz="0" w:space="0" w:color="auto"/>
        <w:bottom w:val="none" w:sz="0" w:space="0" w:color="auto"/>
        <w:right w:val="none" w:sz="0" w:space="0" w:color="auto"/>
      </w:divBdr>
      <w:divsChild>
        <w:div w:id="1743867343">
          <w:marLeft w:val="360"/>
          <w:marRight w:val="0"/>
          <w:marTop w:val="200"/>
          <w:marBottom w:val="0"/>
          <w:divBdr>
            <w:top w:val="none" w:sz="0" w:space="0" w:color="auto"/>
            <w:left w:val="none" w:sz="0" w:space="0" w:color="auto"/>
            <w:bottom w:val="none" w:sz="0" w:space="0" w:color="auto"/>
            <w:right w:val="none" w:sz="0" w:space="0" w:color="auto"/>
          </w:divBdr>
        </w:div>
        <w:div w:id="1625110160">
          <w:marLeft w:val="1080"/>
          <w:marRight w:val="0"/>
          <w:marTop w:val="100"/>
          <w:marBottom w:val="0"/>
          <w:divBdr>
            <w:top w:val="none" w:sz="0" w:space="0" w:color="auto"/>
            <w:left w:val="none" w:sz="0" w:space="0" w:color="auto"/>
            <w:bottom w:val="none" w:sz="0" w:space="0" w:color="auto"/>
            <w:right w:val="none" w:sz="0" w:space="0" w:color="auto"/>
          </w:divBdr>
        </w:div>
        <w:div w:id="1229731022">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43730012">
      <w:bodyDiv w:val="1"/>
      <w:marLeft w:val="0"/>
      <w:marRight w:val="0"/>
      <w:marTop w:val="0"/>
      <w:marBottom w:val="0"/>
      <w:divBdr>
        <w:top w:val="none" w:sz="0" w:space="0" w:color="auto"/>
        <w:left w:val="none" w:sz="0" w:space="0" w:color="auto"/>
        <w:bottom w:val="none" w:sz="0" w:space="0" w:color="auto"/>
        <w:right w:val="none" w:sz="0" w:space="0" w:color="auto"/>
      </w:divBdr>
      <w:divsChild>
        <w:div w:id="250089298">
          <w:marLeft w:val="360"/>
          <w:marRight w:val="0"/>
          <w:marTop w:val="200"/>
          <w:marBottom w:val="0"/>
          <w:divBdr>
            <w:top w:val="none" w:sz="0" w:space="0" w:color="auto"/>
            <w:left w:val="none" w:sz="0" w:space="0" w:color="auto"/>
            <w:bottom w:val="none" w:sz="0" w:space="0" w:color="auto"/>
            <w:right w:val="none" w:sz="0" w:space="0" w:color="auto"/>
          </w:divBdr>
        </w:div>
        <w:div w:id="795563819">
          <w:marLeft w:val="1080"/>
          <w:marRight w:val="0"/>
          <w:marTop w:val="100"/>
          <w:marBottom w:val="0"/>
          <w:divBdr>
            <w:top w:val="none" w:sz="0" w:space="0" w:color="auto"/>
            <w:left w:val="none" w:sz="0" w:space="0" w:color="auto"/>
            <w:bottom w:val="none" w:sz="0" w:space="0" w:color="auto"/>
            <w:right w:val="none" w:sz="0" w:space="0" w:color="auto"/>
          </w:divBdr>
        </w:div>
        <w:div w:id="129983628">
          <w:marLeft w:val="1080"/>
          <w:marRight w:val="0"/>
          <w:marTop w:val="100"/>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48267568">
      <w:bodyDiv w:val="1"/>
      <w:marLeft w:val="0"/>
      <w:marRight w:val="0"/>
      <w:marTop w:val="0"/>
      <w:marBottom w:val="0"/>
      <w:divBdr>
        <w:top w:val="none" w:sz="0" w:space="0" w:color="auto"/>
        <w:left w:val="none" w:sz="0" w:space="0" w:color="auto"/>
        <w:bottom w:val="none" w:sz="0" w:space="0" w:color="auto"/>
        <w:right w:val="none" w:sz="0" w:space="0" w:color="auto"/>
      </w:divBdr>
      <w:divsChild>
        <w:div w:id="1065374916">
          <w:marLeft w:val="360"/>
          <w:marRight w:val="0"/>
          <w:marTop w:val="200"/>
          <w:marBottom w:val="0"/>
          <w:divBdr>
            <w:top w:val="none" w:sz="0" w:space="0" w:color="auto"/>
            <w:left w:val="none" w:sz="0" w:space="0" w:color="auto"/>
            <w:bottom w:val="none" w:sz="0" w:space="0" w:color="auto"/>
            <w:right w:val="none" w:sz="0" w:space="0" w:color="auto"/>
          </w:divBdr>
        </w:div>
        <w:div w:id="42297521">
          <w:marLeft w:val="360"/>
          <w:marRight w:val="0"/>
          <w:marTop w:val="20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5820320">
      <w:bodyDiv w:val="1"/>
      <w:marLeft w:val="0"/>
      <w:marRight w:val="0"/>
      <w:marTop w:val="0"/>
      <w:marBottom w:val="0"/>
      <w:divBdr>
        <w:top w:val="none" w:sz="0" w:space="0" w:color="auto"/>
        <w:left w:val="none" w:sz="0" w:space="0" w:color="auto"/>
        <w:bottom w:val="none" w:sz="0" w:space="0" w:color="auto"/>
        <w:right w:val="none" w:sz="0" w:space="0" w:color="auto"/>
      </w:divBdr>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142306871">
      <w:bodyDiv w:val="1"/>
      <w:marLeft w:val="0"/>
      <w:marRight w:val="0"/>
      <w:marTop w:val="0"/>
      <w:marBottom w:val="0"/>
      <w:divBdr>
        <w:top w:val="none" w:sz="0" w:space="0" w:color="auto"/>
        <w:left w:val="none" w:sz="0" w:space="0" w:color="auto"/>
        <w:bottom w:val="none" w:sz="0" w:space="0" w:color="auto"/>
        <w:right w:val="none" w:sz="0" w:space="0" w:color="auto"/>
      </w:divBdr>
      <w:divsChild>
        <w:div w:id="1573393382">
          <w:marLeft w:val="360"/>
          <w:marRight w:val="0"/>
          <w:marTop w:val="200"/>
          <w:marBottom w:val="0"/>
          <w:divBdr>
            <w:top w:val="none" w:sz="0" w:space="0" w:color="auto"/>
            <w:left w:val="none" w:sz="0" w:space="0" w:color="auto"/>
            <w:bottom w:val="none" w:sz="0" w:space="0" w:color="auto"/>
            <w:right w:val="none" w:sz="0" w:space="0" w:color="auto"/>
          </w:divBdr>
        </w:div>
        <w:div w:id="1529101261">
          <w:marLeft w:val="1080"/>
          <w:marRight w:val="0"/>
          <w:marTop w:val="100"/>
          <w:marBottom w:val="0"/>
          <w:divBdr>
            <w:top w:val="none" w:sz="0" w:space="0" w:color="auto"/>
            <w:left w:val="none" w:sz="0" w:space="0" w:color="auto"/>
            <w:bottom w:val="none" w:sz="0" w:space="0" w:color="auto"/>
            <w:right w:val="none" w:sz="0" w:space="0" w:color="auto"/>
          </w:divBdr>
        </w:div>
        <w:div w:id="15950455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2160</TotalTime>
  <Pages>4</Pages>
  <Words>1131</Words>
  <Characters>6452</Characters>
  <Application>Microsoft Office Word</Application>
  <DocSecurity>0</DocSecurity>
  <Lines>53</Lines>
  <Paragraphs>15</Paragraphs>
  <ScaleCrop>false</ScaleCrop>
  <Company>HUAWEI</Company>
  <LinksUpToDate>false</LinksUpToDate>
  <CharactersWithSpaces>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70</cp:revision>
  <dcterms:created xsi:type="dcterms:W3CDTF">2019-09-18T02:52:00Z</dcterms:created>
  <dcterms:modified xsi:type="dcterms:W3CDTF">2020-04-10T15:35:00Z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(3)o21tvuQb3KdYHkjdb6YYhTjzsmL03qG4p5aaGyjxvySSO6gUJDLTpD9F9kvmZ4z6cX2y/0b5
i4zwWcF4/57Us20/xsRMr2tfkDva8ZyFJeI4dOlnBSKMBg13Anbcl+gXhx1Qhm8u13znLEE5
PAzDjoaX6eKnS5CbQNCJMe6RFxzEf8uy42F9U1KITaAXpWuzwOp5N/eI6aQ03TDiLPL2FY/x
O3o4OxRK6Vx+xR2oNl</vt:lpwstr>
  </property>
  <property fmtid="{D5CDD505-2E9C-101B-9397-08002B2CF9AE}" pid="3" name="_2015_ms_pID_7253431">
    <vt:lpwstr>z9c8n/ElhC8WW53023IyIDFI0kBXmJHePRPSzKjj9bYIhAamq85AL6
D9A8b0YU5JnMDOq2Q0eDv8kx3Gr7+IHCODyj5SMX9CJKetYiENizEuXmgb/1Pn6DmT4VYC3d
xOkkZ6GCD5xv8DAJb5uwwXP4AVEBXKiKUtk07vufifcysZfo9FgRZCNyy5GgtxXUnXfc5o+F
U7nyLs3mBZ8sYn8CMT4fV1dsHp7fJ4C3ZkkS</vt:lpwstr>
  </property>
  <property fmtid="{D5CDD505-2E9C-101B-9397-08002B2CF9AE}" pid="4" name="_2015_ms_pID_7253432">
    <vt:lpwstr>GuCQr5iao+wJmrxUs+anxI0=</vt:lpwstr>
  </property>
</Properties>
</file>