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360AC" w14:textId="77777777" w:rsidR="00C16345" w:rsidRPr="00E61854" w:rsidRDefault="00C16345" w:rsidP="00C16345">
      <w:pPr>
        <w:widowControl w:val="0"/>
        <w:tabs>
          <w:tab w:val="right" w:pos="9639"/>
          <w:tab w:val="right" w:pos="13323"/>
        </w:tabs>
        <w:spacing w:after="0"/>
        <w:jc w:val="both"/>
        <w:rPr>
          <w:rFonts w:ascii="Arial" w:hAnsi="Arial" w:cs="Arial"/>
          <w:b/>
          <w:noProof/>
          <w:sz w:val="24"/>
          <w:szCs w:val="24"/>
          <w:lang w:val="en-US" w:eastAsia="ja-JP"/>
        </w:rPr>
      </w:pPr>
      <w:bookmarkStart w:id="0" w:name="_GoBack"/>
      <w:bookmarkEnd w:id="0"/>
      <w:r>
        <w:rPr>
          <w:rFonts w:ascii="Arial" w:hAnsi="Arial" w:cs="Arial"/>
          <w:b/>
          <w:noProof/>
          <w:sz w:val="24"/>
          <w:szCs w:val="24"/>
          <w:lang w:val="en-US"/>
        </w:rPr>
        <w:t xml:space="preserve">3GPP TSG-RAN WG4 </w:t>
      </w:r>
      <w:r w:rsidR="003C4687">
        <w:rPr>
          <w:rFonts w:ascii="Arial" w:hAnsi="Arial" w:cs="Arial"/>
          <w:b/>
          <w:noProof/>
          <w:sz w:val="24"/>
          <w:szCs w:val="24"/>
          <w:lang w:val="en-US"/>
        </w:rPr>
        <w:t>#94-e</w:t>
      </w:r>
      <w:r>
        <w:rPr>
          <w:rFonts w:ascii="Arial" w:hAnsi="Arial" w:cs="Arial"/>
          <w:b/>
          <w:noProof/>
          <w:sz w:val="24"/>
          <w:szCs w:val="24"/>
          <w:lang w:val="en-US"/>
        </w:rPr>
        <w:t xml:space="preserve"> </w:t>
      </w:r>
      <w:r w:rsidRPr="004B7E17">
        <w:rPr>
          <w:rFonts w:ascii="Arial" w:hAnsi="Arial" w:cs="Arial"/>
          <w:b/>
          <w:noProof/>
          <w:sz w:val="24"/>
          <w:szCs w:val="24"/>
          <w:lang w:val="en-US"/>
        </w:rPr>
        <w:tab/>
        <w:t>R4-</w:t>
      </w:r>
      <w:r w:rsidR="003C4687">
        <w:rPr>
          <w:rFonts w:ascii="Arial" w:hAnsi="Arial" w:cs="Arial"/>
          <w:b/>
          <w:noProof/>
          <w:sz w:val="24"/>
          <w:szCs w:val="24"/>
          <w:lang w:val="en-US"/>
        </w:rPr>
        <w:t>20</w:t>
      </w:r>
      <w:r w:rsidR="008847C3">
        <w:rPr>
          <w:rFonts w:ascii="Arial" w:hAnsi="Arial" w:cs="Arial"/>
          <w:b/>
          <w:noProof/>
          <w:sz w:val="24"/>
          <w:szCs w:val="24"/>
          <w:lang w:val="en-US"/>
        </w:rPr>
        <w:t>00965</w:t>
      </w:r>
    </w:p>
    <w:p w14:paraId="2E909395" w14:textId="77777777" w:rsidR="00C16345" w:rsidRDefault="003C4687" w:rsidP="00C16345">
      <w:pPr>
        <w:pStyle w:val="Footer"/>
        <w:jc w:val="both"/>
        <w:rPr>
          <w:i w:val="0"/>
          <w:noProof w:val="0"/>
          <w:sz w:val="24"/>
          <w:szCs w:val="24"/>
          <w:lang w:eastAsia="ja-JP"/>
        </w:rPr>
      </w:pPr>
      <w:r>
        <w:rPr>
          <w:rFonts w:eastAsia="SimSun"/>
          <w:i w:val="0"/>
          <w:noProof w:val="0"/>
          <w:sz w:val="24"/>
          <w:szCs w:val="24"/>
          <w:lang w:eastAsia="zh-CN"/>
        </w:rPr>
        <w:t>Online</w:t>
      </w:r>
      <w:r w:rsidR="00C16345">
        <w:rPr>
          <w:rFonts w:eastAsia="SimSun"/>
          <w:i w:val="0"/>
          <w:noProof w:val="0"/>
          <w:sz w:val="24"/>
          <w:szCs w:val="24"/>
          <w:lang w:eastAsia="zh-CN"/>
        </w:rPr>
        <w:t xml:space="preserve">, </w:t>
      </w:r>
      <w:r w:rsidRPr="003C4687">
        <w:rPr>
          <w:rFonts w:eastAsia="SimSun"/>
          <w:i w:val="0"/>
          <w:noProof w:val="0"/>
          <w:sz w:val="24"/>
          <w:szCs w:val="24"/>
          <w:lang w:eastAsia="zh-CN"/>
        </w:rPr>
        <w:t>24th February – 6th March 2020</w:t>
      </w:r>
    </w:p>
    <w:p w14:paraId="7B7A9796" w14:textId="77777777" w:rsidR="00C367A3" w:rsidRPr="00FB0094" w:rsidRDefault="00C367A3" w:rsidP="00C367A3">
      <w:pPr>
        <w:pStyle w:val="Footer"/>
        <w:jc w:val="both"/>
        <w:rPr>
          <w:noProof w:val="0"/>
        </w:rPr>
      </w:pPr>
    </w:p>
    <w:p w14:paraId="29165B3E" w14:textId="77777777" w:rsidR="00C367A3" w:rsidRPr="000A64D8" w:rsidRDefault="00C367A3" w:rsidP="00C367A3">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C4687">
        <w:rPr>
          <w:rFonts w:ascii="Arial" w:hAnsi="Arial"/>
          <w:sz w:val="24"/>
        </w:rPr>
        <w:t>8.5.4</w:t>
      </w:r>
    </w:p>
    <w:p w14:paraId="59B715D7" w14:textId="77777777" w:rsidR="00C367A3" w:rsidRPr="000A64D8" w:rsidRDefault="00C367A3" w:rsidP="00C367A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FCDBB69" w14:textId="77777777" w:rsidR="00C367A3" w:rsidRPr="000A64D8" w:rsidRDefault="00C367A3" w:rsidP="00C367A3">
      <w:pPr>
        <w:ind w:left="1988" w:hanging="1988"/>
        <w:jc w:val="both"/>
        <w:rPr>
          <w:rFonts w:ascii="Arial" w:hAnsi="Arial" w:hint="eastAsia"/>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C4687">
        <w:rPr>
          <w:rFonts w:ascii="Arial" w:hAnsi="Arial"/>
          <w:sz w:val="22"/>
        </w:rPr>
        <w:t>IAB MT RF Requirements</w:t>
      </w:r>
    </w:p>
    <w:p w14:paraId="729B90F8"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55157487"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33243164" w14:textId="77777777" w:rsidR="00BD4C05" w:rsidRDefault="002F1F45" w:rsidP="00FD6677">
      <w:pPr>
        <w:jc w:val="both"/>
        <w:rPr>
          <w:lang w:val="en-US" w:eastAsia="ja-JP"/>
        </w:rPr>
      </w:pPr>
      <w:r>
        <w:rPr>
          <w:lang w:val="en-US" w:eastAsia="ja-JP"/>
        </w:rPr>
        <w:t>RF requirements of IAB nodes have been discussed in previous meetings. I</w:t>
      </w:r>
      <w:r w:rsidR="00604770">
        <w:rPr>
          <w:lang w:val="en-US" w:eastAsia="ja-JP"/>
        </w:rPr>
        <w:t>n this paper we review the IAB MT RF requirements and how t</w:t>
      </w:r>
      <w:r>
        <w:rPr>
          <w:lang w:val="en-US" w:eastAsia="ja-JP"/>
        </w:rPr>
        <w:t>hey</w:t>
      </w:r>
      <w:r w:rsidR="00604770">
        <w:rPr>
          <w:lang w:val="en-US" w:eastAsia="ja-JP"/>
        </w:rPr>
        <w:t xml:space="preserve"> relate to UE requirements defined in TS 38.101-1 or -2.</w:t>
      </w:r>
      <w:r>
        <w:rPr>
          <w:lang w:val="en-US" w:eastAsia="ja-JP"/>
        </w:rPr>
        <w:t xml:space="preserve"> We also touch upon the differences between UE requirements in 38.101 specifications and IABT MT requirements.</w:t>
      </w:r>
    </w:p>
    <w:p w14:paraId="0E8794B6" w14:textId="77777777" w:rsidR="00D764E2" w:rsidRDefault="000E0602" w:rsidP="00D82225">
      <w:pPr>
        <w:pStyle w:val="Heading1"/>
        <w:tabs>
          <w:tab w:val="clear" w:pos="432"/>
          <w:tab w:val="num" w:pos="522"/>
        </w:tabs>
        <w:ind w:left="522" w:hanging="522"/>
        <w:jc w:val="both"/>
        <w:rPr>
          <w:lang w:val="en-US"/>
        </w:rPr>
      </w:pPr>
      <w:r>
        <w:rPr>
          <w:lang w:val="en-US"/>
        </w:rPr>
        <w:t>Discussion</w:t>
      </w:r>
    </w:p>
    <w:p w14:paraId="0260B342" w14:textId="77777777" w:rsidR="002F1F45" w:rsidRDefault="002F1F45" w:rsidP="002F1F45">
      <w:pPr>
        <w:rPr>
          <w:lang w:val="en-US" w:eastAsia="ja-JP"/>
        </w:rPr>
      </w:pPr>
      <w:r>
        <w:rPr>
          <w:rFonts w:hint="eastAsia"/>
          <w:lang w:val="en-US" w:eastAsia="ja-JP"/>
        </w:rPr>
        <w:t>U</w:t>
      </w:r>
      <w:r>
        <w:rPr>
          <w:lang w:val="en-US" w:eastAsia="ja-JP"/>
        </w:rPr>
        <w:t>E requirements are split into conducted and OTA based on the frequency range. This is based on the architecture assumption that antenna connectors are still available for FR1. For the IAB MT, it should still be discussed whether a type 1-O implementation is possible or not.</w:t>
      </w:r>
      <w:r w:rsidR="00345C20">
        <w:rPr>
          <w:lang w:val="en-US" w:eastAsia="ja-JP"/>
        </w:rPr>
        <w:t xml:space="preserve"> This would introduce some OTA requirements for FR1 also.</w:t>
      </w:r>
    </w:p>
    <w:p w14:paraId="52C993BD" w14:textId="77777777" w:rsidR="002F1F45" w:rsidRPr="002F1F45" w:rsidRDefault="002F1F45" w:rsidP="002F1F45">
      <w:pPr>
        <w:rPr>
          <w:rFonts w:hint="eastAsia"/>
          <w:lang w:val="en-US"/>
        </w:rPr>
      </w:pPr>
      <w:r>
        <w:rPr>
          <w:lang w:val="en-US" w:eastAsia="ja-JP"/>
        </w:rPr>
        <w:t xml:space="preserve">For FR2, the IAB MT RF requirements should be defined under the assumption that </w:t>
      </w:r>
      <w:r w:rsidR="00345C20">
        <w:rPr>
          <w:lang w:val="en-US" w:eastAsia="ja-JP"/>
        </w:rPr>
        <w:t xml:space="preserve">conformance </w:t>
      </w:r>
      <w:r>
        <w:rPr>
          <w:lang w:val="en-US" w:eastAsia="ja-JP"/>
        </w:rPr>
        <w:t xml:space="preserve">testing will be performed OTA.  </w:t>
      </w:r>
    </w:p>
    <w:p w14:paraId="1A358C50" w14:textId="77777777" w:rsidR="00604770" w:rsidRDefault="0072658F" w:rsidP="00604770">
      <w:pPr>
        <w:pStyle w:val="Heading2"/>
        <w:rPr>
          <w:lang w:val="en-US" w:eastAsia="ja-JP"/>
        </w:rPr>
      </w:pPr>
      <w:r>
        <w:rPr>
          <w:lang w:val="en-US" w:eastAsia="ja-JP"/>
        </w:rPr>
        <w:t>Handling of c</w:t>
      </w:r>
      <w:r w:rsidR="00604770">
        <w:rPr>
          <w:lang w:val="en-US" w:eastAsia="ja-JP"/>
        </w:rPr>
        <w:t>onducted requirements</w:t>
      </w:r>
    </w:p>
    <w:p w14:paraId="13548A98" w14:textId="77777777" w:rsidR="002F1F45" w:rsidRDefault="002F1F45" w:rsidP="009E5F08">
      <w:pPr>
        <w:jc w:val="both"/>
        <w:rPr>
          <w:lang w:val="en-US" w:eastAsia="ja-JP"/>
        </w:rPr>
      </w:pPr>
      <w:r>
        <w:rPr>
          <w:lang w:val="en-US" w:eastAsia="ja-JP"/>
        </w:rPr>
        <w:t>Conducted requirements are defined under the assumption that testing is performed at the antenna connector</w:t>
      </w:r>
      <w:r w:rsidR="00460028">
        <w:rPr>
          <w:lang w:val="en-US" w:eastAsia="ja-JP"/>
        </w:rPr>
        <w:t>. From this point of view, the requirement definition for BS and UE are similar. Even if the IAB MT requirements will mostly follow the BS requirements framework (i.e. Tx power related requirements), the UE requirements can be re-used as they are stated in 38.101-1</w:t>
      </w:r>
      <w:r w:rsidR="00C83838">
        <w:rPr>
          <w:lang w:val="en-US" w:eastAsia="ja-JP"/>
        </w:rPr>
        <w:t xml:space="preserve"> [2]</w:t>
      </w:r>
      <w:r w:rsidR="00460028">
        <w:rPr>
          <w:lang w:val="en-US" w:eastAsia="ja-JP"/>
        </w:rPr>
        <w:t>.</w:t>
      </w:r>
    </w:p>
    <w:p w14:paraId="2D559F2B" w14:textId="77777777" w:rsidR="00604770" w:rsidRDefault="0072658F" w:rsidP="00604770">
      <w:pPr>
        <w:pStyle w:val="Heading2"/>
        <w:rPr>
          <w:lang w:val="en-US" w:eastAsia="ja-JP"/>
        </w:rPr>
      </w:pPr>
      <w:r>
        <w:rPr>
          <w:lang w:val="en-US" w:eastAsia="ja-JP"/>
        </w:rPr>
        <w:t xml:space="preserve">Handling of </w:t>
      </w:r>
      <w:r w:rsidR="00604770">
        <w:rPr>
          <w:rFonts w:hint="eastAsia"/>
          <w:lang w:val="en-US" w:eastAsia="ja-JP"/>
        </w:rPr>
        <w:t>O</w:t>
      </w:r>
      <w:r w:rsidR="00604770">
        <w:rPr>
          <w:lang w:val="en-US" w:eastAsia="ja-JP"/>
        </w:rPr>
        <w:t>TA Requirements</w:t>
      </w:r>
    </w:p>
    <w:p w14:paraId="48C80611" w14:textId="77777777" w:rsidR="00604770" w:rsidRDefault="00460028" w:rsidP="009E5F08">
      <w:pPr>
        <w:jc w:val="both"/>
        <w:rPr>
          <w:lang w:eastAsia="zh-CN"/>
        </w:rPr>
      </w:pPr>
      <w:r>
        <w:rPr>
          <w:rFonts w:hint="eastAsia"/>
          <w:lang w:val="en-US" w:eastAsia="ja-JP"/>
        </w:rPr>
        <w:t>O</w:t>
      </w:r>
      <w:r>
        <w:rPr>
          <w:lang w:val="en-US" w:eastAsia="ja-JP"/>
        </w:rPr>
        <w:t xml:space="preserve">TA requirements are defined for the case when antenna connectors are not available to perform measurements or input signals to the device’s receivers. </w:t>
      </w:r>
      <w:r w:rsidR="00C83838">
        <w:rPr>
          <w:lang w:val="en-US" w:eastAsia="ja-JP"/>
        </w:rPr>
        <w:t xml:space="preserve">Requirements in 38.101-2 are defined under the assumption that testing is using the “black box” approach in which the TE </w:t>
      </w:r>
      <w:proofErr w:type="gramStart"/>
      <w:r w:rsidR="00C83838">
        <w:rPr>
          <w:lang w:val="en-US" w:eastAsia="ja-JP"/>
        </w:rPr>
        <w:t>has to</w:t>
      </w:r>
      <w:proofErr w:type="gramEnd"/>
      <w:r w:rsidR="00C83838">
        <w:rPr>
          <w:lang w:val="en-US" w:eastAsia="ja-JP"/>
        </w:rPr>
        <w:t xml:space="preserve"> identify the testing directions. The </w:t>
      </w:r>
      <w:r w:rsidR="00284F23">
        <w:rPr>
          <w:lang w:val="en-US" w:eastAsia="ja-JP"/>
        </w:rPr>
        <w:t xml:space="preserve">directional </w:t>
      </w:r>
      <w:r w:rsidR="00C83838">
        <w:rPr>
          <w:lang w:val="en-US" w:eastAsia="ja-JP"/>
        </w:rPr>
        <w:t xml:space="preserve">requirements are written under the assumption that testing is performed in the “beam peak” </w:t>
      </w:r>
      <w:proofErr w:type="gramStart"/>
      <w:r w:rsidR="00C83838">
        <w:rPr>
          <w:lang w:val="en-US" w:eastAsia="ja-JP"/>
        </w:rPr>
        <w:t>direction</w:t>
      </w:r>
      <w:r w:rsidR="00284F23">
        <w:rPr>
          <w:lang w:val="en-US" w:eastAsia="ja-JP"/>
        </w:rPr>
        <w:t>(</w:t>
      </w:r>
      <w:proofErr w:type="gramEnd"/>
      <w:r w:rsidR="00284F23">
        <w:rPr>
          <w:lang w:val="en-US" w:eastAsia="ja-JP"/>
        </w:rPr>
        <w:t>either Tx or Rx)</w:t>
      </w:r>
      <w:r w:rsidR="00C83838">
        <w:rPr>
          <w:lang w:val="en-US" w:eastAsia="ja-JP"/>
        </w:rPr>
        <w:t xml:space="preserve">. The specifications contain such expressions </w:t>
      </w:r>
      <w:r w:rsidR="00C83838">
        <w:rPr>
          <w:lang w:eastAsia="zh-CN"/>
        </w:rPr>
        <w:t>(Link=TX</w:t>
      </w:r>
      <w:r w:rsidR="00284F23">
        <w:rPr>
          <w:lang w:eastAsia="zh-CN"/>
        </w:rPr>
        <w:t>/Rx</w:t>
      </w:r>
      <w:r w:rsidR="00C83838">
        <w:rPr>
          <w:lang w:eastAsia="zh-CN"/>
        </w:rPr>
        <w:t xml:space="preserve"> beam peak direction, Meas=Link angle)” [3].</w:t>
      </w:r>
      <w:r w:rsidR="00F2488A">
        <w:rPr>
          <w:lang w:eastAsia="zh-CN"/>
        </w:rPr>
        <w:t xml:space="preserve"> </w:t>
      </w:r>
    </w:p>
    <w:p w14:paraId="3C9DA506" w14:textId="77777777" w:rsidR="002317C3" w:rsidRDefault="002317C3" w:rsidP="009E5F08">
      <w:pPr>
        <w:jc w:val="both"/>
        <w:rPr>
          <w:lang w:val="en-US" w:eastAsia="ja-JP"/>
        </w:rPr>
      </w:pPr>
      <w:r>
        <w:rPr>
          <w:lang w:eastAsia="ja-JP"/>
        </w:rPr>
        <w:t xml:space="preserve">For the IAB MT Tx power </w:t>
      </w:r>
      <w:r w:rsidR="00284F23">
        <w:rPr>
          <w:lang w:eastAsia="ja-JP"/>
        </w:rPr>
        <w:t>and sensitivity requirements</w:t>
      </w:r>
      <w:r w:rsidR="003D4716">
        <w:rPr>
          <w:lang w:eastAsia="ja-JP"/>
        </w:rPr>
        <w:t>,</w:t>
      </w:r>
      <w:r w:rsidR="00284F23">
        <w:rPr>
          <w:lang w:eastAsia="ja-JP"/>
        </w:rPr>
        <w:t xml:space="preserve"> it was agreed </w:t>
      </w:r>
      <w:r>
        <w:rPr>
          <w:lang w:eastAsia="ja-JP"/>
        </w:rPr>
        <w:t>that BS requirements definition framework will be used [1]</w:t>
      </w:r>
      <w:r w:rsidR="003D4716">
        <w:rPr>
          <w:lang w:eastAsia="ja-JP"/>
        </w:rPr>
        <w:t>. H</w:t>
      </w:r>
      <w:r>
        <w:rPr>
          <w:lang w:eastAsia="ja-JP"/>
        </w:rPr>
        <w:t>ence, t</w:t>
      </w:r>
      <w:r w:rsidR="00F2488A">
        <w:rPr>
          <w:lang w:eastAsia="ja-JP"/>
        </w:rPr>
        <w:t xml:space="preserve">he </w:t>
      </w:r>
      <w:r>
        <w:rPr>
          <w:lang w:eastAsia="ja-JP"/>
        </w:rPr>
        <w:t xml:space="preserve">peak directions of all beams will be </w:t>
      </w:r>
      <w:proofErr w:type="gramStart"/>
      <w:r>
        <w:rPr>
          <w:lang w:eastAsia="ja-JP"/>
        </w:rPr>
        <w:t>known</w:t>
      </w:r>
      <w:r w:rsidR="003D4716">
        <w:rPr>
          <w:lang w:eastAsia="ja-JP"/>
        </w:rPr>
        <w:t>(</w:t>
      </w:r>
      <w:proofErr w:type="gramEnd"/>
      <w:r w:rsidR="003D4716">
        <w:rPr>
          <w:lang w:eastAsia="ja-JP"/>
        </w:rPr>
        <w:t>“white box” approach)</w:t>
      </w:r>
      <w:r>
        <w:rPr>
          <w:lang w:eastAsia="ja-JP"/>
        </w:rPr>
        <w:t xml:space="preserve">. For the requirements that will be reused from the UE specifications, the applicability and testing </w:t>
      </w:r>
      <w:proofErr w:type="gramStart"/>
      <w:r>
        <w:rPr>
          <w:lang w:eastAsia="ja-JP"/>
        </w:rPr>
        <w:t>has</w:t>
      </w:r>
      <w:proofErr w:type="gramEnd"/>
      <w:r>
        <w:rPr>
          <w:lang w:eastAsia="ja-JP"/>
        </w:rPr>
        <w:t xml:space="preserve"> to be changed from the “beam peak direction” to the “OTA peak directions set”</w:t>
      </w:r>
      <w:r w:rsidR="00284F23">
        <w:rPr>
          <w:lang w:eastAsia="ja-JP"/>
        </w:rPr>
        <w:t xml:space="preserve"> or the range of angles of arrivals (RoAoA). </w:t>
      </w:r>
      <w:r>
        <w:rPr>
          <w:lang w:eastAsia="ja-JP"/>
        </w:rPr>
        <w:t xml:space="preserve"> </w:t>
      </w:r>
      <w:r w:rsidR="003D4716">
        <w:rPr>
          <w:lang w:eastAsia="ja-JP"/>
        </w:rPr>
        <w:t>If 38.101 specifications are referenced, a</w:t>
      </w:r>
      <w:r>
        <w:rPr>
          <w:lang w:eastAsia="ja-JP"/>
        </w:rPr>
        <w:t xml:space="preserve"> generic sentence</w:t>
      </w:r>
      <w:r w:rsidR="00284F23">
        <w:rPr>
          <w:lang w:eastAsia="ja-JP"/>
        </w:rPr>
        <w:t>/section</w:t>
      </w:r>
      <w:r>
        <w:rPr>
          <w:lang w:eastAsia="ja-JP"/>
        </w:rPr>
        <w:t xml:space="preserve"> to clarify this applicability change</w:t>
      </w:r>
      <w:r w:rsidR="00284F23">
        <w:rPr>
          <w:lang w:eastAsia="ja-JP"/>
        </w:rPr>
        <w:t xml:space="preserve"> for directional requirements </w:t>
      </w:r>
      <w:proofErr w:type="gramStart"/>
      <w:r>
        <w:rPr>
          <w:lang w:eastAsia="ja-JP"/>
        </w:rPr>
        <w:t>has to</w:t>
      </w:r>
      <w:proofErr w:type="gramEnd"/>
      <w:r>
        <w:rPr>
          <w:lang w:eastAsia="ja-JP"/>
        </w:rPr>
        <w:t xml:space="preserve"> be introduced in the IAB MT specifications as it will be applicable to several requirements as discussed below.</w:t>
      </w:r>
    </w:p>
    <w:p w14:paraId="06D0B1C6" w14:textId="77777777" w:rsidR="00124AAF" w:rsidRDefault="00124AAF" w:rsidP="009E5F08">
      <w:pPr>
        <w:jc w:val="both"/>
        <w:rPr>
          <w:lang w:val="en-US" w:eastAsia="ja-JP"/>
        </w:rPr>
      </w:pPr>
      <w:r>
        <w:rPr>
          <w:rFonts w:hint="eastAsia"/>
          <w:lang w:val="en-US" w:eastAsia="ja-JP"/>
        </w:rPr>
        <w:t>I</w:t>
      </w:r>
      <w:r>
        <w:rPr>
          <w:lang w:val="en-US" w:eastAsia="ja-JP"/>
        </w:rPr>
        <w:t>f 38.101 specifications are referenced, the text below could be used</w:t>
      </w:r>
      <w:r>
        <w:rPr>
          <w:rFonts w:hint="eastAsia"/>
          <w:lang w:val="en-US" w:eastAsia="ja-JP"/>
        </w:rPr>
        <w:t>.</w:t>
      </w:r>
      <w:r>
        <w:rPr>
          <w:lang w:val="en-US" w:eastAsia="ja-JP"/>
        </w:rPr>
        <w:t xml:space="preserve"> If needed, an additional section clarifying how to adapt the test metrics used in 38.101 to the BS testing framework can be added.</w:t>
      </w:r>
    </w:p>
    <w:p w14:paraId="0F409D33" w14:textId="77777777" w:rsidR="00124AAF" w:rsidRDefault="00124AAF" w:rsidP="009E5F08">
      <w:pPr>
        <w:jc w:val="both"/>
        <w:rPr>
          <w:lang w:val="en-US" w:eastAsia="ja-JP"/>
        </w:rPr>
      </w:pPr>
      <w:r>
        <w:rPr>
          <w:lang w:val="en-US" w:eastAsia="ja-JP"/>
        </w:rPr>
        <w:t xml:space="preserve">“requirements in 38.101-2, Section X.X.X apply with the modification that the requirement shall be met within </w:t>
      </w:r>
      <w:proofErr w:type="gramStart"/>
      <w:r>
        <w:rPr>
          <w:lang w:val="en-US" w:eastAsia="ja-JP"/>
        </w:rPr>
        <w:t>the  OTA</w:t>
      </w:r>
      <w:proofErr w:type="gramEnd"/>
      <w:r>
        <w:rPr>
          <w:lang w:val="en-US" w:eastAsia="ja-JP"/>
        </w:rPr>
        <w:t xml:space="preserve"> coverage range”  </w:t>
      </w:r>
    </w:p>
    <w:p w14:paraId="3CDB5DB5" w14:textId="77777777" w:rsidR="00284F23" w:rsidRDefault="00284F23" w:rsidP="009E5F08">
      <w:pPr>
        <w:jc w:val="both"/>
        <w:rPr>
          <w:lang w:val="en-US" w:eastAsia="ja-JP"/>
        </w:rPr>
      </w:pPr>
      <w:r>
        <w:rPr>
          <w:rFonts w:hint="eastAsia"/>
          <w:lang w:val="en-US" w:eastAsia="ja-JP"/>
        </w:rPr>
        <w:t>R</w:t>
      </w:r>
      <w:r>
        <w:rPr>
          <w:lang w:val="en-US" w:eastAsia="ja-JP"/>
        </w:rPr>
        <w:t xml:space="preserve">equirements that are defined as TRP </w:t>
      </w:r>
      <w:r w:rsidR="003D4716">
        <w:rPr>
          <w:lang w:val="en-US" w:eastAsia="ja-JP"/>
        </w:rPr>
        <w:t>will</w:t>
      </w:r>
      <w:r>
        <w:rPr>
          <w:lang w:val="en-US" w:eastAsia="ja-JP"/>
        </w:rPr>
        <w:t xml:space="preserve"> be easier to transpose from the UE framework definition to the BS framework definition</w:t>
      </w:r>
      <w:r w:rsidR="003D4716">
        <w:rPr>
          <w:lang w:val="en-US" w:eastAsia="ja-JP"/>
        </w:rPr>
        <w:t xml:space="preserve"> as the TRP meaning is the same.</w:t>
      </w:r>
    </w:p>
    <w:p w14:paraId="46A6BABA" w14:textId="77777777" w:rsidR="00124AAF" w:rsidRDefault="00124AAF" w:rsidP="009E5F08">
      <w:pPr>
        <w:jc w:val="both"/>
        <w:rPr>
          <w:rFonts w:hint="eastAsia"/>
          <w:lang w:val="en-US" w:eastAsia="ja-JP"/>
        </w:rPr>
      </w:pPr>
    </w:p>
    <w:p w14:paraId="05564079" w14:textId="77777777" w:rsidR="00604770" w:rsidRDefault="00604770" w:rsidP="00604770">
      <w:pPr>
        <w:pStyle w:val="Heading2"/>
        <w:rPr>
          <w:rFonts w:hint="eastAsia"/>
          <w:lang w:val="en-US" w:eastAsia="ja-JP"/>
        </w:rPr>
      </w:pPr>
      <w:r>
        <w:rPr>
          <w:rFonts w:hint="eastAsia"/>
          <w:lang w:val="en-US" w:eastAsia="ja-JP"/>
        </w:rPr>
        <w:lastRenderedPageBreak/>
        <w:t>R</w:t>
      </w:r>
      <w:r>
        <w:rPr>
          <w:lang w:val="en-US" w:eastAsia="ja-JP"/>
        </w:rPr>
        <w:t>F Requirements</w:t>
      </w:r>
    </w:p>
    <w:p w14:paraId="58F41FB2" w14:textId="77777777" w:rsidR="00604770" w:rsidRDefault="00604770" w:rsidP="0072658F">
      <w:pPr>
        <w:pStyle w:val="Heading3"/>
        <w:rPr>
          <w:lang w:val="en-US" w:eastAsia="ja-JP"/>
        </w:rPr>
      </w:pPr>
      <w:r>
        <w:rPr>
          <w:rFonts w:hint="eastAsia"/>
          <w:lang w:val="en-US" w:eastAsia="ja-JP"/>
        </w:rPr>
        <w:t>T</w:t>
      </w:r>
      <w:r>
        <w:rPr>
          <w:lang w:val="en-US" w:eastAsia="ja-JP"/>
        </w:rPr>
        <w:t>x Requirements</w:t>
      </w:r>
    </w:p>
    <w:p w14:paraId="2870E348" w14:textId="77777777" w:rsidR="0072658F" w:rsidRPr="00406FFC" w:rsidRDefault="0072658F" w:rsidP="009E5F08">
      <w:pPr>
        <w:jc w:val="both"/>
        <w:rPr>
          <w:b/>
          <w:bCs/>
          <w:lang w:val="en-US" w:eastAsia="ja-JP"/>
        </w:rPr>
      </w:pPr>
      <w:r w:rsidRPr="00406FFC">
        <w:rPr>
          <w:b/>
          <w:bCs/>
          <w:lang w:val="en-US" w:eastAsia="ja-JP"/>
        </w:rPr>
        <w:t>Tx Power</w:t>
      </w:r>
    </w:p>
    <w:p w14:paraId="0DCBFF0D" w14:textId="77777777" w:rsidR="002317C3" w:rsidRDefault="002317C3" w:rsidP="009E5F08">
      <w:pPr>
        <w:jc w:val="both"/>
        <w:rPr>
          <w:lang w:val="en-US" w:eastAsia="ja-JP"/>
        </w:rPr>
      </w:pPr>
      <w:r>
        <w:rPr>
          <w:rFonts w:hint="eastAsia"/>
          <w:lang w:val="en-US" w:eastAsia="ja-JP"/>
        </w:rPr>
        <w:t>B</w:t>
      </w:r>
      <w:r>
        <w:rPr>
          <w:lang w:val="en-US" w:eastAsia="ja-JP"/>
        </w:rPr>
        <w:t xml:space="preserve">ased on the agreements in [1], the Tx power requirements for IAB-MT will follow the BS framework of using manufacturer’s declaration. These requirements will depend on the outcome of the IAB-MT class discussions. The structure of the requirements should be </w:t>
      </w:r>
      <w:proofErr w:type="gramStart"/>
      <w:r>
        <w:rPr>
          <w:lang w:val="en-US" w:eastAsia="ja-JP"/>
        </w:rPr>
        <w:t>similar to</w:t>
      </w:r>
      <w:proofErr w:type="gramEnd"/>
      <w:r>
        <w:rPr>
          <w:lang w:val="en-US" w:eastAsia="ja-JP"/>
        </w:rPr>
        <w:t xml:space="preserve"> what will be used for the IAB-DU.</w:t>
      </w:r>
    </w:p>
    <w:p w14:paraId="66044A8C" w14:textId="77777777" w:rsidR="00406FFC" w:rsidRPr="00283DA9" w:rsidRDefault="00406FFC" w:rsidP="00406FFC">
      <w:pPr>
        <w:jc w:val="both"/>
        <w:rPr>
          <w:b/>
          <w:bCs/>
          <w:lang w:val="en-US" w:eastAsia="ja-JP"/>
        </w:rPr>
      </w:pPr>
      <w:r w:rsidRPr="00283DA9">
        <w:rPr>
          <w:b/>
          <w:bCs/>
          <w:lang w:val="en-US" w:eastAsia="ja-JP"/>
        </w:rPr>
        <w:t>Output power dynamics</w:t>
      </w:r>
      <w:r w:rsidRPr="00283DA9">
        <w:rPr>
          <w:b/>
          <w:bCs/>
          <w:lang w:val="en-US" w:eastAsia="ja-JP"/>
        </w:rPr>
        <w:tab/>
      </w:r>
    </w:p>
    <w:p w14:paraId="4DACB8DF" w14:textId="77777777" w:rsidR="008F1C36" w:rsidRDefault="002317C3" w:rsidP="00406FFC">
      <w:pPr>
        <w:jc w:val="both"/>
        <w:rPr>
          <w:lang w:val="en-US" w:eastAsia="ja-JP"/>
        </w:rPr>
      </w:pPr>
      <w:r>
        <w:rPr>
          <w:rFonts w:hint="eastAsia"/>
          <w:lang w:val="en-US" w:eastAsia="ja-JP"/>
        </w:rPr>
        <w:t>T</w:t>
      </w:r>
      <w:r>
        <w:rPr>
          <w:lang w:val="en-US" w:eastAsia="ja-JP"/>
        </w:rPr>
        <w:t xml:space="preserve">he UE requirements for output power dynamics are comprised of minimum output power, </w:t>
      </w:r>
      <w:r w:rsidR="008F1C36">
        <w:rPr>
          <w:lang w:val="en-US" w:eastAsia="ja-JP"/>
        </w:rPr>
        <w:t>Tx off power, On/Off time mask and power control. We discuss them separately below:</w:t>
      </w:r>
    </w:p>
    <w:p w14:paraId="763D1EF2" w14:textId="77777777" w:rsidR="008F1C36" w:rsidRPr="008F1C36" w:rsidRDefault="008F1C36" w:rsidP="008F1C36">
      <w:pPr>
        <w:ind w:firstLine="284"/>
        <w:jc w:val="both"/>
        <w:rPr>
          <w:u w:val="single"/>
          <w:lang w:val="en-US" w:eastAsia="ja-JP"/>
        </w:rPr>
      </w:pPr>
      <w:r w:rsidRPr="008F1C36">
        <w:rPr>
          <w:rFonts w:hint="eastAsia"/>
          <w:u w:val="single"/>
          <w:lang w:val="en-US" w:eastAsia="ja-JP"/>
        </w:rPr>
        <w:t>M</w:t>
      </w:r>
      <w:r w:rsidRPr="008F1C36">
        <w:rPr>
          <w:u w:val="single"/>
          <w:lang w:val="en-US" w:eastAsia="ja-JP"/>
        </w:rPr>
        <w:t>inimum Output Power</w:t>
      </w:r>
    </w:p>
    <w:p w14:paraId="21D92540" w14:textId="77777777" w:rsidR="008F1C36" w:rsidRDefault="008F1C36" w:rsidP="00406FFC">
      <w:pPr>
        <w:jc w:val="both"/>
        <w:rPr>
          <w:lang w:val="en-US" w:eastAsia="ja-JP"/>
        </w:rPr>
      </w:pPr>
      <w:r>
        <w:rPr>
          <w:rFonts w:hint="eastAsia"/>
          <w:lang w:val="en-US" w:eastAsia="ja-JP"/>
        </w:rPr>
        <w:t>T</w:t>
      </w:r>
      <w:r>
        <w:rPr>
          <w:lang w:val="en-US" w:eastAsia="ja-JP"/>
        </w:rPr>
        <w:t>he minimum output power requirement for the IAB-MT is still under discussion</w:t>
      </w:r>
      <w:r w:rsidR="003D4716">
        <w:rPr>
          <w:lang w:val="en-US" w:eastAsia="ja-JP"/>
        </w:rPr>
        <w:t xml:space="preserve"> </w:t>
      </w:r>
      <w:r>
        <w:rPr>
          <w:lang w:val="en-US" w:eastAsia="ja-JP"/>
        </w:rPr>
        <w:t>(also if it will be defined or not). If this is defined, it should apply to all the Tx beams of the IAB-MT.</w:t>
      </w:r>
    </w:p>
    <w:p w14:paraId="2276BB21" w14:textId="77777777" w:rsidR="008F1C36" w:rsidRPr="008F1C36" w:rsidRDefault="008F1C36" w:rsidP="008F1C36">
      <w:pPr>
        <w:ind w:firstLine="284"/>
        <w:jc w:val="both"/>
        <w:rPr>
          <w:rFonts w:hint="eastAsia"/>
          <w:u w:val="single"/>
          <w:lang w:val="en-US" w:eastAsia="ja-JP"/>
        </w:rPr>
      </w:pPr>
      <w:r w:rsidRPr="008F1C36">
        <w:rPr>
          <w:rFonts w:hint="eastAsia"/>
          <w:u w:val="single"/>
          <w:lang w:val="en-US" w:eastAsia="ja-JP"/>
        </w:rPr>
        <w:t>T</w:t>
      </w:r>
      <w:r w:rsidRPr="008F1C36">
        <w:rPr>
          <w:u w:val="single"/>
          <w:lang w:val="en-US" w:eastAsia="ja-JP"/>
        </w:rPr>
        <w:t>x off power</w:t>
      </w:r>
    </w:p>
    <w:p w14:paraId="3FF5A147" w14:textId="77777777" w:rsidR="008F1C36" w:rsidRDefault="008F1C36" w:rsidP="00406FFC">
      <w:pPr>
        <w:jc w:val="both"/>
        <w:rPr>
          <w:lang w:val="en-US" w:eastAsia="ja-JP"/>
        </w:rPr>
      </w:pPr>
      <w:r>
        <w:rPr>
          <w:rFonts w:hint="eastAsia"/>
          <w:lang w:val="en-US" w:eastAsia="ja-JP"/>
        </w:rPr>
        <w:t>T</w:t>
      </w:r>
      <w:r>
        <w:rPr>
          <w:lang w:val="en-US" w:eastAsia="ja-JP"/>
        </w:rPr>
        <w:t xml:space="preserve">he Tx off power </w:t>
      </w:r>
      <w:r w:rsidR="00E25ADF">
        <w:rPr>
          <w:lang w:val="en-US" w:eastAsia="ja-JP"/>
        </w:rPr>
        <w:t>requirement is defined such that UL interference is minimized, as such, the current UE requirement in 38.101 should be re-used.</w:t>
      </w:r>
    </w:p>
    <w:p w14:paraId="4D38F4C9" w14:textId="77777777" w:rsidR="00E25ADF" w:rsidRPr="00E25ADF" w:rsidRDefault="00E25ADF" w:rsidP="00E25ADF">
      <w:pPr>
        <w:ind w:firstLine="284"/>
        <w:jc w:val="both"/>
        <w:rPr>
          <w:u w:val="single"/>
          <w:lang w:val="en-US" w:eastAsia="ja-JP"/>
        </w:rPr>
      </w:pPr>
      <w:r w:rsidRPr="00E25ADF">
        <w:rPr>
          <w:rFonts w:hint="eastAsia"/>
          <w:u w:val="single"/>
          <w:lang w:val="en-US" w:eastAsia="ja-JP"/>
        </w:rPr>
        <w:t>O</w:t>
      </w:r>
      <w:r w:rsidRPr="00E25ADF">
        <w:rPr>
          <w:u w:val="single"/>
          <w:lang w:val="en-US" w:eastAsia="ja-JP"/>
        </w:rPr>
        <w:t>n/Off time mask</w:t>
      </w:r>
    </w:p>
    <w:p w14:paraId="1D13B49D" w14:textId="77777777" w:rsidR="008F1C36" w:rsidRDefault="00E25ADF" w:rsidP="00406FFC">
      <w:pPr>
        <w:jc w:val="both"/>
        <w:rPr>
          <w:lang w:val="en-US" w:eastAsia="ja-JP"/>
        </w:rPr>
      </w:pPr>
      <w:r>
        <w:rPr>
          <w:rFonts w:hint="eastAsia"/>
          <w:lang w:val="en-US" w:eastAsia="ja-JP"/>
        </w:rPr>
        <w:t>T</w:t>
      </w:r>
      <w:r>
        <w:rPr>
          <w:lang w:val="en-US" w:eastAsia="ja-JP"/>
        </w:rPr>
        <w:t>he on/off time mask requirement ensures that UL performance is not compromised, hence, the current UE requirements should be re-used.</w:t>
      </w:r>
    </w:p>
    <w:p w14:paraId="1804AC9A" w14:textId="77777777" w:rsidR="00E25ADF" w:rsidRPr="00E25ADF" w:rsidRDefault="00E25ADF" w:rsidP="00406FFC">
      <w:pPr>
        <w:jc w:val="both"/>
        <w:rPr>
          <w:u w:val="single"/>
          <w:lang w:val="en-US" w:eastAsia="ja-JP"/>
        </w:rPr>
      </w:pPr>
      <w:r w:rsidRPr="00E25ADF">
        <w:rPr>
          <w:rFonts w:hint="eastAsia"/>
          <w:u w:val="single"/>
          <w:lang w:val="en-US" w:eastAsia="ja-JP"/>
        </w:rPr>
        <w:t>P</w:t>
      </w:r>
      <w:r w:rsidRPr="00E25ADF">
        <w:rPr>
          <w:u w:val="single"/>
          <w:lang w:val="en-US" w:eastAsia="ja-JP"/>
        </w:rPr>
        <w:t>ower control</w:t>
      </w:r>
    </w:p>
    <w:p w14:paraId="065E40F4" w14:textId="77777777" w:rsidR="00406FFC" w:rsidRDefault="00E25ADF" w:rsidP="0066786A">
      <w:pPr>
        <w:jc w:val="both"/>
        <w:rPr>
          <w:rFonts w:hint="eastAsia"/>
          <w:lang w:val="en-US" w:eastAsia="ja-JP"/>
        </w:rPr>
      </w:pPr>
      <w:r>
        <w:rPr>
          <w:rFonts w:hint="eastAsia"/>
          <w:lang w:val="en-US" w:eastAsia="ja-JP"/>
        </w:rPr>
        <w:t>T</w:t>
      </w:r>
      <w:r>
        <w:rPr>
          <w:lang w:val="en-US" w:eastAsia="ja-JP"/>
        </w:rPr>
        <w:t xml:space="preserve">he IAB-MT introduction into the network should minimize the impact over existing gNBs, as such, the best approach would be to re-use the </w:t>
      </w:r>
      <w:r w:rsidR="0066786A">
        <w:rPr>
          <w:lang w:val="en-US" w:eastAsia="ja-JP"/>
        </w:rPr>
        <w:t>UE requirements. For the OTA requirements in [3], the requirement should apply to the set of beam peak directions as discussed in Section 2.2.</w:t>
      </w:r>
      <w:r w:rsidR="0066786A">
        <w:rPr>
          <w:rFonts w:hint="eastAsia"/>
          <w:lang w:val="en-US" w:eastAsia="ja-JP"/>
        </w:rPr>
        <w:t xml:space="preserve"> </w:t>
      </w:r>
    </w:p>
    <w:p w14:paraId="68EE7C2C" w14:textId="77777777" w:rsidR="00406FFC" w:rsidRPr="00283DA9" w:rsidRDefault="0066786A" w:rsidP="00406FFC">
      <w:pPr>
        <w:jc w:val="both"/>
        <w:rPr>
          <w:b/>
          <w:bCs/>
          <w:lang w:val="en-US" w:eastAsia="ja-JP"/>
        </w:rPr>
      </w:pPr>
      <w:r>
        <w:rPr>
          <w:b/>
          <w:bCs/>
          <w:lang w:val="en-US" w:eastAsia="ja-JP"/>
        </w:rPr>
        <w:t>T</w:t>
      </w:r>
      <w:r w:rsidR="00406FFC" w:rsidRPr="00283DA9">
        <w:rPr>
          <w:b/>
          <w:bCs/>
          <w:lang w:val="en-US" w:eastAsia="ja-JP"/>
        </w:rPr>
        <w:t>ransmitted signal quality</w:t>
      </w:r>
    </w:p>
    <w:p w14:paraId="201E9248" w14:textId="77777777" w:rsidR="00283DA9" w:rsidRDefault="005C6C87" w:rsidP="00406FFC">
      <w:pPr>
        <w:jc w:val="both"/>
        <w:rPr>
          <w:lang w:val="en-US" w:eastAsia="ja-JP"/>
        </w:rPr>
      </w:pPr>
      <w:r>
        <w:rPr>
          <w:lang w:val="en-US" w:eastAsia="ja-JP"/>
        </w:rPr>
        <w:t>The transmit signal quality requirements are comprised of f</w:t>
      </w:r>
      <w:r w:rsidR="00283DA9">
        <w:rPr>
          <w:lang w:val="en-US" w:eastAsia="ja-JP"/>
        </w:rPr>
        <w:t>requency error and EVM</w:t>
      </w:r>
      <w:r>
        <w:rPr>
          <w:lang w:val="en-US" w:eastAsia="ja-JP"/>
        </w:rPr>
        <w:t>.</w:t>
      </w:r>
    </w:p>
    <w:p w14:paraId="4FDE9605" w14:textId="77777777" w:rsidR="005C6C87" w:rsidRDefault="00283DA9" w:rsidP="00406FFC">
      <w:pPr>
        <w:jc w:val="both"/>
        <w:rPr>
          <w:lang w:val="en-US" w:eastAsia="ja-JP"/>
        </w:rPr>
      </w:pPr>
      <w:r w:rsidRPr="005C6C87">
        <w:rPr>
          <w:rFonts w:hint="eastAsia"/>
          <w:u w:val="single"/>
          <w:lang w:val="en-US" w:eastAsia="ja-JP"/>
        </w:rPr>
        <w:t>F</w:t>
      </w:r>
      <w:r w:rsidRPr="005C6C87">
        <w:rPr>
          <w:u w:val="single"/>
          <w:lang w:val="en-US" w:eastAsia="ja-JP"/>
        </w:rPr>
        <w:t>requency error</w:t>
      </w:r>
      <w:r>
        <w:rPr>
          <w:lang w:val="en-US" w:eastAsia="ja-JP"/>
        </w:rPr>
        <w:t xml:space="preserve"> </w:t>
      </w:r>
    </w:p>
    <w:p w14:paraId="292E0AB2" w14:textId="77777777" w:rsidR="00283DA9" w:rsidRDefault="005C6C87" w:rsidP="00406FFC">
      <w:pPr>
        <w:jc w:val="both"/>
        <w:rPr>
          <w:lang w:val="en-US" w:eastAsia="ja-JP"/>
        </w:rPr>
      </w:pPr>
      <w:r>
        <w:rPr>
          <w:lang w:val="en-US" w:eastAsia="ja-JP"/>
        </w:rPr>
        <w:t xml:space="preserve">Whether the UE requirements will be </w:t>
      </w:r>
      <w:proofErr w:type="gramStart"/>
      <w:r>
        <w:rPr>
          <w:lang w:val="en-US" w:eastAsia="ja-JP"/>
        </w:rPr>
        <w:t>adopted</w:t>
      </w:r>
      <w:proofErr w:type="gramEnd"/>
      <w:r>
        <w:rPr>
          <w:lang w:val="en-US" w:eastAsia="ja-JP"/>
        </w:rPr>
        <w:t xml:space="preserve"> or an absolute frequency error requirement will be allowed is still under discussion. The </w:t>
      </w:r>
      <w:r w:rsidR="00900567">
        <w:rPr>
          <w:lang w:val="en-US" w:eastAsia="ja-JP"/>
        </w:rPr>
        <w:t xml:space="preserve">OTA </w:t>
      </w:r>
      <w:r>
        <w:rPr>
          <w:lang w:val="en-US" w:eastAsia="ja-JP"/>
        </w:rPr>
        <w:t>requirements applicability should follow the BS framework as discussed in Section 2.</w:t>
      </w:r>
      <w:r w:rsidR="00900567">
        <w:rPr>
          <w:lang w:val="en-US" w:eastAsia="ja-JP"/>
        </w:rPr>
        <w:t>2</w:t>
      </w:r>
      <w:r>
        <w:rPr>
          <w:lang w:val="en-US" w:eastAsia="ja-JP"/>
        </w:rPr>
        <w:t>.</w:t>
      </w:r>
    </w:p>
    <w:p w14:paraId="665D1013" w14:textId="77777777" w:rsidR="00900567" w:rsidRDefault="00283DA9" w:rsidP="00406FFC">
      <w:pPr>
        <w:jc w:val="both"/>
        <w:rPr>
          <w:u w:val="single"/>
          <w:lang w:val="en-US" w:eastAsia="ja-JP"/>
        </w:rPr>
      </w:pPr>
      <w:r w:rsidRPr="00900567">
        <w:rPr>
          <w:u w:val="single"/>
          <w:lang w:val="en-US" w:eastAsia="ja-JP"/>
        </w:rPr>
        <w:t>EVM</w:t>
      </w:r>
    </w:p>
    <w:p w14:paraId="1B3E98B3" w14:textId="77777777" w:rsidR="00406FFC" w:rsidRDefault="00900567" w:rsidP="00406FFC">
      <w:pPr>
        <w:jc w:val="both"/>
        <w:rPr>
          <w:lang w:val="en-US" w:eastAsia="ja-JP"/>
        </w:rPr>
      </w:pPr>
      <w:r>
        <w:rPr>
          <w:lang w:val="en-US" w:eastAsia="ja-JP"/>
        </w:rPr>
        <w:t>The UE requirements should be re-</w:t>
      </w:r>
      <w:proofErr w:type="gramStart"/>
      <w:r>
        <w:rPr>
          <w:lang w:val="en-US" w:eastAsia="ja-JP"/>
        </w:rPr>
        <w:t>used</w:t>
      </w:r>
      <w:proofErr w:type="gramEnd"/>
      <w:r>
        <w:rPr>
          <w:lang w:val="en-US" w:eastAsia="ja-JP"/>
        </w:rPr>
        <w:t xml:space="preserve"> and applicability should follow the BS framework as discussed in Section 2.2.</w:t>
      </w:r>
    </w:p>
    <w:p w14:paraId="4B74BECD" w14:textId="77777777" w:rsidR="00406FFC" w:rsidRPr="00283DA9" w:rsidRDefault="00406FFC" w:rsidP="00406FFC">
      <w:pPr>
        <w:jc w:val="both"/>
        <w:rPr>
          <w:b/>
          <w:bCs/>
          <w:lang w:val="en-US" w:eastAsia="ja-JP"/>
        </w:rPr>
      </w:pPr>
      <w:r w:rsidRPr="00283DA9">
        <w:rPr>
          <w:b/>
          <w:bCs/>
          <w:lang w:val="en-US" w:eastAsia="ja-JP"/>
        </w:rPr>
        <w:t>Unwanted emissions</w:t>
      </w:r>
    </w:p>
    <w:p w14:paraId="58C8AC04" w14:textId="77777777" w:rsidR="00900567" w:rsidRDefault="00900567" w:rsidP="00406FFC">
      <w:pPr>
        <w:jc w:val="both"/>
        <w:rPr>
          <w:lang w:val="en-US" w:eastAsia="ja-JP"/>
        </w:rPr>
      </w:pPr>
      <w:r>
        <w:rPr>
          <w:rFonts w:hint="eastAsia"/>
          <w:lang w:val="en-US" w:eastAsia="ja-JP"/>
        </w:rPr>
        <w:t>T</w:t>
      </w:r>
      <w:r>
        <w:rPr>
          <w:lang w:val="en-US" w:eastAsia="ja-JP"/>
        </w:rPr>
        <w:t>he UE unwanted emissions are comprised of the occupied BW, out of band emissions and spurious emissions.</w:t>
      </w:r>
    </w:p>
    <w:p w14:paraId="257C04B9" w14:textId="77777777" w:rsidR="00900567" w:rsidRPr="00900567" w:rsidRDefault="00900567" w:rsidP="00406FFC">
      <w:pPr>
        <w:jc w:val="both"/>
        <w:rPr>
          <w:u w:val="single"/>
          <w:lang w:val="en-US" w:eastAsia="ja-JP"/>
        </w:rPr>
      </w:pPr>
      <w:r w:rsidRPr="00900567">
        <w:rPr>
          <w:rFonts w:hint="eastAsia"/>
          <w:u w:val="single"/>
          <w:lang w:val="en-US" w:eastAsia="ja-JP"/>
        </w:rPr>
        <w:t>O</w:t>
      </w:r>
      <w:r w:rsidRPr="00900567">
        <w:rPr>
          <w:u w:val="single"/>
          <w:lang w:val="en-US" w:eastAsia="ja-JP"/>
        </w:rPr>
        <w:t>ccupied BW</w:t>
      </w:r>
    </w:p>
    <w:p w14:paraId="21CDFCEF" w14:textId="77777777" w:rsidR="00406FFC" w:rsidRDefault="00900567" w:rsidP="00406FFC">
      <w:pPr>
        <w:jc w:val="both"/>
        <w:rPr>
          <w:lang w:val="en-US" w:eastAsia="ja-JP"/>
        </w:rPr>
      </w:pPr>
      <w:r>
        <w:rPr>
          <w:lang w:val="en-US" w:eastAsia="ja-JP"/>
        </w:rPr>
        <w:t>The o</w:t>
      </w:r>
      <w:r w:rsidR="00283DA9">
        <w:rPr>
          <w:lang w:val="en-US" w:eastAsia="ja-JP"/>
        </w:rPr>
        <w:t>ccupied BW</w:t>
      </w:r>
      <w:r>
        <w:rPr>
          <w:lang w:val="en-US" w:eastAsia="ja-JP"/>
        </w:rPr>
        <w:t xml:space="preserve"> requirement is the same for UE and BS and is defined as a directional requirement. The IAB-MT requirement should be </w:t>
      </w:r>
      <w:r w:rsidR="00C91DFA">
        <w:rPr>
          <w:lang w:val="en-US" w:eastAsia="ja-JP"/>
        </w:rPr>
        <w:t>the same and follow the applicability as discussed in Section 2.2.</w:t>
      </w:r>
    </w:p>
    <w:p w14:paraId="766D1A7D" w14:textId="77777777" w:rsidR="00C91DFA" w:rsidRDefault="00283DA9" w:rsidP="00406FFC">
      <w:pPr>
        <w:jc w:val="both"/>
        <w:rPr>
          <w:lang w:val="en-US" w:eastAsia="ja-JP"/>
        </w:rPr>
      </w:pPr>
      <w:r w:rsidRPr="00C91DFA">
        <w:rPr>
          <w:rFonts w:hint="eastAsia"/>
          <w:u w:val="single"/>
          <w:lang w:val="en-US" w:eastAsia="ja-JP"/>
        </w:rPr>
        <w:t>O</w:t>
      </w:r>
      <w:r w:rsidRPr="00C91DFA">
        <w:rPr>
          <w:u w:val="single"/>
          <w:lang w:val="en-US" w:eastAsia="ja-JP"/>
        </w:rPr>
        <w:t>ut of band emissions</w:t>
      </w:r>
    </w:p>
    <w:p w14:paraId="529E1A0E" w14:textId="77777777" w:rsidR="00283DA9" w:rsidRDefault="00C91DFA" w:rsidP="00406FFC">
      <w:pPr>
        <w:jc w:val="both"/>
        <w:rPr>
          <w:rFonts w:hint="eastAsia"/>
          <w:lang w:val="en-US" w:eastAsia="ja-JP"/>
        </w:rPr>
      </w:pPr>
      <w:r>
        <w:rPr>
          <w:lang w:val="en-US" w:eastAsia="ja-JP"/>
        </w:rPr>
        <w:t>UE out of band emissions are comprised of SEM and ACLR. The SEM should</w:t>
      </w:r>
      <w:r w:rsidR="00DE1C28">
        <w:rPr>
          <w:lang w:val="en-US" w:eastAsia="ja-JP"/>
        </w:rPr>
        <w:t xml:space="preserve"> follow</w:t>
      </w:r>
      <w:r>
        <w:rPr>
          <w:lang w:val="en-US" w:eastAsia="ja-JP"/>
        </w:rPr>
        <w:t xml:space="preserve"> the UE requirements. The ACLR will be defined based on the outcome of the co-existence</w:t>
      </w:r>
      <w:r w:rsidR="003D4716">
        <w:rPr>
          <w:lang w:val="en-US" w:eastAsia="ja-JP"/>
        </w:rPr>
        <w:t xml:space="preserve"> study</w:t>
      </w:r>
      <w:r>
        <w:rPr>
          <w:lang w:val="en-US" w:eastAsia="ja-JP"/>
        </w:rPr>
        <w:t>. These requirements are defined as TRP.</w:t>
      </w:r>
    </w:p>
    <w:p w14:paraId="165A739D" w14:textId="77777777" w:rsidR="00DE1C28" w:rsidRPr="00DE1C28" w:rsidRDefault="00DE1C28" w:rsidP="00406FFC">
      <w:pPr>
        <w:jc w:val="both"/>
        <w:rPr>
          <w:u w:val="single"/>
          <w:lang w:val="en-US" w:eastAsia="ja-JP"/>
        </w:rPr>
      </w:pPr>
      <w:r w:rsidRPr="00DE1C28">
        <w:rPr>
          <w:rFonts w:hint="eastAsia"/>
          <w:u w:val="single"/>
          <w:lang w:val="en-US" w:eastAsia="ja-JP"/>
        </w:rPr>
        <w:t>S</w:t>
      </w:r>
      <w:r w:rsidRPr="00DE1C28">
        <w:rPr>
          <w:u w:val="single"/>
          <w:lang w:val="en-US" w:eastAsia="ja-JP"/>
        </w:rPr>
        <w:t>purious emissions</w:t>
      </w:r>
    </w:p>
    <w:p w14:paraId="2712106C" w14:textId="77777777" w:rsidR="00DE1C28" w:rsidRDefault="00DE1C28" w:rsidP="00406FFC">
      <w:pPr>
        <w:jc w:val="both"/>
        <w:rPr>
          <w:lang w:val="en-US" w:eastAsia="ja-JP"/>
        </w:rPr>
      </w:pPr>
      <w:r>
        <w:rPr>
          <w:rFonts w:hint="eastAsia"/>
          <w:lang w:val="en-US" w:eastAsia="ja-JP"/>
        </w:rPr>
        <w:t>S</w:t>
      </w:r>
      <w:r>
        <w:rPr>
          <w:lang w:val="en-US" w:eastAsia="ja-JP"/>
        </w:rPr>
        <w:t>purious emissions should re-use the UE requirements. These requirements are also defined as TRP.</w:t>
      </w:r>
    </w:p>
    <w:p w14:paraId="7B0CD686" w14:textId="77777777" w:rsidR="0072658F" w:rsidRDefault="00406FFC" w:rsidP="00406FFC">
      <w:pPr>
        <w:jc w:val="both"/>
        <w:rPr>
          <w:lang w:val="en-US" w:eastAsia="ja-JP"/>
        </w:rPr>
      </w:pPr>
      <w:r w:rsidRPr="00DE1C28">
        <w:rPr>
          <w:b/>
          <w:bCs/>
          <w:lang w:val="en-US" w:eastAsia="ja-JP"/>
        </w:rPr>
        <w:t>Transmitter intermodulation</w:t>
      </w:r>
    </w:p>
    <w:p w14:paraId="368EC3F9" w14:textId="77777777" w:rsidR="004C4C38" w:rsidRDefault="00DE1C28" w:rsidP="009E5F08">
      <w:pPr>
        <w:jc w:val="both"/>
        <w:rPr>
          <w:lang w:val="en-US" w:eastAsia="ja-JP"/>
        </w:rPr>
      </w:pPr>
      <w:r>
        <w:rPr>
          <w:rFonts w:hint="eastAsia"/>
          <w:lang w:val="en-US" w:eastAsia="ja-JP"/>
        </w:rPr>
        <w:t>T</w:t>
      </w:r>
      <w:r>
        <w:rPr>
          <w:lang w:val="en-US" w:eastAsia="ja-JP"/>
        </w:rPr>
        <w:t>his requirement is not needed for the IAB-MT</w:t>
      </w:r>
    </w:p>
    <w:p w14:paraId="1E00F383" w14:textId="77777777" w:rsidR="0072658F" w:rsidRDefault="0072658F" w:rsidP="0072658F">
      <w:pPr>
        <w:pStyle w:val="Heading3"/>
        <w:rPr>
          <w:lang w:val="en-US" w:eastAsia="ja-JP"/>
        </w:rPr>
      </w:pPr>
      <w:r>
        <w:rPr>
          <w:rFonts w:hint="eastAsia"/>
          <w:lang w:val="en-US" w:eastAsia="ja-JP"/>
        </w:rPr>
        <w:t>R</w:t>
      </w:r>
      <w:r>
        <w:rPr>
          <w:lang w:val="en-US" w:eastAsia="ja-JP"/>
        </w:rPr>
        <w:t>x Requirements</w:t>
      </w:r>
    </w:p>
    <w:p w14:paraId="258AAA14" w14:textId="77777777" w:rsidR="00406FFC" w:rsidRPr="00DE1C28" w:rsidRDefault="00406FFC" w:rsidP="00406FFC">
      <w:pPr>
        <w:jc w:val="both"/>
        <w:rPr>
          <w:b/>
          <w:bCs/>
          <w:lang w:val="en-US" w:eastAsia="ja-JP"/>
        </w:rPr>
      </w:pPr>
      <w:r w:rsidRPr="00DE1C28">
        <w:rPr>
          <w:b/>
          <w:bCs/>
          <w:lang w:val="en-US" w:eastAsia="ja-JP"/>
        </w:rPr>
        <w:t>Reference sensitivity leve</w:t>
      </w:r>
      <w:r w:rsidR="00DE1C28" w:rsidRPr="00DE1C28">
        <w:rPr>
          <w:b/>
          <w:bCs/>
          <w:lang w:val="en-US" w:eastAsia="ja-JP"/>
        </w:rPr>
        <w:t>l</w:t>
      </w:r>
    </w:p>
    <w:p w14:paraId="53AB91AA" w14:textId="77777777" w:rsidR="00DE1C28" w:rsidRPr="00406FFC" w:rsidRDefault="00DE1C28" w:rsidP="00406FFC">
      <w:pPr>
        <w:jc w:val="both"/>
        <w:rPr>
          <w:lang w:val="en-US" w:eastAsia="ja-JP"/>
        </w:rPr>
      </w:pPr>
      <w:proofErr w:type="gramStart"/>
      <w:r>
        <w:rPr>
          <w:lang w:val="en-US" w:eastAsia="ja-JP"/>
        </w:rPr>
        <w:t>Similarly</w:t>
      </w:r>
      <w:proofErr w:type="gramEnd"/>
      <w:r>
        <w:rPr>
          <w:lang w:val="en-US" w:eastAsia="ja-JP"/>
        </w:rPr>
        <w:t xml:space="preserve"> to the Tx power requirements, these requirements should follow the BS framework of using the manufacturer’s declaration. The requirements might differ depending on the outcome of the IAB-MT class definition discussion.</w:t>
      </w:r>
    </w:p>
    <w:p w14:paraId="77FFFCC6" w14:textId="77777777" w:rsidR="00406FFC" w:rsidRPr="00DE1C28" w:rsidRDefault="00406FFC" w:rsidP="00406FFC">
      <w:pPr>
        <w:jc w:val="both"/>
        <w:rPr>
          <w:b/>
          <w:bCs/>
          <w:lang w:val="en-US" w:eastAsia="ja-JP"/>
        </w:rPr>
      </w:pPr>
      <w:r w:rsidRPr="00DE1C28">
        <w:rPr>
          <w:b/>
          <w:bCs/>
          <w:lang w:val="en-US" w:eastAsia="ja-JP"/>
        </w:rPr>
        <w:t>Dynamic range</w:t>
      </w:r>
      <w:r w:rsidRPr="00DE1C28">
        <w:rPr>
          <w:b/>
          <w:bCs/>
          <w:lang w:val="en-US" w:eastAsia="ja-JP"/>
        </w:rPr>
        <w:tab/>
      </w:r>
    </w:p>
    <w:p w14:paraId="329125DA" w14:textId="77777777" w:rsidR="00DE1C28" w:rsidRPr="00406FFC" w:rsidRDefault="00DE1C28" w:rsidP="00406FFC">
      <w:pPr>
        <w:jc w:val="both"/>
        <w:rPr>
          <w:lang w:val="en-US" w:eastAsia="ja-JP"/>
        </w:rPr>
      </w:pPr>
      <w:r>
        <w:rPr>
          <w:rFonts w:hint="eastAsia"/>
          <w:lang w:val="en-US" w:eastAsia="ja-JP"/>
        </w:rPr>
        <w:t>T</w:t>
      </w:r>
      <w:r>
        <w:rPr>
          <w:lang w:val="en-US" w:eastAsia="ja-JP"/>
        </w:rPr>
        <w:t xml:space="preserve">he UE requirements introduce a dynamic range implicitly through the definition of a maximum input power level. For the IAB-MT it was already agreed that this requirement will not be defined. </w:t>
      </w:r>
      <w:proofErr w:type="gramStart"/>
      <w:r>
        <w:rPr>
          <w:lang w:val="en-US" w:eastAsia="ja-JP"/>
        </w:rPr>
        <w:t>As  such</w:t>
      </w:r>
      <w:proofErr w:type="gramEnd"/>
      <w:r>
        <w:rPr>
          <w:lang w:val="en-US" w:eastAsia="ja-JP"/>
        </w:rPr>
        <w:t>, dynamic ra</w:t>
      </w:r>
      <w:r w:rsidR="000F539E">
        <w:rPr>
          <w:lang w:val="en-US" w:eastAsia="ja-JP"/>
        </w:rPr>
        <w:t>nge for IAB-MT will not be defined.</w:t>
      </w:r>
    </w:p>
    <w:p w14:paraId="0565E1A8" w14:textId="77777777" w:rsidR="00406FFC" w:rsidRPr="000F539E" w:rsidRDefault="00406FFC" w:rsidP="00406FFC">
      <w:pPr>
        <w:jc w:val="both"/>
        <w:rPr>
          <w:b/>
          <w:bCs/>
          <w:lang w:val="en-US" w:eastAsia="ja-JP"/>
        </w:rPr>
      </w:pPr>
      <w:r w:rsidRPr="000F539E">
        <w:rPr>
          <w:b/>
          <w:bCs/>
          <w:lang w:val="en-US" w:eastAsia="ja-JP"/>
        </w:rPr>
        <w:t>In-band selectivity and blocking</w:t>
      </w:r>
    </w:p>
    <w:p w14:paraId="308EAC1F" w14:textId="77777777" w:rsidR="00DE1C28" w:rsidRPr="00406FFC" w:rsidRDefault="000F539E" w:rsidP="00406FFC">
      <w:pPr>
        <w:jc w:val="both"/>
        <w:rPr>
          <w:lang w:val="en-US" w:eastAsia="ja-JP"/>
        </w:rPr>
      </w:pPr>
      <w:r>
        <w:rPr>
          <w:lang w:val="en-US" w:eastAsia="ja-JP"/>
        </w:rPr>
        <w:t>ACS and in-band blocking should be defined for the IAB-MT. These requirements are still under discussion, however, the framework can follow the BS definition of the requirement</w:t>
      </w:r>
    </w:p>
    <w:p w14:paraId="6C6DDCAD" w14:textId="77777777" w:rsidR="00406FFC" w:rsidRPr="000F539E" w:rsidRDefault="00406FFC" w:rsidP="00406FFC">
      <w:pPr>
        <w:jc w:val="both"/>
        <w:rPr>
          <w:b/>
          <w:bCs/>
          <w:lang w:val="en-US" w:eastAsia="ja-JP"/>
        </w:rPr>
      </w:pPr>
      <w:r w:rsidRPr="000F539E">
        <w:rPr>
          <w:b/>
          <w:bCs/>
          <w:lang w:val="en-US" w:eastAsia="ja-JP"/>
        </w:rPr>
        <w:t>Out-of-band blocking</w:t>
      </w:r>
      <w:r w:rsidRPr="000F539E">
        <w:rPr>
          <w:b/>
          <w:bCs/>
          <w:lang w:val="en-US" w:eastAsia="ja-JP"/>
        </w:rPr>
        <w:tab/>
      </w:r>
    </w:p>
    <w:p w14:paraId="4DB7DA9F" w14:textId="77777777" w:rsidR="00DE1C28" w:rsidRPr="00406FFC" w:rsidRDefault="003D4716" w:rsidP="00406FFC">
      <w:pPr>
        <w:jc w:val="both"/>
        <w:rPr>
          <w:lang w:val="en-US" w:eastAsia="ja-JP"/>
        </w:rPr>
      </w:pPr>
      <w:r>
        <w:rPr>
          <w:lang w:val="en-US" w:eastAsia="ja-JP"/>
        </w:rPr>
        <w:t>This requirement is still u</w:t>
      </w:r>
      <w:r w:rsidR="000F539E">
        <w:rPr>
          <w:lang w:val="en-US" w:eastAsia="ja-JP"/>
        </w:rPr>
        <w:t>nder discussion</w:t>
      </w:r>
      <w:r>
        <w:rPr>
          <w:lang w:val="en-US" w:eastAsia="ja-JP"/>
        </w:rPr>
        <w:t>.</w:t>
      </w:r>
    </w:p>
    <w:p w14:paraId="214AF6AE" w14:textId="77777777" w:rsidR="00406FFC" w:rsidRPr="000F539E" w:rsidRDefault="00406FFC" w:rsidP="00406FFC">
      <w:pPr>
        <w:jc w:val="both"/>
        <w:rPr>
          <w:b/>
          <w:bCs/>
          <w:lang w:val="en-US" w:eastAsia="ja-JP"/>
        </w:rPr>
      </w:pPr>
      <w:r w:rsidRPr="000F539E">
        <w:rPr>
          <w:b/>
          <w:bCs/>
          <w:lang w:val="en-US" w:eastAsia="ja-JP"/>
        </w:rPr>
        <w:t>Receiver spurious emissions</w:t>
      </w:r>
    </w:p>
    <w:p w14:paraId="53E640C9" w14:textId="77777777" w:rsidR="00DE1C28" w:rsidRDefault="000F539E" w:rsidP="00406FFC">
      <w:pPr>
        <w:jc w:val="both"/>
        <w:rPr>
          <w:lang w:val="en-US" w:eastAsia="ja-JP"/>
        </w:rPr>
      </w:pPr>
      <w:r>
        <w:rPr>
          <w:rFonts w:hint="eastAsia"/>
          <w:lang w:val="en-US" w:eastAsia="ja-JP"/>
        </w:rPr>
        <w:t>T</w:t>
      </w:r>
      <w:r>
        <w:rPr>
          <w:lang w:val="en-US" w:eastAsia="ja-JP"/>
        </w:rPr>
        <w:t>he UE requirement should be re-used. This requirement is defined as TRP.</w:t>
      </w:r>
    </w:p>
    <w:p w14:paraId="4350351D" w14:textId="77777777" w:rsidR="00406FFC" w:rsidRPr="000F539E" w:rsidRDefault="00406FFC" w:rsidP="00406FFC">
      <w:pPr>
        <w:jc w:val="both"/>
        <w:rPr>
          <w:b/>
          <w:bCs/>
          <w:lang w:val="en-US" w:eastAsia="ja-JP"/>
        </w:rPr>
      </w:pPr>
      <w:r w:rsidRPr="000F539E">
        <w:rPr>
          <w:b/>
          <w:bCs/>
          <w:lang w:val="en-US" w:eastAsia="ja-JP"/>
        </w:rPr>
        <w:t>Receiver intermodulation</w:t>
      </w:r>
      <w:r w:rsidRPr="000F539E">
        <w:rPr>
          <w:b/>
          <w:bCs/>
          <w:lang w:val="en-US" w:eastAsia="ja-JP"/>
        </w:rPr>
        <w:tab/>
      </w:r>
    </w:p>
    <w:p w14:paraId="7712680F" w14:textId="77777777" w:rsidR="00DE1C28" w:rsidRDefault="000F539E" w:rsidP="00406FFC">
      <w:pPr>
        <w:jc w:val="both"/>
        <w:rPr>
          <w:lang w:val="en-US" w:eastAsia="ja-JP"/>
        </w:rPr>
      </w:pPr>
      <w:r>
        <w:rPr>
          <w:rFonts w:hint="eastAsia"/>
          <w:lang w:val="en-US" w:eastAsia="ja-JP"/>
        </w:rPr>
        <w:t>T</w:t>
      </w:r>
      <w:r>
        <w:rPr>
          <w:lang w:val="en-US" w:eastAsia="ja-JP"/>
        </w:rPr>
        <w:t>his requirement is not needed for the IAB-MT.</w:t>
      </w:r>
    </w:p>
    <w:p w14:paraId="182EEF14" w14:textId="77777777" w:rsidR="00406FFC" w:rsidRPr="000F539E" w:rsidRDefault="00406FFC" w:rsidP="00406FFC">
      <w:pPr>
        <w:jc w:val="both"/>
        <w:rPr>
          <w:b/>
          <w:bCs/>
          <w:lang w:val="en-US" w:eastAsia="ja-JP"/>
        </w:rPr>
      </w:pPr>
      <w:r w:rsidRPr="000F539E">
        <w:rPr>
          <w:b/>
          <w:bCs/>
          <w:lang w:val="en-US" w:eastAsia="ja-JP"/>
        </w:rPr>
        <w:t>In-channel selectivity</w:t>
      </w:r>
    </w:p>
    <w:p w14:paraId="5B968DD5" w14:textId="77777777" w:rsidR="00DE1C28" w:rsidRDefault="000F539E" w:rsidP="00406FFC">
      <w:pPr>
        <w:jc w:val="both"/>
        <w:rPr>
          <w:lang w:val="en-US" w:eastAsia="ja-JP"/>
        </w:rPr>
      </w:pPr>
      <w:r>
        <w:rPr>
          <w:rFonts w:hint="eastAsia"/>
          <w:lang w:val="en-US" w:eastAsia="ja-JP"/>
        </w:rPr>
        <w:t>T</w:t>
      </w:r>
      <w:r>
        <w:rPr>
          <w:lang w:val="en-US" w:eastAsia="ja-JP"/>
        </w:rPr>
        <w:t>his requirement is not needed for the IAB-MT.</w:t>
      </w:r>
    </w:p>
    <w:p w14:paraId="39CC0DBB" w14:textId="77777777" w:rsidR="008C3C31" w:rsidRDefault="008C3C31" w:rsidP="009E5F08">
      <w:pPr>
        <w:jc w:val="both"/>
        <w:rPr>
          <w:lang w:val="en-US" w:eastAsia="ja-JP"/>
        </w:rPr>
      </w:pPr>
    </w:p>
    <w:p w14:paraId="6437813E" w14:textId="77777777" w:rsidR="000E0602" w:rsidRDefault="0069757C" w:rsidP="007851E4">
      <w:pPr>
        <w:pStyle w:val="Heading1"/>
        <w:jc w:val="both"/>
      </w:pPr>
      <w:r>
        <w:t>Conclusion</w:t>
      </w:r>
    </w:p>
    <w:p w14:paraId="40661E36" w14:textId="77777777" w:rsidR="008C3C31" w:rsidRDefault="00A02911" w:rsidP="005E2102">
      <w:pPr>
        <w:jc w:val="both"/>
        <w:rPr>
          <w:lang w:eastAsia="ja-JP"/>
        </w:rPr>
      </w:pPr>
      <w:r>
        <w:rPr>
          <w:lang w:eastAsia="ja-JP"/>
        </w:rPr>
        <w:t>In this paper we discussed the</w:t>
      </w:r>
      <w:r w:rsidR="000F539E">
        <w:rPr>
          <w:lang w:eastAsia="ja-JP"/>
        </w:rPr>
        <w:t xml:space="preserve"> IAB-MT requirements and how they relate to the currently defined UE and BS requirements. Many of the UE requirements should be re-used, however, the requirement definition should be adapted to the BS framework in which the beam peak directions and RoAoA are declared.</w:t>
      </w:r>
    </w:p>
    <w:p w14:paraId="28A1CCAB" w14:textId="77777777" w:rsidR="003628B5" w:rsidRPr="003628B5" w:rsidRDefault="00E506F9" w:rsidP="003628B5">
      <w:pPr>
        <w:pStyle w:val="Heading1"/>
        <w:rPr>
          <w:rFonts w:hint="eastAsia"/>
          <w:lang w:val="en-US" w:eastAsia="ja-JP"/>
        </w:rPr>
      </w:pPr>
      <w:r>
        <w:rPr>
          <w:lang w:val="en-US" w:eastAsia="ja-JP"/>
        </w:rPr>
        <w:t>R</w:t>
      </w:r>
      <w:r w:rsidR="003628B5">
        <w:rPr>
          <w:lang w:val="en-US" w:eastAsia="ja-JP"/>
        </w:rPr>
        <w:t>eferences</w:t>
      </w:r>
    </w:p>
    <w:p w14:paraId="623587CC" w14:textId="77777777" w:rsidR="003C655C" w:rsidRPr="00C83838" w:rsidRDefault="003A599A" w:rsidP="00485F3B">
      <w:pPr>
        <w:numPr>
          <w:ilvl w:val="0"/>
          <w:numId w:val="35"/>
        </w:numPr>
        <w:jc w:val="both"/>
        <w:rPr>
          <w:lang w:eastAsia="ja-JP"/>
        </w:rPr>
      </w:pPr>
      <w:r w:rsidRPr="003A599A">
        <w:rPr>
          <w:lang w:val="en-US" w:eastAsia="ja-JP"/>
        </w:rPr>
        <w:t>R</w:t>
      </w:r>
      <w:r w:rsidR="003A4C65">
        <w:rPr>
          <w:lang w:val="en-US" w:eastAsia="ja-JP"/>
        </w:rPr>
        <w:t>4</w:t>
      </w:r>
      <w:r w:rsidRPr="003A599A">
        <w:rPr>
          <w:lang w:val="en-US" w:eastAsia="ja-JP"/>
        </w:rPr>
        <w:t>-1</w:t>
      </w:r>
      <w:r w:rsidR="00875787">
        <w:rPr>
          <w:lang w:val="en-US" w:eastAsia="ja-JP"/>
        </w:rPr>
        <w:t>9</w:t>
      </w:r>
      <w:r w:rsidR="00E7796B">
        <w:rPr>
          <w:lang w:val="en-US" w:eastAsia="ja-JP"/>
        </w:rPr>
        <w:t>1</w:t>
      </w:r>
      <w:r w:rsidR="00C83838">
        <w:rPr>
          <w:lang w:val="en-US" w:eastAsia="ja-JP"/>
        </w:rPr>
        <w:t>6161</w:t>
      </w:r>
      <w:r w:rsidRPr="003A599A">
        <w:rPr>
          <w:lang w:val="en-US" w:eastAsia="ja-JP"/>
        </w:rPr>
        <w:t>, “</w:t>
      </w:r>
      <w:r w:rsidR="00C83838">
        <w:rPr>
          <w:lang w:val="en-US" w:eastAsia="ja-JP"/>
        </w:rPr>
        <w:t>IAB Ad Hoc Meeting Minutes</w:t>
      </w:r>
      <w:r w:rsidRPr="003A599A">
        <w:rPr>
          <w:lang w:val="en-US" w:eastAsia="ja-JP"/>
        </w:rPr>
        <w:t>”,</w:t>
      </w:r>
      <w:r w:rsidR="00875787">
        <w:rPr>
          <w:lang w:val="en-US" w:eastAsia="ja-JP"/>
        </w:rPr>
        <w:t xml:space="preserve"> </w:t>
      </w:r>
      <w:r w:rsidR="003A4C65">
        <w:rPr>
          <w:lang w:val="en-US" w:eastAsia="ja-JP"/>
        </w:rPr>
        <w:t>Qualcomm Incorporated</w:t>
      </w:r>
    </w:p>
    <w:p w14:paraId="3AA7887B" w14:textId="77777777" w:rsidR="00C83838" w:rsidRDefault="00C83838" w:rsidP="00485F3B">
      <w:pPr>
        <w:numPr>
          <w:ilvl w:val="0"/>
          <w:numId w:val="35"/>
        </w:numPr>
        <w:jc w:val="both"/>
        <w:rPr>
          <w:lang w:eastAsia="ja-JP"/>
        </w:rPr>
      </w:pPr>
      <w:r>
        <w:rPr>
          <w:lang w:eastAsia="ja-JP"/>
        </w:rPr>
        <w:t>3GPP TS 38.101-1</w:t>
      </w:r>
    </w:p>
    <w:p w14:paraId="482BBBB0" w14:textId="77777777" w:rsidR="00C83838" w:rsidRPr="003A599A" w:rsidRDefault="00C83838" w:rsidP="00485F3B">
      <w:pPr>
        <w:numPr>
          <w:ilvl w:val="0"/>
          <w:numId w:val="35"/>
        </w:numPr>
        <w:jc w:val="both"/>
        <w:rPr>
          <w:lang w:eastAsia="ja-JP"/>
        </w:rPr>
      </w:pPr>
      <w:r>
        <w:rPr>
          <w:rFonts w:hint="eastAsia"/>
          <w:lang w:eastAsia="ja-JP"/>
        </w:rPr>
        <w:t>3</w:t>
      </w:r>
      <w:r>
        <w:rPr>
          <w:lang w:eastAsia="ja-JP"/>
        </w:rPr>
        <w:t>GPP TS 38.101-2</w:t>
      </w:r>
    </w:p>
    <w:p w14:paraId="50CC2315" w14:textId="77777777" w:rsidR="00485F3B" w:rsidRPr="00A02911" w:rsidRDefault="00485F3B" w:rsidP="003A4C65">
      <w:pPr>
        <w:jc w:val="both"/>
        <w:rPr>
          <w:rFonts w:hint="eastAsia"/>
          <w:lang w:val="en-US" w:eastAsia="ja-JP"/>
        </w:rPr>
      </w:pPr>
    </w:p>
    <w:p w14:paraId="426AB5CB" w14:textId="77777777" w:rsidR="003628B5" w:rsidRPr="003628B5" w:rsidRDefault="003628B5" w:rsidP="00DC1493">
      <w:pPr>
        <w:rPr>
          <w:lang w:eastAsia="zh-CN"/>
        </w:rPr>
      </w:pPr>
    </w:p>
    <w:p w14:paraId="12CD0C6F" w14:textId="77777777" w:rsidR="003628B5" w:rsidRDefault="003628B5" w:rsidP="00DC1493">
      <w:pPr>
        <w:rPr>
          <w:lang w:eastAsia="zh-CN"/>
        </w:rPr>
      </w:pPr>
    </w:p>
    <w:sectPr w:rsidR="003628B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BA85C" w14:textId="77777777" w:rsidR="00FF184F" w:rsidRDefault="00FF184F">
      <w:r>
        <w:separator/>
      </w:r>
    </w:p>
  </w:endnote>
  <w:endnote w:type="continuationSeparator" w:id="0">
    <w:p w14:paraId="1E132A9B" w14:textId="77777777" w:rsidR="00FF184F" w:rsidRDefault="00FF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52E5" w14:textId="77777777" w:rsidR="004E29C3" w:rsidRDefault="004E29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7FCCF0B" w14:textId="77777777" w:rsidR="004E29C3" w:rsidRDefault="004E29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C2197" w14:textId="77777777" w:rsidR="004E29C3" w:rsidRDefault="004E29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55F1">
      <w:rPr>
        <w:rStyle w:val="PageNumber"/>
      </w:rPr>
      <w:t>1</w:t>
    </w:r>
    <w:r>
      <w:rPr>
        <w:rStyle w:val="PageNumber"/>
      </w:rPr>
      <w:fldChar w:fldCharType="end"/>
    </w:r>
  </w:p>
  <w:p w14:paraId="2B016DF5" w14:textId="77777777" w:rsidR="004E29C3" w:rsidRDefault="004E29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4712B" w14:textId="77777777" w:rsidR="00FF184F" w:rsidRDefault="00FF184F">
      <w:r>
        <w:separator/>
      </w:r>
    </w:p>
  </w:footnote>
  <w:footnote w:type="continuationSeparator" w:id="0">
    <w:p w14:paraId="7DD20CC4" w14:textId="77777777" w:rsidR="00FF184F" w:rsidRDefault="00FF1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BB3"/>
      </v:shape>
    </w:pict>
  </w:numPicBullet>
  <w:abstractNum w:abstractNumId="0"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7"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5"/>
  </w:num>
  <w:num w:numId="2">
    <w:abstractNumId w:val="27"/>
  </w:num>
  <w:num w:numId="3">
    <w:abstractNumId w:val="31"/>
  </w:num>
  <w:num w:numId="4">
    <w:abstractNumId w:val="35"/>
  </w:num>
  <w:num w:numId="5">
    <w:abstractNumId w:val="22"/>
  </w:num>
  <w:num w:numId="6">
    <w:abstractNumId w:val="9"/>
  </w:num>
  <w:num w:numId="7">
    <w:abstractNumId w:val="3"/>
  </w:num>
  <w:num w:numId="8">
    <w:abstractNumId w:val="29"/>
  </w:num>
  <w:num w:numId="9">
    <w:abstractNumId w:val="10"/>
  </w:num>
  <w:num w:numId="10">
    <w:abstractNumId w:val="21"/>
  </w:num>
  <w:num w:numId="11">
    <w:abstractNumId w:val="36"/>
  </w:num>
  <w:num w:numId="12">
    <w:abstractNumId w:val="8"/>
  </w:num>
  <w:num w:numId="13">
    <w:abstractNumId w:val="25"/>
  </w:num>
  <w:num w:numId="14">
    <w:abstractNumId w:val="6"/>
  </w:num>
  <w:num w:numId="15">
    <w:abstractNumId w:val="30"/>
  </w:num>
  <w:num w:numId="16">
    <w:abstractNumId w:val="13"/>
  </w:num>
  <w:num w:numId="17">
    <w:abstractNumId w:val="19"/>
  </w:num>
  <w:num w:numId="18">
    <w:abstractNumId w:val="23"/>
  </w:num>
  <w:num w:numId="19">
    <w:abstractNumId w:val="4"/>
  </w:num>
  <w:num w:numId="20">
    <w:abstractNumId w:val="26"/>
  </w:num>
  <w:num w:numId="21">
    <w:abstractNumId w:val="12"/>
  </w:num>
  <w:num w:numId="22">
    <w:abstractNumId w:val="32"/>
  </w:num>
  <w:num w:numId="23">
    <w:abstractNumId w:val="1"/>
  </w:num>
  <w:num w:numId="24">
    <w:abstractNumId w:val="20"/>
  </w:num>
  <w:num w:numId="25">
    <w:abstractNumId w:val="28"/>
  </w:num>
  <w:num w:numId="26">
    <w:abstractNumId w:val="17"/>
  </w:num>
  <w:num w:numId="27">
    <w:abstractNumId w:val="7"/>
  </w:num>
  <w:num w:numId="28">
    <w:abstractNumId w:val="2"/>
  </w:num>
  <w:num w:numId="29">
    <w:abstractNumId w:val="0"/>
  </w:num>
  <w:num w:numId="30">
    <w:abstractNumId w:val="37"/>
  </w:num>
  <w:num w:numId="31">
    <w:abstractNumId w:val="33"/>
  </w:num>
  <w:num w:numId="32">
    <w:abstractNumId w:val="14"/>
  </w:num>
  <w:num w:numId="33">
    <w:abstractNumId w:val="24"/>
  </w:num>
  <w:num w:numId="34">
    <w:abstractNumId w:val="11"/>
  </w:num>
  <w:num w:numId="35">
    <w:abstractNumId w:val="16"/>
  </w:num>
  <w:num w:numId="36">
    <w:abstractNumId w:val="5"/>
    <w:lvlOverride w:ilvl="0"/>
    <w:lvlOverride w:ilvl="1"/>
    <w:lvlOverride w:ilvl="2"/>
    <w:lvlOverride w:ilvl="3"/>
    <w:lvlOverride w:ilvl="4"/>
    <w:lvlOverride w:ilvl="5"/>
    <w:lvlOverride w:ilvl="6"/>
    <w:lvlOverride w:ilvl="7"/>
    <w:lvlOverride w:ilvl="8"/>
  </w:num>
  <w:num w:numId="37">
    <w:abstractNumId w:val="34"/>
    <w:lvlOverride w:ilvl="0"/>
    <w:lvlOverride w:ilvl="1"/>
    <w:lvlOverride w:ilvl="2"/>
    <w:lvlOverride w:ilvl="3"/>
    <w:lvlOverride w:ilvl="4"/>
    <w:lvlOverride w:ilvl="5"/>
    <w:lvlOverride w:ilvl="6"/>
    <w:lvlOverride w:ilvl="7"/>
    <w:lvlOverride w:ilvl="8"/>
  </w:num>
  <w:num w:numId="38">
    <w:abstractNumId w:val="18"/>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427B"/>
    <w:rsid w:val="000642D1"/>
    <w:rsid w:val="0006440F"/>
    <w:rsid w:val="00066E3A"/>
    <w:rsid w:val="00066EEB"/>
    <w:rsid w:val="00070561"/>
    <w:rsid w:val="00070ECC"/>
    <w:rsid w:val="00072B3F"/>
    <w:rsid w:val="000737DA"/>
    <w:rsid w:val="0007555F"/>
    <w:rsid w:val="00075898"/>
    <w:rsid w:val="00077FE0"/>
    <w:rsid w:val="00080057"/>
    <w:rsid w:val="00082CE8"/>
    <w:rsid w:val="000841A8"/>
    <w:rsid w:val="00084301"/>
    <w:rsid w:val="000844AC"/>
    <w:rsid w:val="0008452A"/>
    <w:rsid w:val="00084BE4"/>
    <w:rsid w:val="00084DCF"/>
    <w:rsid w:val="0008544F"/>
    <w:rsid w:val="00085C24"/>
    <w:rsid w:val="00085DB7"/>
    <w:rsid w:val="00085FB8"/>
    <w:rsid w:val="0008682B"/>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AAF"/>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5C29"/>
    <w:rsid w:val="00175EB8"/>
    <w:rsid w:val="00176652"/>
    <w:rsid w:val="00176945"/>
    <w:rsid w:val="001771D5"/>
    <w:rsid w:val="00177940"/>
    <w:rsid w:val="00177970"/>
    <w:rsid w:val="00177F69"/>
    <w:rsid w:val="00180E49"/>
    <w:rsid w:val="00181289"/>
    <w:rsid w:val="00182838"/>
    <w:rsid w:val="001842E4"/>
    <w:rsid w:val="00184AB6"/>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3142"/>
    <w:rsid w:val="00193747"/>
    <w:rsid w:val="00194DF4"/>
    <w:rsid w:val="00195150"/>
    <w:rsid w:val="001954F6"/>
    <w:rsid w:val="001A17B9"/>
    <w:rsid w:val="001A1B9D"/>
    <w:rsid w:val="001A1D6F"/>
    <w:rsid w:val="001A24F6"/>
    <w:rsid w:val="001A49F0"/>
    <w:rsid w:val="001A4C57"/>
    <w:rsid w:val="001A50B1"/>
    <w:rsid w:val="001A5720"/>
    <w:rsid w:val="001A6604"/>
    <w:rsid w:val="001A6F9B"/>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4AD9"/>
    <w:rsid w:val="00245579"/>
    <w:rsid w:val="002461C3"/>
    <w:rsid w:val="00250072"/>
    <w:rsid w:val="00251CE6"/>
    <w:rsid w:val="00252C9A"/>
    <w:rsid w:val="0025307E"/>
    <w:rsid w:val="00254194"/>
    <w:rsid w:val="002541E7"/>
    <w:rsid w:val="00255927"/>
    <w:rsid w:val="002559A4"/>
    <w:rsid w:val="00255C09"/>
    <w:rsid w:val="002560F6"/>
    <w:rsid w:val="00256328"/>
    <w:rsid w:val="0025665A"/>
    <w:rsid w:val="00260006"/>
    <w:rsid w:val="002604B0"/>
    <w:rsid w:val="00261335"/>
    <w:rsid w:val="002635B5"/>
    <w:rsid w:val="002635B6"/>
    <w:rsid w:val="002635C2"/>
    <w:rsid w:val="002636AD"/>
    <w:rsid w:val="002647D1"/>
    <w:rsid w:val="00265201"/>
    <w:rsid w:val="002657D8"/>
    <w:rsid w:val="002658E7"/>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B775F"/>
    <w:rsid w:val="002C034B"/>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7510"/>
    <w:rsid w:val="002F7E3E"/>
    <w:rsid w:val="00300433"/>
    <w:rsid w:val="00300A06"/>
    <w:rsid w:val="00301EFA"/>
    <w:rsid w:val="003023C5"/>
    <w:rsid w:val="0030267E"/>
    <w:rsid w:val="00302D5C"/>
    <w:rsid w:val="003038CB"/>
    <w:rsid w:val="00303E4F"/>
    <w:rsid w:val="0030434B"/>
    <w:rsid w:val="00304479"/>
    <w:rsid w:val="00304EC9"/>
    <w:rsid w:val="0030648A"/>
    <w:rsid w:val="00307D0A"/>
    <w:rsid w:val="0031040B"/>
    <w:rsid w:val="00311BFB"/>
    <w:rsid w:val="00311D14"/>
    <w:rsid w:val="00312EF8"/>
    <w:rsid w:val="00314DB7"/>
    <w:rsid w:val="00315017"/>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59A3"/>
    <w:rsid w:val="00337613"/>
    <w:rsid w:val="00337A5E"/>
    <w:rsid w:val="0034157C"/>
    <w:rsid w:val="003427F4"/>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20A7"/>
    <w:rsid w:val="003720AD"/>
    <w:rsid w:val="0037254B"/>
    <w:rsid w:val="00372AA0"/>
    <w:rsid w:val="00373574"/>
    <w:rsid w:val="00375288"/>
    <w:rsid w:val="00377259"/>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CC9"/>
    <w:rsid w:val="0039533D"/>
    <w:rsid w:val="003959B1"/>
    <w:rsid w:val="003961A7"/>
    <w:rsid w:val="00396303"/>
    <w:rsid w:val="003964AE"/>
    <w:rsid w:val="00396FEC"/>
    <w:rsid w:val="003A06B7"/>
    <w:rsid w:val="003A196D"/>
    <w:rsid w:val="003A2262"/>
    <w:rsid w:val="003A249A"/>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819"/>
    <w:rsid w:val="003B1A92"/>
    <w:rsid w:val="003B273C"/>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397D"/>
    <w:rsid w:val="00443BA4"/>
    <w:rsid w:val="00443FD4"/>
    <w:rsid w:val="004445A4"/>
    <w:rsid w:val="00445294"/>
    <w:rsid w:val="00445605"/>
    <w:rsid w:val="00445800"/>
    <w:rsid w:val="0044602B"/>
    <w:rsid w:val="0044606C"/>
    <w:rsid w:val="00446644"/>
    <w:rsid w:val="004466AD"/>
    <w:rsid w:val="004472E9"/>
    <w:rsid w:val="0045006B"/>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34FB"/>
    <w:rsid w:val="004D3AAF"/>
    <w:rsid w:val="004D3AF6"/>
    <w:rsid w:val="004D40A3"/>
    <w:rsid w:val="004D4218"/>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AE"/>
    <w:rsid w:val="00507B00"/>
    <w:rsid w:val="00507B9C"/>
    <w:rsid w:val="00510751"/>
    <w:rsid w:val="00511476"/>
    <w:rsid w:val="00512B2B"/>
    <w:rsid w:val="005167E8"/>
    <w:rsid w:val="0052029F"/>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65C0"/>
    <w:rsid w:val="005576F7"/>
    <w:rsid w:val="005607A9"/>
    <w:rsid w:val="0056479E"/>
    <w:rsid w:val="00565866"/>
    <w:rsid w:val="0056719B"/>
    <w:rsid w:val="00570586"/>
    <w:rsid w:val="00570B85"/>
    <w:rsid w:val="0057160B"/>
    <w:rsid w:val="005719CC"/>
    <w:rsid w:val="00572669"/>
    <w:rsid w:val="0057316B"/>
    <w:rsid w:val="00575ED0"/>
    <w:rsid w:val="0058025A"/>
    <w:rsid w:val="005819DD"/>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621D"/>
    <w:rsid w:val="00597E5D"/>
    <w:rsid w:val="005A085B"/>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4429"/>
    <w:rsid w:val="005B448B"/>
    <w:rsid w:val="005B5F79"/>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46B6"/>
    <w:rsid w:val="00604770"/>
    <w:rsid w:val="006059EE"/>
    <w:rsid w:val="00607638"/>
    <w:rsid w:val="00607DB2"/>
    <w:rsid w:val="006102C5"/>
    <w:rsid w:val="00611E72"/>
    <w:rsid w:val="006123A2"/>
    <w:rsid w:val="00613713"/>
    <w:rsid w:val="0061395D"/>
    <w:rsid w:val="00615075"/>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23AD"/>
    <w:rsid w:val="006523C6"/>
    <w:rsid w:val="00652432"/>
    <w:rsid w:val="0065251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8132F"/>
    <w:rsid w:val="006816F2"/>
    <w:rsid w:val="00683F7E"/>
    <w:rsid w:val="006843A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D27"/>
    <w:rsid w:val="00711F11"/>
    <w:rsid w:val="00712B7E"/>
    <w:rsid w:val="00712CBA"/>
    <w:rsid w:val="007148D0"/>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334B"/>
    <w:rsid w:val="0073413D"/>
    <w:rsid w:val="0073419D"/>
    <w:rsid w:val="00737096"/>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433C"/>
    <w:rsid w:val="007663F2"/>
    <w:rsid w:val="007669A7"/>
    <w:rsid w:val="0076716E"/>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911"/>
    <w:rsid w:val="00783A3A"/>
    <w:rsid w:val="007846F4"/>
    <w:rsid w:val="007851E4"/>
    <w:rsid w:val="007860AD"/>
    <w:rsid w:val="00787CD3"/>
    <w:rsid w:val="00787FC2"/>
    <w:rsid w:val="00790774"/>
    <w:rsid w:val="00790FEC"/>
    <w:rsid w:val="00791CC0"/>
    <w:rsid w:val="0079382B"/>
    <w:rsid w:val="007942B9"/>
    <w:rsid w:val="0079485D"/>
    <w:rsid w:val="00794977"/>
    <w:rsid w:val="007951C7"/>
    <w:rsid w:val="00796FBD"/>
    <w:rsid w:val="0079758B"/>
    <w:rsid w:val="007A065B"/>
    <w:rsid w:val="007A0BD1"/>
    <w:rsid w:val="007A2462"/>
    <w:rsid w:val="007A29A7"/>
    <w:rsid w:val="007A323B"/>
    <w:rsid w:val="007A36E8"/>
    <w:rsid w:val="007A393B"/>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51CC"/>
    <w:rsid w:val="007F5F94"/>
    <w:rsid w:val="007F6749"/>
    <w:rsid w:val="007F72A0"/>
    <w:rsid w:val="007F7987"/>
    <w:rsid w:val="007F7FA9"/>
    <w:rsid w:val="008000EE"/>
    <w:rsid w:val="00800130"/>
    <w:rsid w:val="008012E7"/>
    <w:rsid w:val="008017C0"/>
    <w:rsid w:val="00801901"/>
    <w:rsid w:val="00801D20"/>
    <w:rsid w:val="00802DF8"/>
    <w:rsid w:val="00803BB2"/>
    <w:rsid w:val="00806522"/>
    <w:rsid w:val="00806D18"/>
    <w:rsid w:val="008070E2"/>
    <w:rsid w:val="0080737A"/>
    <w:rsid w:val="008077EA"/>
    <w:rsid w:val="00807B5C"/>
    <w:rsid w:val="008102F0"/>
    <w:rsid w:val="00810344"/>
    <w:rsid w:val="008125C7"/>
    <w:rsid w:val="00813B7E"/>
    <w:rsid w:val="00813F05"/>
    <w:rsid w:val="008144EA"/>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472F"/>
    <w:rsid w:val="00824D2A"/>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B52"/>
    <w:rsid w:val="00853B27"/>
    <w:rsid w:val="008562A0"/>
    <w:rsid w:val="0085660A"/>
    <w:rsid w:val="00856FF7"/>
    <w:rsid w:val="00857424"/>
    <w:rsid w:val="0085775F"/>
    <w:rsid w:val="00857AA3"/>
    <w:rsid w:val="00857D43"/>
    <w:rsid w:val="00861728"/>
    <w:rsid w:val="00862C8B"/>
    <w:rsid w:val="008632C0"/>
    <w:rsid w:val="0086571F"/>
    <w:rsid w:val="0086772C"/>
    <w:rsid w:val="00867D3B"/>
    <w:rsid w:val="00870B22"/>
    <w:rsid w:val="00871CE9"/>
    <w:rsid w:val="00871CFD"/>
    <w:rsid w:val="00872994"/>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673C"/>
    <w:rsid w:val="00926EC6"/>
    <w:rsid w:val="00930579"/>
    <w:rsid w:val="009307BC"/>
    <w:rsid w:val="00930BB1"/>
    <w:rsid w:val="009314C8"/>
    <w:rsid w:val="0093196F"/>
    <w:rsid w:val="00931B79"/>
    <w:rsid w:val="009339EC"/>
    <w:rsid w:val="009340B4"/>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A5"/>
    <w:rsid w:val="00970BDC"/>
    <w:rsid w:val="00970CE1"/>
    <w:rsid w:val="00971727"/>
    <w:rsid w:val="00971980"/>
    <w:rsid w:val="00971DBA"/>
    <w:rsid w:val="00971F5E"/>
    <w:rsid w:val="00973219"/>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AE1"/>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5551"/>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1A36"/>
    <w:rsid w:val="009F1E72"/>
    <w:rsid w:val="009F230A"/>
    <w:rsid w:val="009F4335"/>
    <w:rsid w:val="009F51EF"/>
    <w:rsid w:val="009F5752"/>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105D"/>
    <w:rsid w:val="00A21BE5"/>
    <w:rsid w:val="00A21EEF"/>
    <w:rsid w:val="00A2240D"/>
    <w:rsid w:val="00A22D92"/>
    <w:rsid w:val="00A235BD"/>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BF"/>
    <w:rsid w:val="00A8360E"/>
    <w:rsid w:val="00A84CC1"/>
    <w:rsid w:val="00A903C8"/>
    <w:rsid w:val="00A91B70"/>
    <w:rsid w:val="00A939DE"/>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CBE"/>
    <w:rsid w:val="00AE60C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44CF"/>
    <w:rsid w:val="00B04BA2"/>
    <w:rsid w:val="00B05290"/>
    <w:rsid w:val="00B05D3D"/>
    <w:rsid w:val="00B06B40"/>
    <w:rsid w:val="00B07386"/>
    <w:rsid w:val="00B0757A"/>
    <w:rsid w:val="00B07D3B"/>
    <w:rsid w:val="00B10007"/>
    <w:rsid w:val="00B10832"/>
    <w:rsid w:val="00B1150E"/>
    <w:rsid w:val="00B128D7"/>
    <w:rsid w:val="00B12D6A"/>
    <w:rsid w:val="00B14335"/>
    <w:rsid w:val="00B146ED"/>
    <w:rsid w:val="00B14745"/>
    <w:rsid w:val="00B172B9"/>
    <w:rsid w:val="00B2023A"/>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5415"/>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B03B5"/>
    <w:rsid w:val="00BB073C"/>
    <w:rsid w:val="00BB09C2"/>
    <w:rsid w:val="00BB0C7C"/>
    <w:rsid w:val="00BB0E3E"/>
    <w:rsid w:val="00BB1770"/>
    <w:rsid w:val="00BB1E35"/>
    <w:rsid w:val="00BB27D6"/>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175F"/>
    <w:rsid w:val="00BE2082"/>
    <w:rsid w:val="00BE22E0"/>
    <w:rsid w:val="00BE3F08"/>
    <w:rsid w:val="00BE4217"/>
    <w:rsid w:val="00BE44BA"/>
    <w:rsid w:val="00BE463D"/>
    <w:rsid w:val="00BF00A6"/>
    <w:rsid w:val="00BF0A47"/>
    <w:rsid w:val="00BF117A"/>
    <w:rsid w:val="00BF2589"/>
    <w:rsid w:val="00BF3A02"/>
    <w:rsid w:val="00BF40A8"/>
    <w:rsid w:val="00BF69EA"/>
    <w:rsid w:val="00BF6E06"/>
    <w:rsid w:val="00BF79B4"/>
    <w:rsid w:val="00C00F79"/>
    <w:rsid w:val="00C01104"/>
    <w:rsid w:val="00C021AE"/>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DDB"/>
    <w:rsid w:val="00C26F4A"/>
    <w:rsid w:val="00C27668"/>
    <w:rsid w:val="00C278D5"/>
    <w:rsid w:val="00C27F21"/>
    <w:rsid w:val="00C31031"/>
    <w:rsid w:val="00C332D0"/>
    <w:rsid w:val="00C3463A"/>
    <w:rsid w:val="00C346C4"/>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110"/>
    <w:rsid w:val="00C5297B"/>
    <w:rsid w:val="00C52CCA"/>
    <w:rsid w:val="00C541D2"/>
    <w:rsid w:val="00C54B7B"/>
    <w:rsid w:val="00C551AF"/>
    <w:rsid w:val="00C571F6"/>
    <w:rsid w:val="00C5751B"/>
    <w:rsid w:val="00C6067C"/>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E"/>
    <w:rsid w:val="00CA519A"/>
    <w:rsid w:val="00CA5289"/>
    <w:rsid w:val="00CA5709"/>
    <w:rsid w:val="00CA5F79"/>
    <w:rsid w:val="00CA6A11"/>
    <w:rsid w:val="00CB1732"/>
    <w:rsid w:val="00CB1E40"/>
    <w:rsid w:val="00CB2AC8"/>
    <w:rsid w:val="00CB32F7"/>
    <w:rsid w:val="00CB3579"/>
    <w:rsid w:val="00CB35B3"/>
    <w:rsid w:val="00CB4166"/>
    <w:rsid w:val="00CB44D3"/>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63D5"/>
    <w:rsid w:val="00CC6A47"/>
    <w:rsid w:val="00CC72C8"/>
    <w:rsid w:val="00CC73C0"/>
    <w:rsid w:val="00CD0B68"/>
    <w:rsid w:val="00CD0C1B"/>
    <w:rsid w:val="00CD0EF0"/>
    <w:rsid w:val="00CD3343"/>
    <w:rsid w:val="00CD4D4E"/>
    <w:rsid w:val="00CD6617"/>
    <w:rsid w:val="00CD67F1"/>
    <w:rsid w:val="00CD6A72"/>
    <w:rsid w:val="00CD7394"/>
    <w:rsid w:val="00CE092B"/>
    <w:rsid w:val="00CE1326"/>
    <w:rsid w:val="00CE1BCB"/>
    <w:rsid w:val="00CE25EF"/>
    <w:rsid w:val="00CE2B85"/>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CAE"/>
    <w:rsid w:val="00D200D5"/>
    <w:rsid w:val="00D20309"/>
    <w:rsid w:val="00D205FA"/>
    <w:rsid w:val="00D20783"/>
    <w:rsid w:val="00D20AC1"/>
    <w:rsid w:val="00D21D17"/>
    <w:rsid w:val="00D220DB"/>
    <w:rsid w:val="00D22E7A"/>
    <w:rsid w:val="00D23E91"/>
    <w:rsid w:val="00D24E5F"/>
    <w:rsid w:val="00D260E9"/>
    <w:rsid w:val="00D26419"/>
    <w:rsid w:val="00D273DE"/>
    <w:rsid w:val="00D31226"/>
    <w:rsid w:val="00D3265C"/>
    <w:rsid w:val="00D32F25"/>
    <w:rsid w:val="00D346AF"/>
    <w:rsid w:val="00D34B7F"/>
    <w:rsid w:val="00D34BAC"/>
    <w:rsid w:val="00D35BAA"/>
    <w:rsid w:val="00D37310"/>
    <w:rsid w:val="00D40200"/>
    <w:rsid w:val="00D42322"/>
    <w:rsid w:val="00D42BFA"/>
    <w:rsid w:val="00D42D39"/>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601BB"/>
    <w:rsid w:val="00D60342"/>
    <w:rsid w:val="00D63479"/>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348"/>
    <w:rsid w:val="00DE06AD"/>
    <w:rsid w:val="00DE0857"/>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2C9E"/>
    <w:rsid w:val="00DF49A6"/>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797A"/>
    <w:rsid w:val="00E30460"/>
    <w:rsid w:val="00E31D9B"/>
    <w:rsid w:val="00E31E1A"/>
    <w:rsid w:val="00E3348A"/>
    <w:rsid w:val="00E33CB9"/>
    <w:rsid w:val="00E343BD"/>
    <w:rsid w:val="00E34E00"/>
    <w:rsid w:val="00E34FF5"/>
    <w:rsid w:val="00E35A26"/>
    <w:rsid w:val="00E35EE3"/>
    <w:rsid w:val="00E36815"/>
    <w:rsid w:val="00E36B2F"/>
    <w:rsid w:val="00E3760A"/>
    <w:rsid w:val="00E377D8"/>
    <w:rsid w:val="00E408DB"/>
    <w:rsid w:val="00E423DD"/>
    <w:rsid w:val="00E43707"/>
    <w:rsid w:val="00E44342"/>
    <w:rsid w:val="00E4441F"/>
    <w:rsid w:val="00E446FE"/>
    <w:rsid w:val="00E44EE4"/>
    <w:rsid w:val="00E500C3"/>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567F"/>
    <w:rsid w:val="00E72C3C"/>
    <w:rsid w:val="00E7423A"/>
    <w:rsid w:val="00E742B9"/>
    <w:rsid w:val="00E74A7C"/>
    <w:rsid w:val="00E7535E"/>
    <w:rsid w:val="00E75D08"/>
    <w:rsid w:val="00E75EBB"/>
    <w:rsid w:val="00E7685E"/>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C05"/>
    <w:rsid w:val="00EB65AE"/>
    <w:rsid w:val="00EB668F"/>
    <w:rsid w:val="00EB6D9C"/>
    <w:rsid w:val="00EB6EEC"/>
    <w:rsid w:val="00EB793A"/>
    <w:rsid w:val="00EC2383"/>
    <w:rsid w:val="00EC47CA"/>
    <w:rsid w:val="00EC4B14"/>
    <w:rsid w:val="00EC5024"/>
    <w:rsid w:val="00EC5A7F"/>
    <w:rsid w:val="00EC5BCB"/>
    <w:rsid w:val="00EC7302"/>
    <w:rsid w:val="00ED132C"/>
    <w:rsid w:val="00ED3666"/>
    <w:rsid w:val="00ED446A"/>
    <w:rsid w:val="00ED4A3D"/>
    <w:rsid w:val="00ED4FB1"/>
    <w:rsid w:val="00ED5874"/>
    <w:rsid w:val="00ED5C02"/>
    <w:rsid w:val="00ED67BD"/>
    <w:rsid w:val="00ED7C1C"/>
    <w:rsid w:val="00ED7DFA"/>
    <w:rsid w:val="00EE012B"/>
    <w:rsid w:val="00EE1502"/>
    <w:rsid w:val="00EE249C"/>
    <w:rsid w:val="00EE38E7"/>
    <w:rsid w:val="00EE6981"/>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F6A"/>
    <w:rsid w:val="00F27241"/>
    <w:rsid w:val="00F302B9"/>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1DAC"/>
    <w:rsid w:val="00F42BC0"/>
    <w:rsid w:val="00F437E7"/>
    <w:rsid w:val="00F45965"/>
    <w:rsid w:val="00F46054"/>
    <w:rsid w:val="00F50F32"/>
    <w:rsid w:val="00F5174E"/>
    <w:rsid w:val="00F5187D"/>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212E"/>
    <w:rsid w:val="00F83703"/>
    <w:rsid w:val="00F8374B"/>
    <w:rsid w:val="00F83AA4"/>
    <w:rsid w:val="00F83DDB"/>
    <w:rsid w:val="00F83FA7"/>
    <w:rsid w:val="00F84965"/>
    <w:rsid w:val="00F85976"/>
    <w:rsid w:val="00F86CE6"/>
    <w:rsid w:val="00F86F42"/>
    <w:rsid w:val="00F876A0"/>
    <w:rsid w:val="00F90515"/>
    <w:rsid w:val="00F92025"/>
    <w:rsid w:val="00F925F8"/>
    <w:rsid w:val="00F937D3"/>
    <w:rsid w:val="00F94113"/>
    <w:rsid w:val="00F9451B"/>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502D"/>
    <w:rsid w:val="00FC5AA5"/>
    <w:rsid w:val="00FC689A"/>
    <w:rsid w:val="00FC6995"/>
    <w:rsid w:val="00FC7FB4"/>
    <w:rsid w:val="00FD0195"/>
    <w:rsid w:val="00FD0AAD"/>
    <w:rsid w:val="00FD0E9C"/>
    <w:rsid w:val="00FD2521"/>
    <w:rsid w:val="00FD33DB"/>
    <w:rsid w:val="00FD5200"/>
    <w:rsid w:val="00FD52B3"/>
    <w:rsid w:val="00FD5C90"/>
    <w:rsid w:val="00FD6525"/>
    <w:rsid w:val="00FD6677"/>
    <w:rsid w:val="00FD77B8"/>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184F"/>
    <w:rsid w:val="00FF274E"/>
    <w:rsid w:val="00FF357A"/>
    <w:rsid w:val="00FF37B3"/>
    <w:rsid w:val="00FF4BEE"/>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4526FE"/>
  <w15:chartTrackingRefBased/>
  <w15:docId w15:val="{A3533A5C-B5EA-4392-97D7-A6A3E905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2.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ECD6A-29F4-4A45-9D9F-89F01DD6D6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A1A7A6-D1A3-4319-A5B6-450F20A67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2020-02-14T13:46:00Z</dcterms:created>
  <dcterms:modified xsi:type="dcterms:W3CDTF">2020-02-14T13:46:00Z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