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B38BD" w14:textId="4DDF81A2" w:rsidR="00601C93" w:rsidRPr="00601C93" w:rsidRDefault="00601C93" w:rsidP="00601C93">
      <w:pPr>
        <w:tabs>
          <w:tab w:val="right" w:pos="9639"/>
        </w:tabs>
        <w:spacing w:after="0"/>
        <w:rPr>
          <w:rFonts w:ascii="Arial" w:eastAsia="Times New Roman" w:hAnsi="Arial"/>
          <w:b/>
          <w:i/>
          <w:noProof/>
          <w:sz w:val="28"/>
        </w:rPr>
      </w:pPr>
      <w:bookmarkStart w:id="0" w:name="_Toc523749794"/>
      <w:bookmarkStart w:id="1" w:name="_Toc523750859"/>
      <w:r w:rsidRPr="00601C93">
        <w:rPr>
          <w:rFonts w:ascii="Arial" w:eastAsia="Times New Roman" w:hAnsi="Arial"/>
          <w:b/>
          <w:noProof/>
          <w:sz w:val="24"/>
        </w:rPr>
        <w:t>3GPP TSG-</w:t>
      </w:r>
      <w:r w:rsidRPr="00601C93">
        <w:rPr>
          <w:rFonts w:ascii="Arial" w:eastAsia="Times New Roman" w:hAnsi="Arial"/>
        </w:rPr>
        <w:fldChar w:fldCharType="begin"/>
      </w:r>
      <w:r w:rsidRPr="00601C93">
        <w:rPr>
          <w:rFonts w:ascii="Arial" w:eastAsia="Times New Roman" w:hAnsi="Arial"/>
        </w:rPr>
        <w:instrText xml:space="preserve"> DOCPROPERTY  TSG/WGRef  \* MERGEFORMAT </w:instrText>
      </w:r>
      <w:r w:rsidRPr="00601C93">
        <w:rPr>
          <w:rFonts w:ascii="Arial" w:eastAsia="Times New Roman" w:hAnsi="Arial"/>
        </w:rPr>
        <w:fldChar w:fldCharType="separate"/>
      </w:r>
      <w:r w:rsidRPr="00601C93">
        <w:rPr>
          <w:rFonts w:ascii="Arial" w:eastAsia="Times New Roman" w:hAnsi="Arial"/>
          <w:b/>
          <w:noProof/>
          <w:sz w:val="24"/>
        </w:rPr>
        <w:t>RAN4</w:t>
      </w:r>
      <w:r w:rsidRPr="00601C93">
        <w:rPr>
          <w:rFonts w:ascii="Arial" w:eastAsia="Times New Roman" w:hAnsi="Arial"/>
          <w:b/>
          <w:noProof/>
          <w:sz w:val="24"/>
        </w:rPr>
        <w:fldChar w:fldCharType="end"/>
      </w:r>
      <w:r w:rsidRPr="00601C93">
        <w:rPr>
          <w:rFonts w:ascii="Arial" w:eastAsia="Times New Roman" w:hAnsi="Arial"/>
          <w:b/>
          <w:noProof/>
          <w:sz w:val="24"/>
        </w:rPr>
        <w:t xml:space="preserve"> Meeting #</w:t>
      </w:r>
      <w:r w:rsidRPr="00601C93">
        <w:rPr>
          <w:rFonts w:ascii="Arial" w:eastAsia="Times New Roman" w:hAnsi="Arial"/>
        </w:rPr>
        <w:fldChar w:fldCharType="begin"/>
      </w:r>
      <w:r w:rsidRPr="00601C93">
        <w:rPr>
          <w:rFonts w:ascii="Arial" w:eastAsia="Times New Roman" w:hAnsi="Arial"/>
        </w:rPr>
        <w:instrText xml:space="preserve"> DOCPROPERTY  MtgSeq  \* MERGEFORMAT </w:instrText>
      </w:r>
      <w:r w:rsidRPr="00601C93">
        <w:rPr>
          <w:rFonts w:ascii="Arial" w:eastAsia="Times New Roman" w:hAnsi="Arial"/>
        </w:rPr>
        <w:fldChar w:fldCharType="separate"/>
      </w:r>
      <w:r w:rsidRPr="00601C93">
        <w:rPr>
          <w:rFonts w:ascii="Arial" w:eastAsia="Times New Roman" w:hAnsi="Arial"/>
          <w:b/>
          <w:noProof/>
          <w:sz w:val="24"/>
        </w:rPr>
        <w:t>94</w:t>
      </w:r>
      <w:r w:rsidRPr="00601C93">
        <w:rPr>
          <w:rFonts w:ascii="Arial" w:eastAsia="Times New Roman" w:hAnsi="Arial"/>
          <w:b/>
          <w:noProof/>
          <w:sz w:val="24"/>
        </w:rPr>
        <w:fldChar w:fldCharType="end"/>
      </w:r>
      <w:r w:rsidRPr="00601C93">
        <w:rPr>
          <w:rFonts w:ascii="Arial" w:eastAsia="Times New Roman" w:hAnsi="Arial"/>
        </w:rPr>
        <w:fldChar w:fldCharType="begin"/>
      </w:r>
      <w:r w:rsidRPr="00601C93">
        <w:rPr>
          <w:rFonts w:ascii="Arial" w:eastAsia="Times New Roman" w:hAnsi="Arial"/>
        </w:rPr>
        <w:instrText xml:space="preserve"> DOCPROPERTY  MtgTitle  \* MERGEFORMAT </w:instrText>
      </w:r>
      <w:r w:rsidRPr="00601C93">
        <w:rPr>
          <w:rFonts w:ascii="Arial" w:eastAsia="Times New Roman" w:hAnsi="Arial"/>
        </w:rPr>
        <w:fldChar w:fldCharType="separate"/>
      </w:r>
      <w:r w:rsidRPr="00601C93">
        <w:rPr>
          <w:rFonts w:ascii="Arial" w:eastAsia="Times New Roman" w:hAnsi="Arial"/>
          <w:b/>
          <w:noProof/>
          <w:sz w:val="24"/>
        </w:rPr>
        <w:t>-e</w:t>
      </w:r>
      <w:r w:rsidRPr="00601C93">
        <w:rPr>
          <w:rFonts w:ascii="Arial" w:eastAsia="Times New Roman" w:hAnsi="Arial"/>
          <w:b/>
          <w:noProof/>
          <w:sz w:val="24"/>
        </w:rPr>
        <w:fldChar w:fldCharType="end"/>
      </w:r>
      <w:r w:rsidRPr="00601C93">
        <w:rPr>
          <w:rFonts w:ascii="Arial" w:eastAsia="Times New Roman" w:hAnsi="Arial"/>
          <w:b/>
          <w:i/>
          <w:noProof/>
          <w:sz w:val="28"/>
        </w:rPr>
        <w:tab/>
      </w:r>
      <w:r w:rsidRPr="00601C93">
        <w:rPr>
          <w:rFonts w:ascii="Arial" w:eastAsia="Times New Roman" w:hAnsi="Arial"/>
        </w:rPr>
        <w:fldChar w:fldCharType="begin"/>
      </w:r>
      <w:r w:rsidRPr="00601C93">
        <w:rPr>
          <w:rFonts w:ascii="Arial" w:eastAsia="Times New Roman" w:hAnsi="Arial"/>
        </w:rPr>
        <w:instrText xml:space="preserve"> DOCPROPERTY  Tdoc#  \* MERGEFORMAT </w:instrText>
      </w:r>
      <w:r w:rsidRPr="00601C93">
        <w:rPr>
          <w:rFonts w:ascii="Arial" w:eastAsia="Times New Roman" w:hAnsi="Arial"/>
        </w:rPr>
        <w:fldChar w:fldCharType="separate"/>
      </w:r>
      <w:r w:rsidRPr="00601C93">
        <w:rPr>
          <w:rFonts w:ascii="Arial" w:eastAsia="Times New Roman" w:hAnsi="Arial"/>
          <w:b/>
          <w:i/>
          <w:noProof/>
          <w:sz w:val="28"/>
        </w:rPr>
        <w:t>R4-200042</w:t>
      </w:r>
      <w:r w:rsidR="00924D02">
        <w:rPr>
          <w:rFonts w:ascii="Arial" w:eastAsia="Times New Roman" w:hAnsi="Arial"/>
          <w:b/>
          <w:i/>
          <w:noProof/>
          <w:sz w:val="28"/>
        </w:rPr>
        <w:t>5</w:t>
      </w:r>
      <w:r w:rsidRPr="00601C93">
        <w:rPr>
          <w:rFonts w:ascii="Arial" w:eastAsia="Times New Roman" w:hAnsi="Arial"/>
          <w:b/>
          <w:i/>
          <w:noProof/>
          <w:sz w:val="28"/>
        </w:rPr>
        <w:fldChar w:fldCharType="end"/>
      </w:r>
    </w:p>
    <w:p w14:paraId="72FC7F7A" w14:textId="77777777" w:rsidR="00601C93" w:rsidRPr="00601C93" w:rsidRDefault="00601C93" w:rsidP="00601C93">
      <w:pPr>
        <w:spacing w:after="120"/>
        <w:outlineLvl w:val="0"/>
        <w:rPr>
          <w:rFonts w:ascii="Arial" w:eastAsia="Times New Roman" w:hAnsi="Arial"/>
          <w:b/>
          <w:noProof/>
          <w:sz w:val="24"/>
        </w:rPr>
      </w:pPr>
      <w:r w:rsidRPr="00601C93">
        <w:rPr>
          <w:rFonts w:ascii="Arial" w:eastAsia="Times New Roman" w:hAnsi="Arial"/>
        </w:rPr>
        <w:fldChar w:fldCharType="begin"/>
      </w:r>
      <w:r w:rsidRPr="00601C93">
        <w:rPr>
          <w:rFonts w:ascii="Arial" w:eastAsia="Times New Roman" w:hAnsi="Arial"/>
        </w:rPr>
        <w:instrText xml:space="preserve"> DOCPROPERTY  Location  \* MERGEFORMAT </w:instrText>
      </w:r>
      <w:r w:rsidRPr="00601C93">
        <w:rPr>
          <w:rFonts w:ascii="Arial" w:eastAsia="Times New Roman" w:hAnsi="Arial"/>
        </w:rPr>
        <w:fldChar w:fldCharType="separate"/>
      </w:r>
      <w:r w:rsidRPr="00601C93">
        <w:rPr>
          <w:rFonts w:ascii="Arial" w:eastAsia="Times New Roman" w:hAnsi="Arial"/>
          <w:b/>
          <w:noProof/>
          <w:sz w:val="24"/>
        </w:rPr>
        <w:t>Online</w:t>
      </w:r>
      <w:r w:rsidRPr="00601C93">
        <w:rPr>
          <w:rFonts w:ascii="Arial" w:eastAsia="Times New Roman" w:hAnsi="Arial"/>
          <w:b/>
          <w:noProof/>
          <w:sz w:val="24"/>
        </w:rPr>
        <w:fldChar w:fldCharType="end"/>
      </w:r>
      <w:r w:rsidRPr="00601C93">
        <w:rPr>
          <w:rFonts w:ascii="Arial" w:eastAsia="Times New Roman" w:hAnsi="Arial"/>
          <w:b/>
          <w:noProof/>
          <w:sz w:val="24"/>
        </w:rPr>
        <w:t xml:space="preserve">, </w:t>
      </w:r>
      <w:r w:rsidRPr="00601C93">
        <w:rPr>
          <w:rFonts w:ascii="Arial" w:eastAsia="Times New Roman" w:hAnsi="Arial"/>
        </w:rPr>
        <w:fldChar w:fldCharType="begin"/>
      </w:r>
      <w:r w:rsidRPr="00601C93">
        <w:rPr>
          <w:rFonts w:ascii="Arial" w:eastAsia="Times New Roman" w:hAnsi="Arial"/>
        </w:rPr>
        <w:instrText xml:space="preserve"> DOCPROPERTY  Country  \* MERGEFORMAT </w:instrText>
      </w:r>
      <w:r w:rsidRPr="00601C93">
        <w:rPr>
          <w:rFonts w:ascii="Arial" w:eastAsia="Times New Roman" w:hAnsi="Arial"/>
        </w:rPr>
        <w:fldChar w:fldCharType="end"/>
      </w:r>
      <w:r w:rsidRPr="00601C93">
        <w:rPr>
          <w:rFonts w:ascii="Arial" w:eastAsia="Times New Roman" w:hAnsi="Arial"/>
          <w:b/>
          <w:noProof/>
          <w:sz w:val="24"/>
        </w:rPr>
        <w:t xml:space="preserve">, </w:t>
      </w:r>
      <w:r w:rsidRPr="00601C93">
        <w:rPr>
          <w:rFonts w:ascii="Arial" w:eastAsia="Times New Roman" w:hAnsi="Arial"/>
        </w:rPr>
        <w:fldChar w:fldCharType="begin"/>
      </w:r>
      <w:r w:rsidRPr="00601C93">
        <w:rPr>
          <w:rFonts w:ascii="Arial" w:eastAsia="Times New Roman" w:hAnsi="Arial"/>
        </w:rPr>
        <w:instrText xml:space="preserve"> DOCPROPERTY  StartDate  \* MERGEFORMAT </w:instrText>
      </w:r>
      <w:r w:rsidRPr="00601C93">
        <w:rPr>
          <w:rFonts w:ascii="Arial" w:eastAsia="Times New Roman" w:hAnsi="Arial"/>
        </w:rPr>
        <w:fldChar w:fldCharType="separate"/>
      </w:r>
      <w:r w:rsidRPr="00601C93">
        <w:rPr>
          <w:rFonts w:ascii="Arial" w:eastAsia="Times New Roman" w:hAnsi="Arial"/>
          <w:b/>
          <w:noProof/>
          <w:sz w:val="24"/>
        </w:rPr>
        <w:t>24th Feb 2020</w:t>
      </w:r>
      <w:r w:rsidRPr="00601C93">
        <w:rPr>
          <w:rFonts w:ascii="Arial" w:eastAsia="Times New Roman" w:hAnsi="Arial"/>
          <w:b/>
          <w:noProof/>
          <w:sz w:val="24"/>
        </w:rPr>
        <w:fldChar w:fldCharType="end"/>
      </w:r>
      <w:r w:rsidRPr="00601C93">
        <w:rPr>
          <w:rFonts w:ascii="Arial" w:eastAsia="Times New Roman" w:hAnsi="Arial"/>
          <w:b/>
          <w:noProof/>
          <w:sz w:val="24"/>
        </w:rPr>
        <w:t xml:space="preserve"> - </w:t>
      </w:r>
      <w:r w:rsidRPr="00601C93">
        <w:rPr>
          <w:rFonts w:ascii="Arial" w:eastAsia="Times New Roman" w:hAnsi="Arial"/>
        </w:rPr>
        <w:fldChar w:fldCharType="begin"/>
      </w:r>
      <w:r w:rsidRPr="00601C93">
        <w:rPr>
          <w:rFonts w:ascii="Arial" w:eastAsia="Times New Roman" w:hAnsi="Arial"/>
        </w:rPr>
        <w:instrText xml:space="preserve"> DOCPROPERTY  EndDate  \* MERGEFORMAT </w:instrText>
      </w:r>
      <w:r w:rsidRPr="00601C93">
        <w:rPr>
          <w:rFonts w:ascii="Arial" w:eastAsia="Times New Roman" w:hAnsi="Arial"/>
        </w:rPr>
        <w:fldChar w:fldCharType="separate"/>
      </w:r>
      <w:r w:rsidRPr="00601C93">
        <w:rPr>
          <w:rFonts w:ascii="Arial" w:eastAsia="Times New Roman" w:hAnsi="Arial"/>
          <w:b/>
          <w:noProof/>
          <w:sz w:val="24"/>
        </w:rPr>
        <w:t>6th Mar 2020</w:t>
      </w:r>
      <w:r w:rsidRPr="00601C93">
        <w:rPr>
          <w:rFonts w:ascii="Arial" w:eastAsia="Times New Roman" w:hAnsi="Arial"/>
          <w:b/>
          <w:noProof/>
          <w:sz w:val="24"/>
        </w:rPr>
        <w:fldChar w:fldCharType="end"/>
      </w:r>
    </w:p>
    <w:p w14:paraId="29CB10D1" w14:textId="77777777" w:rsidR="000E7959" w:rsidRPr="00541B4F" w:rsidRDefault="000E7959" w:rsidP="000E7959">
      <w:pPr>
        <w:tabs>
          <w:tab w:val="left" w:pos="2820"/>
        </w:tabs>
        <w:spacing w:after="120"/>
        <w:ind w:left="1985" w:hanging="1985"/>
        <w:rPr>
          <w:rFonts w:ascii="Arial" w:eastAsia="MS Mincho" w:hAnsi="Arial" w:cs="Arial"/>
          <w:b/>
          <w:lang w:val="en-US"/>
        </w:rPr>
      </w:pPr>
      <w:r w:rsidRPr="00541B4F">
        <w:rPr>
          <w:rFonts w:ascii="Arial" w:eastAsia="MS Mincho" w:hAnsi="Arial" w:cs="Arial"/>
          <w:b/>
          <w:lang w:val="en-US"/>
        </w:rPr>
        <w:tab/>
      </w:r>
      <w:r w:rsidRPr="00541B4F">
        <w:rPr>
          <w:rFonts w:ascii="Arial" w:eastAsia="MS Mincho" w:hAnsi="Arial" w:cs="Arial"/>
          <w:b/>
          <w:lang w:val="en-US"/>
        </w:rPr>
        <w:tab/>
      </w:r>
    </w:p>
    <w:p w14:paraId="6E50E865" w14:textId="4783E0AB" w:rsidR="000E7959" w:rsidRPr="00541B4F"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Source:</w:t>
      </w:r>
      <w:r w:rsidRPr="00541B4F">
        <w:rPr>
          <w:rFonts w:ascii="Arial" w:eastAsia="MS Mincho" w:hAnsi="Arial" w:cs="Arial"/>
          <w:b/>
          <w:lang w:val="en-US"/>
        </w:rPr>
        <w:tab/>
      </w:r>
      <w:r>
        <w:rPr>
          <w:rFonts w:ascii="Arial" w:eastAsia="MS Mincho" w:hAnsi="Arial" w:cs="Arial"/>
          <w:bCs/>
          <w:lang w:val="en-US" w:eastAsia="ja-JP"/>
        </w:rPr>
        <w:t>Sprint</w:t>
      </w:r>
    </w:p>
    <w:p w14:paraId="30F0514F" w14:textId="7882C566" w:rsidR="000E7959" w:rsidRPr="00AA03EF" w:rsidRDefault="000E7959" w:rsidP="000E7959">
      <w:pPr>
        <w:spacing w:after="120"/>
        <w:ind w:left="1985" w:hanging="1985"/>
        <w:rPr>
          <w:rFonts w:ascii="Arial" w:eastAsia="MS Mincho" w:hAnsi="Arial" w:cs="Arial"/>
          <w:lang w:val="en-US" w:eastAsia="ja-JP"/>
        </w:rPr>
      </w:pPr>
      <w:r w:rsidRPr="00541B4F">
        <w:rPr>
          <w:rFonts w:ascii="Arial" w:eastAsia="MS Mincho" w:hAnsi="Arial" w:cs="Arial"/>
          <w:b/>
          <w:lang w:val="en-US"/>
        </w:rPr>
        <w:t>Title:</w:t>
      </w:r>
      <w:r w:rsidRPr="00541B4F">
        <w:rPr>
          <w:rFonts w:ascii="Arial" w:eastAsia="MS Mincho" w:hAnsi="Arial" w:cs="Arial"/>
          <w:b/>
          <w:lang w:val="en-US"/>
        </w:rPr>
        <w:tab/>
      </w:r>
      <w:r w:rsidR="00924D02" w:rsidRPr="00924D02">
        <w:rPr>
          <w:rFonts w:ascii="Arial" w:eastAsia="MS Mincho" w:hAnsi="Arial" w:cs="Arial"/>
          <w:lang w:val="en-US"/>
        </w:rPr>
        <w:t>Applying the PC2 A-MPR requirements to PC1.5</w:t>
      </w:r>
    </w:p>
    <w:p w14:paraId="0E6C0112" w14:textId="41C6FD11" w:rsidR="000E7959" w:rsidRPr="00541B4F" w:rsidRDefault="000E7959" w:rsidP="000E7959">
      <w:pPr>
        <w:spacing w:after="120"/>
        <w:ind w:left="1985" w:hanging="1985"/>
        <w:rPr>
          <w:rFonts w:ascii="Arial" w:eastAsia="MS Mincho" w:hAnsi="Arial" w:cs="Arial"/>
          <w:bCs/>
          <w:lang w:val="pt-BR" w:eastAsia="ja-JP"/>
        </w:rPr>
      </w:pPr>
      <w:r w:rsidRPr="00541B4F">
        <w:rPr>
          <w:rFonts w:ascii="Arial" w:eastAsia="MS Mincho" w:hAnsi="Arial" w:cs="Arial"/>
          <w:b/>
          <w:lang w:val="pt-BR"/>
        </w:rPr>
        <w:t>Agenda item:</w:t>
      </w:r>
      <w:r w:rsidRPr="00541B4F">
        <w:rPr>
          <w:rFonts w:ascii="Arial" w:eastAsia="MS Mincho" w:hAnsi="Arial" w:cs="Arial"/>
          <w:b/>
          <w:lang w:val="pt-BR"/>
        </w:rPr>
        <w:tab/>
      </w:r>
      <w:r w:rsidR="00847A53" w:rsidRPr="00847A53">
        <w:rPr>
          <w:rFonts w:ascii="Arial" w:eastAsia="MS Mincho" w:hAnsi="Arial" w:cs="Arial"/>
          <w:lang w:val="pt-BR"/>
        </w:rPr>
        <w:t>9.14.2</w:t>
      </w:r>
    </w:p>
    <w:p w14:paraId="6071B9F2" w14:textId="05E74502" w:rsidR="000E7959"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Document for:</w:t>
      </w:r>
      <w:r w:rsidRPr="00541B4F">
        <w:rPr>
          <w:rFonts w:ascii="Arial" w:eastAsia="MS Mincho" w:hAnsi="Arial" w:cs="Arial"/>
          <w:b/>
          <w:lang w:val="en-US"/>
        </w:rPr>
        <w:tab/>
      </w:r>
      <w:r w:rsidRPr="00541B4F">
        <w:rPr>
          <w:rFonts w:ascii="Arial" w:eastAsia="MS Mincho" w:hAnsi="Arial" w:cs="Arial" w:hint="eastAsia"/>
          <w:bCs/>
          <w:lang w:val="en-US" w:eastAsia="ja-JP"/>
        </w:rPr>
        <w:t>Approval</w:t>
      </w:r>
    </w:p>
    <w:p w14:paraId="144F09DD" w14:textId="373A163D" w:rsidR="00B758A7" w:rsidRDefault="00B758A7" w:rsidP="000E7959">
      <w:pPr>
        <w:spacing w:after="120"/>
        <w:ind w:left="1985" w:hanging="1985"/>
        <w:rPr>
          <w:rFonts w:ascii="Arial" w:eastAsia="MS Mincho" w:hAnsi="Arial" w:cs="Arial"/>
          <w:bCs/>
          <w:lang w:val="en-US" w:eastAsia="ja-JP"/>
        </w:rPr>
      </w:pPr>
    </w:p>
    <w:p w14:paraId="0908547B"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rPr>
      </w:pPr>
      <w:r w:rsidRPr="00B758A7">
        <w:rPr>
          <w:rFonts w:ascii="Arial" w:eastAsia="Times New Roman" w:hAnsi="Arial"/>
          <w:sz w:val="36"/>
        </w:rPr>
        <w:t>1</w:t>
      </w:r>
      <w:r w:rsidRPr="00B758A7">
        <w:rPr>
          <w:rFonts w:ascii="Arial" w:eastAsia="Times New Roman" w:hAnsi="Arial"/>
          <w:sz w:val="36"/>
        </w:rPr>
        <w:tab/>
        <w:t>Introduction</w:t>
      </w:r>
    </w:p>
    <w:p w14:paraId="255F1548" w14:textId="5333734E" w:rsidR="00240A67" w:rsidRDefault="00924D02" w:rsidP="00A927E5">
      <w:pPr>
        <w:rPr>
          <w:rFonts w:eastAsia="Times New Roman"/>
          <w:lang w:val="en-US"/>
        </w:rPr>
      </w:pPr>
      <w:r>
        <w:rPr>
          <w:rFonts w:eastAsia="Times New Roman"/>
          <w:lang w:val="en-US"/>
        </w:rPr>
        <w:t xml:space="preserve">Several companies have been working under the assumption that PC2 EN-DC A-MPR for intra-band EN-DC would be re-used for </w:t>
      </w:r>
      <w:r w:rsidR="00594A34">
        <w:rPr>
          <w:rFonts w:eastAsia="Times New Roman"/>
          <w:lang w:val="en-US"/>
        </w:rPr>
        <w:t xml:space="preserve">Power Class 1.5 (29 dBm) EN-DC. The issue was raised in offline </w:t>
      </w:r>
      <w:r w:rsidR="00531DC9">
        <w:rPr>
          <w:rFonts w:eastAsia="Times New Roman"/>
          <w:lang w:val="en-US"/>
        </w:rPr>
        <w:t xml:space="preserve">e-mail </w:t>
      </w:r>
      <w:r w:rsidR="00594A34">
        <w:rPr>
          <w:rFonts w:eastAsia="Times New Roman"/>
          <w:lang w:val="en-US"/>
        </w:rPr>
        <w:t xml:space="preserve">discussions that </w:t>
      </w:r>
      <w:r w:rsidR="00CB7B98">
        <w:rPr>
          <w:rFonts w:eastAsia="Times New Roman"/>
          <w:lang w:val="en-US"/>
        </w:rPr>
        <w:t xml:space="preserve">at least one company believes that different requirements </w:t>
      </w:r>
      <w:r w:rsidR="001F0395">
        <w:rPr>
          <w:rFonts w:eastAsia="Times New Roman"/>
          <w:lang w:val="en-US"/>
        </w:rPr>
        <w:t>may</w:t>
      </w:r>
      <w:r w:rsidR="00CB7B98">
        <w:rPr>
          <w:rFonts w:eastAsia="Times New Roman"/>
          <w:lang w:val="en-US"/>
        </w:rPr>
        <w:t xml:space="preserve"> be needed for PC 1.5 intra-band EN-DC A-MPR. This document discusses the situation and proposes a way forward. </w:t>
      </w:r>
    </w:p>
    <w:p w14:paraId="7D724AC5" w14:textId="4E9C0D39"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2</w:t>
      </w:r>
      <w:r w:rsidRPr="00B758A7">
        <w:rPr>
          <w:rFonts w:ascii="Arial" w:eastAsia="Times New Roman" w:hAnsi="Arial"/>
          <w:sz w:val="36"/>
          <w:lang w:val="en-US"/>
        </w:rPr>
        <w:tab/>
        <w:t>Discussion</w:t>
      </w:r>
    </w:p>
    <w:p w14:paraId="2FCD6234" w14:textId="0F425C6F" w:rsidR="00257F8D" w:rsidRDefault="00257F8D" w:rsidP="00257F8D">
      <w:pPr>
        <w:rPr>
          <w:rFonts w:eastAsia="Times New Roman"/>
          <w:lang w:val="en-US"/>
        </w:rPr>
      </w:pPr>
      <w:bookmarkStart w:id="2" w:name="_Hlk20400780"/>
      <w:bookmarkStart w:id="3" w:name="_Hlk22239522"/>
      <w:r>
        <w:rPr>
          <w:rFonts w:eastAsia="Times New Roman"/>
          <w:lang w:val="en-US"/>
        </w:rPr>
        <w:t>From 38.101-3, 6.2B.3.1.2.1</w:t>
      </w:r>
      <w:r w:rsidR="00414693">
        <w:rPr>
          <w:rFonts w:eastAsia="Times New Roman"/>
          <w:lang w:val="en-US"/>
        </w:rPr>
        <w:t xml:space="preserve"> and </w:t>
      </w:r>
      <w:r w:rsidR="00414693" w:rsidRPr="00414693">
        <w:rPr>
          <w:rFonts w:eastAsia="Times New Roman"/>
          <w:lang w:val="en-US"/>
        </w:rPr>
        <w:t>6.2B.3.1.2.2</w:t>
      </w:r>
      <w:r>
        <w:rPr>
          <w:rFonts w:eastAsia="Times New Roman"/>
          <w:lang w:val="en-US"/>
        </w:rPr>
        <w:t>:</w:t>
      </w:r>
    </w:p>
    <w:p w14:paraId="753D4253" w14:textId="77777777" w:rsidR="00257F8D" w:rsidRPr="00C2235F" w:rsidRDefault="00257F8D" w:rsidP="00257F8D">
      <w:pPr>
        <w:keepNext/>
        <w:keepLines/>
        <w:spacing w:before="120"/>
        <w:ind w:left="1985" w:hanging="1985"/>
        <w:rPr>
          <w:rFonts w:ascii="Arial" w:hAnsi="Arial"/>
          <w:color w:val="4472C4" w:themeColor="accent1"/>
        </w:rPr>
      </w:pPr>
      <w:r w:rsidRPr="00C2235F">
        <w:rPr>
          <w:rFonts w:ascii="Arial" w:hAnsi="Arial"/>
          <w:color w:val="4472C4" w:themeColor="accent1"/>
        </w:rPr>
        <w:t>6.2B.3.1.2.1</w:t>
      </w:r>
      <w:r w:rsidRPr="00C2235F">
        <w:rPr>
          <w:rFonts w:ascii="Arial" w:hAnsi="Arial"/>
          <w:color w:val="4472C4" w:themeColor="accent1"/>
        </w:rPr>
        <w:tab/>
        <w:t>A-MPR</w:t>
      </w:r>
      <w:r w:rsidRPr="00C2235F">
        <w:rPr>
          <w:rFonts w:ascii="Arial" w:hAnsi="Arial"/>
          <w:color w:val="4472C4" w:themeColor="accent1"/>
          <w:vertAlign w:val="subscript"/>
        </w:rPr>
        <w:t>IM3</w:t>
      </w:r>
      <w:r w:rsidRPr="00C2235F">
        <w:rPr>
          <w:rFonts w:ascii="Arial" w:hAnsi="Arial"/>
          <w:color w:val="4472C4" w:themeColor="accent1"/>
        </w:rPr>
        <w:t xml:space="preserve"> for NS_04 to meet -13 dBm / 1MHz for 26dBm UE power</w:t>
      </w:r>
    </w:p>
    <w:p w14:paraId="4A265766" w14:textId="77777777" w:rsidR="00257F8D" w:rsidRPr="00A32C19" w:rsidRDefault="00257F8D" w:rsidP="00257F8D">
      <w:pPr>
        <w:rPr>
          <w:color w:val="4472C4" w:themeColor="accent1"/>
        </w:rPr>
      </w:pPr>
      <w:r w:rsidRPr="00A32C19">
        <w:rPr>
          <w:color w:val="4472C4" w:themeColor="accent1"/>
        </w:rPr>
        <w:t>A-MPR in this clause is relative to 26 dBm for a power class 2 Cell Group. The same A-MPR is used relative to 23 dBm for a power class 3 Cell Group.</w:t>
      </w:r>
    </w:p>
    <w:p w14:paraId="6C5943DF" w14:textId="23708C91" w:rsidR="00D83DD6" w:rsidRPr="00AE7DFF" w:rsidRDefault="003B52AB" w:rsidP="00257F8D">
      <w:pPr>
        <w:rPr>
          <w:b/>
          <w:bCs/>
        </w:rPr>
      </w:pPr>
      <w:r w:rsidRPr="00AE7DFF">
        <w:rPr>
          <w:rFonts w:eastAsia="Times New Roman"/>
          <w:b/>
          <w:bCs/>
          <w:lang w:val="en-US"/>
        </w:rPr>
        <w:t>Observation 1:</w:t>
      </w:r>
      <w:r w:rsidR="00335066" w:rsidRPr="00AE7DFF">
        <w:rPr>
          <w:rFonts w:eastAsia="Times New Roman"/>
          <w:b/>
          <w:bCs/>
          <w:lang w:val="en-US"/>
        </w:rPr>
        <w:t xml:space="preserve"> </w:t>
      </w:r>
      <w:r w:rsidR="00C2235F" w:rsidRPr="00AE7DFF">
        <w:rPr>
          <w:rFonts w:eastAsia="Times New Roman"/>
          <w:b/>
          <w:bCs/>
          <w:lang w:val="en-US"/>
        </w:rPr>
        <w:t xml:space="preserve">A-MPR </w:t>
      </w:r>
      <w:r w:rsidR="00647D42" w:rsidRPr="00AE7DFF">
        <w:rPr>
          <w:rFonts w:eastAsia="Times New Roman"/>
          <w:b/>
          <w:bCs/>
          <w:lang w:val="en-US"/>
        </w:rPr>
        <w:t xml:space="preserve">for intra-band EN-DC </w:t>
      </w:r>
      <w:r w:rsidR="00C2235F" w:rsidRPr="00AE7DFF">
        <w:rPr>
          <w:rFonts w:eastAsia="Times New Roman"/>
          <w:b/>
          <w:bCs/>
          <w:lang w:val="en-US"/>
        </w:rPr>
        <w:t xml:space="preserve">is defined </w:t>
      </w:r>
      <w:r w:rsidR="00647D42" w:rsidRPr="00AE7DFF">
        <w:rPr>
          <w:rFonts w:eastAsia="Times New Roman"/>
          <w:b/>
          <w:bCs/>
          <w:lang w:val="en-US"/>
        </w:rPr>
        <w:t xml:space="preserve">relative to 26 dBm </w:t>
      </w:r>
      <w:r w:rsidR="002D01AE" w:rsidRPr="00AE7DFF">
        <w:rPr>
          <w:rFonts w:eastAsia="Times New Roman"/>
          <w:b/>
          <w:bCs/>
          <w:lang w:val="en-US"/>
        </w:rPr>
        <w:t xml:space="preserve">for a power class 2 cell group, and relative to 23 dBm for a power class 3 cell group. </w:t>
      </w:r>
    </w:p>
    <w:p w14:paraId="4DE78422" w14:textId="3A40421D" w:rsidR="003E061D" w:rsidRDefault="003E061D" w:rsidP="00CB7B98">
      <w:r>
        <w:t xml:space="preserve">Since the PC1.5 EN-DC architecture is </w:t>
      </w:r>
      <w:r w:rsidR="006541B9">
        <w:t xml:space="preserve">for two 26 dBm PAs, that means </w:t>
      </w:r>
      <w:r>
        <w:t>one LT</w:t>
      </w:r>
      <w:r w:rsidR="00BB1D98">
        <w:t>E power class 2 cell group and one NR power class 2 cell group</w:t>
      </w:r>
      <w:r w:rsidR="006541B9">
        <w:t xml:space="preserve">. Therefore, </w:t>
      </w:r>
      <w:r w:rsidR="00BB1D98">
        <w:t xml:space="preserve">the intra-band EN-DC </w:t>
      </w:r>
      <w:r w:rsidR="00E62D96">
        <w:t xml:space="preserve">A-MPR per cell group </w:t>
      </w:r>
      <w:r w:rsidR="006541B9">
        <w:t xml:space="preserve">for PC 1.5 </w:t>
      </w:r>
      <w:r w:rsidR="00E62D96">
        <w:t>is already defined</w:t>
      </w:r>
      <w:r w:rsidR="006541B9">
        <w:t xml:space="preserve"> in 38.101-3</w:t>
      </w:r>
      <w:r w:rsidR="00E62D96">
        <w:t xml:space="preserve">. </w:t>
      </w:r>
    </w:p>
    <w:p w14:paraId="7DCB4388" w14:textId="7BC2B485" w:rsidR="0036706E" w:rsidRPr="00AE7DFF" w:rsidRDefault="0036706E" w:rsidP="00CB7B98">
      <w:pPr>
        <w:rPr>
          <w:b/>
          <w:bCs/>
        </w:rPr>
      </w:pPr>
      <w:r w:rsidRPr="00AE7DFF">
        <w:rPr>
          <w:b/>
          <w:bCs/>
        </w:rPr>
        <w:t xml:space="preserve">Observation 2: </w:t>
      </w:r>
      <w:r w:rsidR="006541B9" w:rsidRPr="00AE7DFF">
        <w:rPr>
          <w:b/>
          <w:bCs/>
        </w:rPr>
        <w:t>T</w:t>
      </w:r>
      <w:r w:rsidR="006541B9" w:rsidRPr="00AE7DFF">
        <w:rPr>
          <w:b/>
          <w:bCs/>
        </w:rPr>
        <w:t>he intra-band EN-DC A-MPR per cell group for PC 1.5 is already defined in 38.101-3.</w:t>
      </w:r>
    </w:p>
    <w:p w14:paraId="79880C8C" w14:textId="735356A5" w:rsidR="00693FBE" w:rsidRDefault="00550DA1" w:rsidP="00CB7B98">
      <w:pPr>
        <w:rPr>
          <w:rFonts w:eastAsia="Times New Roman"/>
          <w:lang w:val="en-US"/>
        </w:rPr>
      </w:pPr>
      <w:r>
        <w:rPr>
          <w:rFonts w:eastAsia="Times New Roman"/>
          <w:lang w:val="en-US"/>
        </w:rPr>
        <w:t>Rel-15 EN-DC m</w:t>
      </w:r>
      <w:r w:rsidR="002F1ED2">
        <w:rPr>
          <w:rFonts w:eastAsia="Times New Roman"/>
          <w:lang w:val="en-US"/>
        </w:rPr>
        <w:t xml:space="preserve">easurements </w:t>
      </w:r>
      <w:r>
        <w:rPr>
          <w:rFonts w:eastAsia="Times New Roman"/>
          <w:lang w:val="en-US"/>
        </w:rPr>
        <w:t>were</w:t>
      </w:r>
      <w:r w:rsidR="002F1ED2">
        <w:rPr>
          <w:rFonts w:eastAsia="Times New Roman"/>
          <w:lang w:val="en-US"/>
        </w:rPr>
        <w:t xml:space="preserve"> made with two </w:t>
      </w:r>
      <w:r w:rsidR="002503CF">
        <w:rPr>
          <w:rFonts w:eastAsia="Times New Roman"/>
          <w:lang w:val="en-US"/>
        </w:rPr>
        <w:t xml:space="preserve">26 dBm PAs to see how much </w:t>
      </w:r>
      <w:r w:rsidR="00A601B0">
        <w:rPr>
          <w:rFonts w:eastAsia="Times New Roman"/>
          <w:lang w:val="en-US"/>
        </w:rPr>
        <w:t>back</w:t>
      </w:r>
      <w:r w:rsidR="00D820C7">
        <w:rPr>
          <w:rFonts w:eastAsia="Times New Roman"/>
          <w:lang w:val="en-US"/>
        </w:rPr>
        <w:t>-</w:t>
      </w:r>
      <w:r w:rsidR="00A601B0">
        <w:rPr>
          <w:rFonts w:eastAsia="Times New Roman"/>
          <w:lang w:val="en-US"/>
        </w:rPr>
        <w:t>off relative to 26 dBm is required on each RAT</w:t>
      </w:r>
      <w:r w:rsidR="00895D4B">
        <w:rPr>
          <w:rFonts w:eastAsia="Times New Roman"/>
          <w:lang w:val="en-US"/>
        </w:rPr>
        <w:t xml:space="preserve"> </w:t>
      </w:r>
      <w:r w:rsidR="00450081">
        <w:rPr>
          <w:rFonts w:eastAsia="Times New Roman"/>
          <w:lang w:val="en-US"/>
        </w:rPr>
        <w:t xml:space="preserve">for intra-band PC2 A-MPR. </w:t>
      </w:r>
      <w:r w:rsidR="00A601B0">
        <w:rPr>
          <w:rFonts w:eastAsia="Times New Roman"/>
          <w:lang w:val="en-US"/>
        </w:rPr>
        <w:t xml:space="preserve"> </w:t>
      </w:r>
      <w:r w:rsidR="0079219E">
        <w:rPr>
          <w:rFonts w:eastAsia="Times New Roman"/>
          <w:lang w:val="en-US"/>
        </w:rPr>
        <w:t>If X dB of back</w:t>
      </w:r>
      <w:r w:rsidR="00285C0C">
        <w:rPr>
          <w:rFonts w:eastAsia="Times New Roman"/>
          <w:lang w:val="en-US"/>
        </w:rPr>
        <w:t>-</w:t>
      </w:r>
      <w:r w:rsidR="0079219E">
        <w:rPr>
          <w:rFonts w:eastAsia="Times New Roman"/>
          <w:lang w:val="en-US"/>
        </w:rPr>
        <w:t xml:space="preserve">off on each PA relative to 26 dBm will </w:t>
      </w:r>
      <w:r w:rsidR="002B1484">
        <w:rPr>
          <w:rFonts w:eastAsia="Times New Roman"/>
          <w:lang w:val="en-US"/>
        </w:rPr>
        <w:t>allow emissions to be met</w:t>
      </w:r>
      <w:r w:rsidR="001555BE">
        <w:rPr>
          <w:rFonts w:eastAsia="Times New Roman"/>
          <w:lang w:val="en-US"/>
        </w:rPr>
        <w:t xml:space="preserve"> for PC</w:t>
      </w:r>
      <w:r w:rsidR="006D5E47">
        <w:rPr>
          <w:rFonts w:eastAsia="Times New Roman"/>
          <w:lang w:val="en-US"/>
        </w:rPr>
        <w:t>2 intra-band EN-DC</w:t>
      </w:r>
      <w:r w:rsidR="001555BE">
        <w:rPr>
          <w:rFonts w:eastAsia="Times New Roman"/>
          <w:lang w:val="en-US"/>
        </w:rPr>
        <w:t xml:space="preserve">, X dB relative to 26 dBm on each PA will allow PC 1.5 to meet the emissions requirements. </w:t>
      </w:r>
      <w:r w:rsidR="00465C45">
        <w:rPr>
          <w:rFonts w:eastAsia="Times New Roman"/>
          <w:lang w:val="en-US"/>
        </w:rPr>
        <w:t xml:space="preserve"> </w:t>
      </w:r>
    </w:p>
    <w:p w14:paraId="5E5C5FA8" w14:textId="1792BC6D" w:rsidR="002F046D" w:rsidRPr="00AE7DFF" w:rsidRDefault="002F046D" w:rsidP="002F046D">
      <w:pPr>
        <w:rPr>
          <w:b/>
          <w:bCs/>
        </w:rPr>
      </w:pPr>
      <w:r w:rsidRPr="00AE7DFF">
        <w:rPr>
          <w:b/>
          <w:bCs/>
        </w:rPr>
        <w:t xml:space="preserve">Observation </w:t>
      </w:r>
      <w:r>
        <w:rPr>
          <w:b/>
          <w:bCs/>
        </w:rPr>
        <w:t>3</w:t>
      </w:r>
      <w:r w:rsidRPr="00AE7DFF">
        <w:rPr>
          <w:b/>
          <w:bCs/>
        </w:rPr>
        <w:t xml:space="preserve">: </w:t>
      </w:r>
      <w:r w:rsidR="005C6266">
        <w:rPr>
          <w:b/>
          <w:bCs/>
        </w:rPr>
        <w:t>Power Class 2</w:t>
      </w:r>
      <w:r w:rsidRPr="00AE7DFF">
        <w:rPr>
          <w:b/>
          <w:bCs/>
        </w:rPr>
        <w:t xml:space="preserve"> intra-band EN-DC A-MPR </w:t>
      </w:r>
      <w:r w:rsidR="005C6266">
        <w:rPr>
          <w:b/>
          <w:bCs/>
        </w:rPr>
        <w:t xml:space="preserve">defined per PA (cell group) </w:t>
      </w:r>
      <w:r w:rsidR="009C3311">
        <w:rPr>
          <w:b/>
          <w:bCs/>
        </w:rPr>
        <w:t>will also allow emissions requir</w:t>
      </w:r>
      <w:r w:rsidR="00285C0C">
        <w:rPr>
          <w:b/>
          <w:bCs/>
        </w:rPr>
        <w:t>e</w:t>
      </w:r>
      <w:r w:rsidR="009C3311">
        <w:rPr>
          <w:b/>
          <w:bCs/>
        </w:rPr>
        <w:t xml:space="preserve">ments to be met for </w:t>
      </w:r>
      <w:r w:rsidR="009C3311">
        <w:rPr>
          <w:b/>
          <w:bCs/>
        </w:rPr>
        <w:t xml:space="preserve">Power Class </w:t>
      </w:r>
      <w:r w:rsidR="009C3311">
        <w:rPr>
          <w:b/>
          <w:bCs/>
        </w:rPr>
        <w:t>1.5</w:t>
      </w:r>
      <w:r w:rsidR="009C3311" w:rsidRPr="00AE7DFF">
        <w:rPr>
          <w:b/>
          <w:bCs/>
        </w:rPr>
        <w:t xml:space="preserve"> intra-band EN-DC</w:t>
      </w:r>
      <w:r w:rsidR="009C3311">
        <w:rPr>
          <w:b/>
          <w:bCs/>
        </w:rPr>
        <w:t>.</w:t>
      </w:r>
    </w:p>
    <w:p w14:paraId="3E340AB3" w14:textId="198CCA50" w:rsidR="00707AFF" w:rsidRDefault="001A274B" w:rsidP="00CB7B98">
      <w:pPr>
        <w:rPr>
          <w:rFonts w:eastAsia="Times New Roman"/>
          <w:lang w:val="en-US"/>
        </w:rPr>
      </w:pPr>
      <w:r>
        <w:rPr>
          <w:rFonts w:eastAsia="Times New Roman"/>
          <w:lang w:val="en-US"/>
        </w:rPr>
        <w:t xml:space="preserve">In </w:t>
      </w:r>
      <w:r w:rsidR="009C3311">
        <w:rPr>
          <w:rFonts w:eastAsia="Times New Roman"/>
          <w:lang w:val="en-US"/>
        </w:rPr>
        <w:t xml:space="preserve">the current </w:t>
      </w:r>
      <w:r>
        <w:rPr>
          <w:rFonts w:eastAsia="Times New Roman"/>
          <w:lang w:val="en-US"/>
        </w:rPr>
        <w:t xml:space="preserve">Rel-15 </w:t>
      </w:r>
      <w:r w:rsidR="00B554D6">
        <w:rPr>
          <w:rFonts w:eastAsia="Times New Roman"/>
          <w:lang w:val="en-US"/>
        </w:rPr>
        <w:t xml:space="preserve">B41/n41 intra-band EN-DC </w:t>
      </w:r>
      <w:r w:rsidR="009C3311">
        <w:rPr>
          <w:rFonts w:eastAsia="Times New Roman"/>
          <w:lang w:val="en-US"/>
        </w:rPr>
        <w:t>A-MPR definition</w:t>
      </w:r>
      <w:r w:rsidR="00B554D6">
        <w:rPr>
          <w:rFonts w:eastAsia="Times New Roman"/>
          <w:lang w:val="en-US"/>
        </w:rPr>
        <w:t>s in 38.101-3</w:t>
      </w:r>
      <w:r>
        <w:rPr>
          <w:rFonts w:eastAsia="Times New Roman"/>
          <w:lang w:val="en-US"/>
        </w:rPr>
        <w:t>, a</w:t>
      </w:r>
      <w:r w:rsidR="00465C45">
        <w:rPr>
          <w:rFonts w:eastAsia="Times New Roman"/>
          <w:lang w:val="en-US"/>
        </w:rPr>
        <w:t xml:space="preserve">ll IM3 </w:t>
      </w:r>
      <w:r w:rsidR="006A7E88">
        <w:rPr>
          <w:rFonts w:eastAsia="Times New Roman"/>
          <w:lang w:val="en-US"/>
        </w:rPr>
        <w:t xml:space="preserve">(-13, -25, -30) </w:t>
      </w:r>
      <w:r w:rsidR="00550DA1">
        <w:rPr>
          <w:rFonts w:eastAsia="Times New Roman"/>
          <w:lang w:val="en-US"/>
        </w:rPr>
        <w:t>MPR/A-</w:t>
      </w:r>
      <w:r w:rsidR="00465C45">
        <w:rPr>
          <w:rFonts w:eastAsia="Times New Roman"/>
          <w:lang w:val="en-US"/>
        </w:rPr>
        <w:t xml:space="preserve">MPRs are at least </w:t>
      </w:r>
      <w:r w:rsidR="006A7E88">
        <w:rPr>
          <w:rFonts w:eastAsia="Times New Roman"/>
          <w:lang w:val="en-US"/>
        </w:rPr>
        <w:t xml:space="preserve">5 dB, so always less than 26 dBm. </w:t>
      </w:r>
      <w:r>
        <w:rPr>
          <w:rFonts w:eastAsia="Times New Roman"/>
          <w:lang w:val="en-US"/>
        </w:rPr>
        <w:t xml:space="preserve">A </w:t>
      </w:r>
      <w:r w:rsidR="006A7E88">
        <w:rPr>
          <w:rFonts w:eastAsia="Times New Roman"/>
          <w:lang w:val="en-US"/>
        </w:rPr>
        <w:t xml:space="preserve">PC1.5 </w:t>
      </w:r>
      <w:r>
        <w:rPr>
          <w:rFonts w:eastAsia="Times New Roman"/>
          <w:lang w:val="en-US"/>
        </w:rPr>
        <w:t xml:space="preserve">UE </w:t>
      </w:r>
      <w:r w:rsidR="006A7E88">
        <w:rPr>
          <w:rFonts w:eastAsia="Times New Roman"/>
          <w:lang w:val="en-US"/>
        </w:rPr>
        <w:t>could transmit higher power</w:t>
      </w:r>
      <w:r w:rsidR="00707AFF">
        <w:rPr>
          <w:rFonts w:eastAsia="Times New Roman"/>
          <w:lang w:val="en-US"/>
        </w:rPr>
        <w:t xml:space="preserve"> than 26 dBm</w:t>
      </w:r>
      <w:r w:rsidR="006A7E88">
        <w:rPr>
          <w:rFonts w:eastAsia="Times New Roman"/>
          <w:lang w:val="en-US"/>
        </w:rPr>
        <w:t xml:space="preserve">, but </w:t>
      </w:r>
      <w:r w:rsidR="00707AFF">
        <w:rPr>
          <w:rFonts w:eastAsia="Times New Roman"/>
          <w:lang w:val="en-US"/>
        </w:rPr>
        <w:t>the A-MPR allows it to</w:t>
      </w:r>
      <w:r w:rsidR="006A7E88">
        <w:rPr>
          <w:rFonts w:eastAsia="Times New Roman"/>
          <w:lang w:val="en-US"/>
        </w:rPr>
        <w:t xml:space="preserve"> fall back</w:t>
      </w:r>
      <w:r w:rsidR="007118DF">
        <w:rPr>
          <w:rFonts w:eastAsia="Times New Roman"/>
          <w:lang w:val="en-US"/>
        </w:rPr>
        <w:t xml:space="preserve"> below 26 dBm total when IM3s are probl</w:t>
      </w:r>
      <w:r w:rsidR="005E684A">
        <w:rPr>
          <w:rFonts w:eastAsia="Times New Roman"/>
          <w:lang w:val="en-US"/>
        </w:rPr>
        <w:t>emati</w:t>
      </w:r>
      <w:r w:rsidR="00707AFF">
        <w:rPr>
          <w:rFonts w:eastAsia="Times New Roman"/>
          <w:lang w:val="en-US"/>
        </w:rPr>
        <w:t>c.</w:t>
      </w:r>
    </w:p>
    <w:p w14:paraId="2337D517" w14:textId="236BE000" w:rsidR="00707AFF" w:rsidRPr="000D3BE5" w:rsidRDefault="00707AFF" w:rsidP="00CB7B98">
      <w:pPr>
        <w:rPr>
          <w:rFonts w:eastAsia="Times New Roman"/>
          <w:b/>
          <w:bCs/>
          <w:lang w:val="en-US"/>
        </w:rPr>
      </w:pPr>
      <w:r w:rsidRPr="000D3BE5">
        <w:rPr>
          <w:rFonts w:eastAsia="Times New Roman"/>
          <w:b/>
          <w:bCs/>
          <w:lang w:val="en-US"/>
        </w:rPr>
        <w:t xml:space="preserve">Observation 4: </w:t>
      </w:r>
      <w:r w:rsidR="00A139F7" w:rsidRPr="000D3BE5">
        <w:rPr>
          <w:rFonts w:eastAsia="Times New Roman"/>
          <w:b/>
          <w:bCs/>
          <w:lang w:val="en-US"/>
        </w:rPr>
        <w:t xml:space="preserve">For allocations where </w:t>
      </w:r>
      <w:r w:rsidR="00FA0DA1" w:rsidRPr="000D3BE5">
        <w:rPr>
          <w:rFonts w:eastAsia="Times New Roman"/>
          <w:b/>
          <w:bCs/>
          <w:lang w:val="en-US"/>
        </w:rPr>
        <w:t xml:space="preserve">A-MPR is driven by IM3s, the </w:t>
      </w:r>
      <w:r w:rsidR="00526E70" w:rsidRPr="000D3BE5">
        <w:rPr>
          <w:rFonts w:eastAsia="Times New Roman"/>
          <w:b/>
          <w:bCs/>
          <w:lang w:val="en-US"/>
        </w:rPr>
        <w:t>minimum A-MPR is 5 dB, so a PC 1.5 UE taking the maximum allowable A-MPR would</w:t>
      </w:r>
      <w:r w:rsidR="00A139F7" w:rsidRPr="000D3BE5">
        <w:rPr>
          <w:rFonts w:eastAsia="Times New Roman"/>
          <w:b/>
          <w:bCs/>
          <w:lang w:val="en-US"/>
        </w:rPr>
        <w:t xml:space="preserve"> be transmitting well below 26 dBm. </w:t>
      </w:r>
      <w:r w:rsidR="00526E70" w:rsidRPr="000D3BE5">
        <w:rPr>
          <w:rFonts w:eastAsia="Times New Roman"/>
          <w:b/>
          <w:bCs/>
          <w:lang w:val="en-US"/>
        </w:rPr>
        <w:t xml:space="preserve"> </w:t>
      </w:r>
    </w:p>
    <w:p w14:paraId="4C45E6DF" w14:textId="3C3B2AD0" w:rsidR="0027465E" w:rsidRDefault="0027465E" w:rsidP="0027465E">
      <w:pPr>
        <w:rPr>
          <w:rFonts w:eastAsia="Times New Roman"/>
          <w:lang w:val="en-US"/>
        </w:rPr>
      </w:pPr>
      <w:r>
        <w:rPr>
          <w:rFonts w:eastAsia="Times New Roman"/>
          <w:lang w:val="en-US"/>
        </w:rPr>
        <w:t xml:space="preserve">When there are no </w:t>
      </w:r>
      <w:r>
        <w:rPr>
          <w:rFonts w:eastAsia="Times New Roman"/>
          <w:lang w:val="en-US"/>
        </w:rPr>
        <w:t xml:space="preserve">problematic </w:t>
      </w:r>
      <w:r>
        <w:rPr>
          <w:rFonts w:eastAsia="Times New Roman"/>
          <w:lang w:val="en-US"/>
        </w:rPr>
        <w:t>IM</w:t>
      </w:r>
      <w:r>
        <w:rPr>
          <w:rFonts w:eastAsia="Times New Roman"/>
          <w:lang w:val="en-US"/>
        </w:rPr>
        <w:t>Ds</w:t>
      </w:r>
      <w:r>
        <w:rPr>
          <w:rFonts w:eastAsia="Times New Roman"/>
          <w:lang w:val="en-US"/>
        </w:rPr>
        <w:t xml:space="preserve">, then </w:t>
      </w:r>
      <w:r w:rsidR="00A96986">
        <w:rPr>
          <w:rFonts w:eastAsia="Times New Roman"/>
          <w:lang w:val="en-US"/>
        </w:rPr>
        <w:t>A</w:t>
      </w:r>
      <w:r>
        <w:rPr>
          <w:rFonts w:eastAsia="Times New Roman"/>
          <w:lang w:val="en-US"/>
        </w:rPr>
        <w:t>-MPR</w:t>
      </w:r>
      <w:r w:rsidR="00A96986">
        <w:rPr>
          <w:rFonts w:eastAsia="Times New Roman"/>
          <w:vertAlign w:val="subscript"/>
          <w:lang w:val="en-US"/>
        </w:rPr>
        <w:t>single</w:t>
      </w:r>
      <w:r>
        <w:rPr>
          <w:rFonts w:eastAsia="Times New Roman"/>
          <w:lang w:val="en-US"/>
        </w:rPr>
        <w:t xml:space="preserve"> </w:t>
      </w:r>
      <w:r w:rsidR="005338D0">
        <w:rPr>
          <w:rFonts w:eastAsia="Times New Roman"/>
          <w:lang w:val="en-US"/>
        </w:rPr>
        <w:t>becomes dominant</w:t>
      </w:r>
      <w:r>
        <w:rPr>
          <w:rFonts w:eastAsia="Times New Roman"/>
          <w:lang w:val="en-US"/>
        </w:rPr>
        <w:t xml:space="preserve">. But </w:t>
      </w:r>
      <w:r w:rsidR="005338D0">
        <w:rPr>
          <w:rFonts w:eastAsia="Times New Roman"/>
          <w:lang w:val="en-US"/>
        </w:rPr>
        <w:t xml:space="preserve">since </w:t>
      </w:r>
      <w:r>
        <w:rPr>
          <w:rFonts w:eastAsia="Times New Roman"/>
          <w:lang w:val="en-US"/>
        </w:rPr>
        <w:t>the single A-MPR</w:t>
      </w:r>
      <w:r w:rsidR="00A96986">
        <w:rPr>
          <w:rFonts w:eastAsia="Times New Roman"/>
          <w:vertAlign w:val="subscript"/>
          <w:lang w:val="en-US"/>
        </w:rPr>
        <w:t>single</w:t>
      </w:r>
      <w:r>
        <w:rPr>
          <w:rFonts w:eastAsia="Times New Roman"/>
          <w:lang w:val="en-US"/>
        </w:rPr>
        <w:t xml:space="preserve"> is based on 26 dBm for each RAT, </w:t>
      </w:r>
      <w:r w:rsidR="008551CE">
        <w:rPr>
          <w:rFonts w:eastAsia="Times New Roman"/>
          <w:lang w:val="en-US"/>
        </w:rPr>
        <w:t>t</w:t>
      </w:r>
      <w:bookmarkStart w:id="4" w:name="_GoBack"/>
      <w:bookmarkEnd w:id="4"/>
      <w:r w:rsidR="00A96986">
        <w:rPr>
          <w:rFonts w:eastAsia="Times New Roman"/>
          <w:lang w:val="en-US"/>
        </w:rPr>
        <w:t xml:space="preserve">he </w:t>
      </w:r>
      <w:r w:rsidR="005C61A8">
        <w:rPr>
          <w:rFonts w:eastAsia="Times New Roman"/>
          <w:lang w:val="en-US"/>
        </w:rPr>
        <w:t xml:space="preserve">single RAT </w:t>
      </w:r>
      <w:r w:rsidR="005338D0">
        <w:rPr>
          <w:rFonts w:eastAsia="Times New Roman"/>
          <w:lang w:val="en-US"/>
        </w:rPr>
        <w:t>emissions can be met for each of the cell group</w:t>
      </w:r>
      <w:r w:rsidR="005C61A8">
        <w:rPr>
          <w:rFonts w:eastAsia="Times New Roman"/>
          <w:lang w:val="en-US"/>
        </w:rPr>
        <w:t xml:space="preserve"> for PC 1.5.</w:t>
      </w:r>
    </w:p>
    <w:p w14:paraId="7E8E7E10" w14:textId="1F585CDC" w:rsidR="005338D0" w:rsidRPr="005C61A8" w:rsidRDefault="005338D0" w:rsidP="0027465E">
      <w:pPr>
        <w:rPr>
          <w:rFonts w:eastAsia="Times New Roman"/>
          <w:b/>
          <w:bCs/>
          <w:lang w:val="en-US"/>
        </w:rPr>
      </w:pPr>
      <w:r w:rsidRPr="005C61A8">
        <w:rPr>
          <w:rFonts w:eastAsia="Times New Roman"/>
          <w:b/>
          <w:bCs/>
          <w:lang w:val="en-US"/>
        </w:rPr>
        <w:t xml:space="preserve">Observation 5: When IMDs are not problematic, </w:t>
      </w:r>
      <w:r w:rsidR="00426D41" w:rsidRPr="005C61A8">
        <w:rPr>
          <w:rFonts w:eastAsia="Times New Roman"/>
          <w:b/>
          <w:bCs/>
          <w:lang w:val="en-US"/>
        </w:rPr>
        <w:t xml:space="preserve">single </w:t>
      </w:r>
      <w:r w:rsidR="005C61A8" w:rsidRPr="005C61A8">
        <w:rPr>
          <w:rFonts w:eastAsia="Times New Roman"/>
          <w:b/>
          <w:bCs/>
          <w:lang w:val="en-US"/>
        </w:rPr>
        <w:t>A-MPR</w:t>
      </w:r>
      <w:r w:rsidR="005C61A8" w:rsidRPr="005C61A8">
        <w:rPr>
          <w:rFonts w:eastAsia="Times New Roman"/>
          <w:b/>
          <w:bCs/>
          <w:vertAlign w:val="subscript"/>
          <w:lang w:val="en-US"/>
        </w:rPr>
        <w:t>single</w:t>
      </w:r>
      <w:r w:rsidR="005C61A8" w:rsidRPr="005C61A8">
        <w:rPr>
          <w:rFonts w:eastAsia="Times New Roman"/>
          <w:b/>
          <w:bCs/>
          <w:lang w:val="en-US"/>
        </w:rPr>
        <w:t xml:space="preserve"> </w:t>
      </w:r>
      <w:r w:rsidR="00426D41" w:rsidRPr="005C61A8">
        <w:rPr>
          <w:rFonts w:eastAsia="Times New Roman"/>
          <w:b/>
          <w:bCs/>
          <w:lang w:val="en-US"/>
        </w:rPr>
        <w:t xml:space="preserve">dominates, and emissions can be met with </w:t>
      </w:r>
      <w:r w:rsidR="005C61A8" w:rsidRPr="005C61A8">
        <w:rPr>
          <w:rFonts w:eastAsia="Times New Roman"/>
          <w:b/>
          <w:bCs/>
          <w:lang w:val="en-US"/>
        </w:rPr>
        <w:t>A-MPR</w:t>
      </w:r>
      <w:r w:rsidR="005C61A8" w:rsidRPr="005C61A8">
        <w:rPr>
          <w:rFonts w:eastAsia="Times New Roman"/>
          <w:b/>
          <w:bCs/>
          <w:vertAlign w:val="subscript"/>
          <w:lang w:val="en-US"/>
        </w:rPr>
        <w:t>single</w:t>
      </w:r>
      <w:r w:rsidR="005C61A8" w:rsidRPr="005C61A8">
        <w:rPr>
          <w:rFonts w:eastAsia="Times New Roman"/>
          <w:b/>
          <w:bCs/>
          <w:lang w:val="en-US"/>
        </w:rPr>
        <w:t xml:space="preserve"> for each of the RATs. </w:t>
      </w:r>
    </w:p>
    <w:p w14:paraId="583F6CF1" w14:textId="1A871976" w:rsidR="007B76A8" w:rsidRPr="000B3058" w:rsidRDefault="009A2C82" w:rsidP="007B76A8">
      <w:pPr>
        <w:pStyle w:val="TAC"/>
        <w:jc w:val="left"/>
        <w:rPr>
          <w:rFonts w:eastAsia="Yu Mincho"/>
          <w:lang w:val="sv-FI"/>
        </w:rPr>
      </w:pPr>
      <w:r>
        <w:rPr>
          <w:rFonts w:eastAsia="Times New Roman"/>
          <w:lang w:val="en-US"/>
        </w:rPr>
        <w:lastRenderedPageBreak/>
        <w:t>ACLR</w:t>
      </w:r>
      <w:r w:rsidR="00F16DC4" w:rsidRPr="00A44B51">
        <w:rPr>
          <w:rFonts w:eastAsia="Times New Roman"/>
          <w:vertAlign w:val="subscript"/>
          <w:lang w:val="en-US"/>
        </w:rPr>
        <w:t>overlap</w:t>
      </w:r>
      <w:r w:rsidR="00F16DC4">
        <w:rPr>
          <w:rFonts w:eastAsia="Times New Roman"/>
          <w:lang w:val="en-US"/>
        </w:rPr>
        <w:t xml:space="preserve"> could </w:t>
      </w:r>
      <w:r w:rsidR="00FA6EB6">
        <w:rPr>
          <w:rFonts w:eastAsia="Times New Roman"/>
          <w:lang w:val="en-US"/>
        </w:rPr>
        <w:t xml:space="preserve">potentially </w:t>
      </w:r>
      <w:r w:rsidR="00F16DC4">
        <w:rPr>
          <w:rFonts w:eastAsia="Times New Roman"/>
          <w:lang w:val="en-US"/>
        </w:rPr>
        <w:t>be an issue when total power is greater than 26 dBm</w:t>
      </w:r>
      <w:r w:rsidR="003763DF">
        <w:rPr>
          <w:rFonts w:eastAsia="Times New Roman"/>
          <w:lang w:val="en-US"/>
        </w:rPr>
        <w:t xml:space="preserve">. However, </w:t>
      </w:r>
      <w:r w:rsidR="00F16DC4">
        <w:rPr>
          <w:rFonts w:eastAsia="Times New Roman"/>
          <w:lang w:val="en-US"/>
        </w:rPr>
        <w:t xml:space="preserve">since </w:t>
      </w:r>
      <w:r w:rsidR="003763DF">
        <w:rPr>
          <w:rFonts w:eastAsia="Times New Roman"/>
          <w:lang w:val="en-US"/>
        </w:rPr>
        <w:t>ACLR</w:t>
      </w:r>
      <w:r w:rsidR="003763DF" w:rsidRPr="00A44B51">
        <w:rPr>
          <w:rFonts w:eastAsia="Times New Roman"/>
          <w:vertAlign w:val="subscript"/>
          <w:lang w:val="en-US"/>
        </w:rPr>
        <w:t>overlap</w:t>
      </w:r>
      <w:r w:rsidR="003763DF">
        <w:rPr>
          <w:rFonts w:eastAsia="Times New Roman"/>
          <w:lang w:val="en-US"/>
        </w:rPr>
        <w:t xml:space="preserve"> </w:t>
      </w:r>
      <w:r w:rsidR="00F16DC4">
        <w:rPr>
          <w:rFonts w:eastAsia="Times New Roman"/>
          <w:lang w:val="en-US"/>
        </w:rPr>
        <w:t xml:space="preserve">is 4 dB for when </w:t>
      </w:r>
      <w:r w:rsidR="007B76A8">
        <w:rPr>
          <w:rFonts w:eastAsia="Times New Roman"/>
          <w:lang w:val="en-US"/>
        </w:rPr>
        <w:t xml:space="preserve"> </w:t>
      </w:r>
      <w:r w:rsidR="000B3058" w:rsidRPr="001F078B">
        <w:rPr>
          <w:lang w:val="en-US"/>
        </w:rPr>
        <w:t>W</w:t>
      </w:r>
      <w:r w:rsidR="000B3058" w:rsidRPr="001F078B">
        <w:rPr>
          <w:vertAlign w:val="subscript"/>
          <w:lang w:val="en-US"/>
        </w:rPr>
        <w:t>gap</w:t>
      </w:r>
      <w:r w:rsidR="007B76A8">
        <w:rPr>
          <w:rFonts w:eastAsia="Times New Roman"/>
          <w:lang w:val="en-US"/>
        </w:rPr>
        <w:t xml:space="preserve"> </w:t>
      </w:r>
      <w:r w:rsidR="007B76A8" w:rsidRPr="00D609C3">
        <w:rPr>
          <w:lang w:val="sv-FI"/>
        </w:rPr>
        <w:t>&lt; BW</w:t>
      </w:r>
      <w:r w:rsidR="007B76A8" w:rsidRPr="00D609C3">
        <w:rPr>
          <w:vertAlign w:val="subscript"/>
          <w:lang w:val="sv-FI"/>
        </w:rPr>
        <w:t>channel,E-UTRA</w:t>
      </w:r>
      <w:r w:rsidR="007B76A8" w:rsidRPr="00D609C3">
        <w:rPr>
          <w:lang w:val="sv-FI"/>
        </w:rPr>
        <w:t xml:space="preserve"> + BW</w:t>
      </w:r>
      <w:r w:rsidR="007B76A8" w:rsidRPr="00D609C3">
        <w:rPr>
          <w:vertAlign w:val="subscript"/>
          <w:lang w:val="sv-FI"/>
        </w:rPr>
        <w:t>channel,NR</w:t>
      </w:r>
      <w:r w:rsidR="003763DF">
        <w:rPr>
          <w:lang w:val="sv-FI"/>
        </w:rPr>
        <w:t xml:space="preserve">, </w:t>
      </w:r>
      <w:r w:rsidR="000B3058">
        <w:rPr>
          <w:lang w:val="sv-FI"/>
        </w:rPr>
        <w:t xml:space="preserve">the 4 dB of A-MPR </w:t>
      </w:r>
      <w:r w:rsidR="00997700">
        <w:rPr>
          <w:lang w:val="sv-FI"/>
        </w:rPr>
        <w:t xml:space="preserve">ensures that the transmitted power can be </w:t>
      </w:r>
      <w:r w:rsidR="00EB44C8">
        <w:rPr>
          <w:lang w:val="sv-FI"/>
        </w:rPr>
        <w:t xml:space="preserve">below </w:t>
      </w:r>
      <w:r w:rsidR="00220750">
        <w:rPr>
          <w:lang w:val="sv-FI"/>
        </w:rPr>
        <w:t>26 dBm</w:t>
      </w:r>
      <w:r w:rsidR="00997700">
        <w:rPr>
          <w:lang w:val="sv-FI"/>
        </w:rPr>
        <w:t xml:space="preserve">, </w:t>
      </w:r>
      <w:r w:rsidR="00220750">
        <w:rPr>
          <w:lang w:val="sv-FI"/>
        </w:rPr>
        <w:t>no existing ACLR overlap provisions provide sufficent A-MPR for when the LTE and NR ACLR regions overlap even for PC 1.5</w:t>
      </w:r>
      <w:r w:rsidR="00997700">
        <w:rPr>
          <w:lang w:val="sv-FI"/>
        </w:rPr>
        <w:t xml:space="preserve">. </w:t>
      </w:r>
    </w:p>
    <w:p w14:paraId="5EDE044C" w14:textId="5BA74D3B" w:rsidR="00F16DC4" w:rsidRPr="00220750" w:rsidRDefault="00220750" w:rsidP="00CB7B98">
      <w:pPr>
        <w:rPr>
          <w:rFonts w:eastAsia="Times New Roman"/>
          <w:b/>
          <w:bCs/>
          <w:lang w:val="en-US"/>
        </w:rPr>
      </w:pPr>
      <w:r w:rsidRPr="00220750">
        <w:rPr>
          <w:rFonts w:eastAsia="Times New Roman"/>
          <w:b/>
          <w:bCs/>
          <w:lang w:val="en-US"/>
        </w:rPr>
        <w:t>Observation 6: E</w:t>
      </w:r>
      <w:r w:rsidRPr="00220750">
        <w:rPr>
          <w:rFonts w:eastAsia="Times New Roman"/>
          <w:b/>
          <w:bCs/>
          <w:lang w:val="en-US"/>
        </w:rPr>
        <w:t xml:space="preserve">xisting </w:t>
      </w:r>
      <w:r>
        <w:rPr>
          <w:rFonts w:eastAsia="Times New Roman"/>
          <w:b/>
          <w:bCs/>
          <w:lang w:val="en-US"/>
        </w:rPr>
        <w:t>A</w:t>
      </w:r>
      <w:r w:rsidRPr="00220750">
        <w:rPr>
          <w:rFonts w:eastAsia="Times New Roman"/>
          <w:b/>
          <w:bCs/>
          <w:lang w:val="en-US"/>
        </w:rPr>
        <w:t>CLR overlap provisions provide suffic</w:t>
      </w:r>
      <w:r>
        <w:rPr>
          <w:rFonts w:eastAsia="Times New Roman"/>
          <w:b/>
          <w:bCs/>
          <w:lang w:val="en-US"/>
        </w:rPr>
        <w:t>i</w:t>
      </w:r>
      <w:r w:rsidRPr="00220750">
        <w:rPr>
          <w:rFonts w:eastAsia="Times New Roman"/>
          <w:b/>
          <w:bCs/>
          <w:lang w:val="en-US"/>
        </w:rPr>
        <w:t>ent A-MPR for when the LTE and NR ACLR regions overlap even for PC 1.5.</w:t>
      </w:r>
      <w:r w:rsidR="001F1F24">
        <w:rPr>
          <w:rFonts w:eastAsia="Times New Roman"/>
          <w:b/>
          <w:bCs/>
          <w:lang w:val="en-US"/>
        </w:rPr>
        <w:t xml:space="preserve"> </w:t>
      </w:r>
    </w:p>
    <w:p w14:paraId="6E2DEFB6" w14:textId="60E3B070" w:rsidR="00F16DC4" w:rsidRDefault="00326988" w:rsidP="00CB7B98">
      <w:pPr>
        <w:rPr>
          <w:rFonts w:eastAsia="Times New Roman"/>
          <w:lang w:val="en-US"/>
        </w:rPr>
      </w:pPr>
      <w:r w:rsidRPr="00D609C3">
        <w:rPr>
          <w:lang w:bidi="bn-IN"/>
        </w:rPr>
        <w:t>P</w:t>
      </w:r>
      <w:r w:rsidRPr="00D609C3">
        <w:rPr>
          <w:vertAlign w:val="subscript"/>
          <w:lang w:bidi="bn-IN"/>
        </w:rPr>
        <w:t>CMAX</w:t>
      </w:r>
      <w:r w:rsidRPr="00D609C3">
        <w:rPr>
          <w:lang w:eastAsia="zh-CN"/>
        </w:rPr>
        <w:t xml:space="preserve"> </w:t>
      </w:r>
      <w:r w:rsidRPr="00D609C3">
        <w:rPr>
          <w:vertAlign w:val="subscript"/>
          <w:lang w:bidi="bn-IN"/>
        </w:rPr>
        <w:t>H</w:t>
      </w:r>
      <w:r>
        <w:rPr>
          <w:rFonts w:eastAsia="Times New Roman"/>
          <w:lang w:val="en-US"/>
        </w:rPr>
        <w:t xml:space="preserve"> </w:t>
      </w:r>
      <w:r w:rsidR="001A4372">
        <w:rPr>
          <w:rFonts w:eastAsia="Times New Roman"/>
          <w:lang w:val="en-US"/>
        </w:rPr>
        <w:t xml:space="preserve">keeps the powerclass from being exceeded, not A-MPR. </w:t>
      </w:r>
      <w:r w:rsidR="0029277B">
        <w:rPr>
          <w:rFonts w:eastAsia="Times New Roman"/>
          <w:lang w:val="en-US"/>
        </w:rPr>
        <w:t xml:space="preserve">If a UE had 0 dB of A-MPR for each cell group for PC2 A-MPR, </w:t>
      </w:r>
      <w:r w:rsidR="00AD5E60">
        <w:rPr>
          <w:rFonts w:eastAsia="Times New Roman"/>
          <w:lang w:val="en-US"/>
        </w:rPr>
        <w:t>instead of being aable to transmit 26 dBm + 26 dBm, a Power Class 2 UE would be limited to 26 dBm or lower</w:t>
      </w:r>
      <w:r w:rsidR="00F323E8">
        <w:rPr>
          <w:rFonts w:eastAsia="Times New Roman"/>
          <w:lang w:val="en-US"/>
        </w:rPr>
        <w:t xml:space="preserve"> </w:t>
      </w:r>
      <w:r w:rsidR="00AD5E60">
        <w:rPr>
          <w:rFonts w:eastAsia="Times New Roman"/>
          <w:lang w:val="en-US"/>
        </w:rPr>
        <w:t xml:space="preserve">by </w:t>
      </w:r>
      <w:r w:rsidR="00F323E8" w:rsidRPr="001F078B">
        <w:rPr>
          <w:lang w:bidi="bn-IN"/>
        </w:rPr>
        <w:t>P</w:t>
      </w:r>
      <w:r w:rsidR="00F323E8" w:rsidRPr="001F078B">
        <w:rPr>
          <w:vertAlign w:val="subscript"/>
          <w:lang w:bidi="bn-IN"/>
        </w:rPr>
        <w:t>CMAX_ EN-DC _H</w:t>
      </w:r>
    </w:p>
    <w:p w14:paraId="5300A951" w14:textId="4AB35739" w:rsidR="001A4372" w:rsidRDefault="00F323E8" w:rsidP="00CB7B98">
      <w:pPr>
        <w:rPr>
          <w:rFonts w:eastAsia="Times New Roman"/>
          <w:lang w:val="en-US"/>
        </w:rPr>
      </w:pPr>
      <w:r w:rsidRPr="001F078B">
        <w:rPr>
          <w:lang w:bidi="bn-IN"/>
        </w:rPr>
        <w:t>P</w:t>
      </w:r>
      <w:r w:rsidRPr="001F078B">
        <w:rPr>
          <w:vertAlign w:val="subscript"/>
          <w:lang w:bidi="bn-IN"/>
        </w:rPr>
        <w:t>CMAX_ EN-DC _H</w:t>
      </w:r>
      <w:r w:rsidRPr="001F078B">
        <w:t>(</w:t>
      </w:r>
      <w:r w:rsidRPr="001F078B">
        <w:rPr>
          <w:i/>
        </w:rPr>
        <w:t>p,q</w:t>
      </w:r>
      <w:r w:rsidRPr="001F078B">
        <w:t>) = MIN {</w:t>
      </w:r>
      <w:r w:rsidRPr="001F078B">
        <w:rPr>
          <w:lang w:bidi="bn-IN"/>
        </w:rPr>
        <w:t>10 log</w:t>
      </w:r>
      <w:r w:rsidRPr="001F078B">
        <w:rPr>
          <w:vertAlign w:val="subscript"/>
          <w:lang w:bidi="bn-IN"/>
        </w:rPr>
        <w:t>10</w:t>
      </w:r>
      <w:r w:rsidRPr="001F078B">
        <w:rPr>
          <w:lang w:bidi="bn-IN"/>
        </w:rPr>
        <w:t xml:space="preserve"> </w:t>
      </w:r>
      <w:r w:rsidRPr="001F078B">
        <w:t>[</w:t>
      </w:r>
      <w:r w:rsidRPr="001F078B">
        <w:rPr>
          <w:lang w:bidi="bn-IN"/>
        </w:rPr>
        <w:t>p</w:t>
      </w:r>
      <w:r w:rsidRPr="001F078B">
        <w:rPr>
          <w:vertAlign w:val="subscript"/>
          <w:lang w:bidi="bn-IN"/>
        </w:rPr>
        <w:t>CMAX</w:t>
      </w:r>
      <w:r w:rsidRPr="001F078B">
        <w:rPr>
          <w:lang w:eastAsia="zh-CN"/>
        </w:rPr>
        <w:t xml:space="preserve"> </w:t>
      </w:r>
      <w:r w:rsidRPr="001F078B">
        <w:rPr>
          <w:vertAlign w:val="subscript"/>
          <w:lang w:bidi="bn-IN"/>
        </w:rPr>
        <w:t>H _</w:t>
      </w:r>
      <w:r w:rsidRPr="001F078B">
        <w:rPr>
          <w:i/>
          <w:vertAlign w:val="subscript"/>
          <w:lang w:bidi="bn-IN"/>
        </w:rPr>
        <w:t xml:space="preserve"> </w:t>
      </w:r>
      <w:r w:rsidRPr="001F078B">
        <w:rPr>
          <w:vertAlign w:val="subscript"/>
          <w:lang w:bidi="bn-IN"/>
        </w:rPr>
        <w:t>E-UTRA,</w:t>
      </w:r>
      <w:r w:rsidRPr="001F078B">
        <w:rPr>
          <w:i/>
          <w:vertAlign w:val="subscript"/>
          <w:lang w:eastAsia="zh-CN" w:bidi="bn-IN"/>
        </w:rPr>
        <w:t xml:space="preserve">c </w:t>
      </w:r>
      <w:r w:rsidRPr="001F078B">
        <w:rPr>
          <w:lang w:bidi="bn-IN"/>
        </w:rPr>
        <w:t>(</w:t>
      </w:r>
      <w:r w:rsidRPr="001F078B">
        <w:rPr>
          <w:i/>
          <w:lang w:bidi="bn-IN"/>
        </w:rPr>
        <w:t>p</w:t>
      </w:r>
      <w:r w:rsidRPr="001F078B">
        <w:rPr>
          <w:lang w:bidi="bn-IN"/>
        </w:rPr>
        <w:t>) + p</w:t>
      </w:r>
      <w:r w:rsidRPr="001F078B">
        <w:rPr>
          <w:vertAlign w:val="subscript"/>
          <w:lang w:bidi="bn-IN"/>
        </w:rPr>
        <w:t>CMAX</w:t>
      </w:r>
      <w:r w:rsidRPr="001F078B">
        <w:rPr>
          <w:lang w:eastAsia="zh-CN"/>
        </w:rPr>
        <w:t xml:space="preserve"> </w:t>
      </w:r>
      <w:r w:rsidRPr="001F078B">
        <w:rPr>
          <w:vertAlign w:val="subscript"/>
          <w:lang w:bidi="bn-IN"/>
        </w:rPr>
        <w:t>H,f,</w:t>
      </w:r>
      <w:r w:rsidRPr="001F078B">
        <w:rPr>
          <w:i/>
          <w:vertAlign w:val="subscript"/>
          <w:lang w:bidi="bn-IN"/>
        </w:rPr>
        <w:t>c</w:t>
      </w:r>
      <w:r w:rsidRPr="001F078B">
        <w:rPr>
          <w:i/>
          <w:vertAlign w:val="subscript"/>
          <w:lang w:eastAsia="zh-CN" w:bidi="bn-IN"/>
        </w:rPr>
        <w:t>,</w:t>
      </w:r>
      <w:r w:rsidRPr="001F078B">
        <w:rPr>
          <w:i/>
          <w:vertAlign w:val="subscript"/>
          <w:lang w:bidi="bn-IN"/>
        </w:rPr>
        <w:t>NR</w:t>
      </w:r>
      <w:r w:rsidRPr="001F078B">
        <w:rPr>
          <w:lang w:eastAsia="zh-CN"/>
        </w:rPr>
        <w:t xml:space="preserve"> </w:t>
      </w:r>
      <w:r w:rsidRPr="001F078B">
        <w:rPr>
          <w:i/>
          <w:vertAlign w:val="subscript"/>
          <w:lang w:eastAsia="zh-CN" w:bidi="bn-IN"/>
        </w:rPr>
        <w:t>c</w:t>
      </w:r>
      <w:r w:rsidRPr="001F078B">
        <w:rPr>
          <w:lang w:bidi="bn-IN"/>
        </w:rPr>
        <w:t>(</w:t>
      </w:r>
      <w:r w:rsidRPr="001F078B">
        <w:rPr>
          <w:i/>
          <w:lang w:bidi="bn-IN"/>
        </w:rPr>
        <w:t>q</w:t>
      </w:r>
      <w:r w:rsidRPr="001F078B">
        <w:rPr>
          <w:lang w:bidi="bn-IN"/>
        </w:rPr>
        <w:t xml:space="preserve">)], </w:t>
      </w:r>
      <w:r w:rsidRPr="001F078B">
        <w:rPr>
          <w:lang w:eastAsia="zh-CN"/>
        </w:rPr>
        <w:t>P</w:t>
      </w:r>
      <w:r w:rsidRPr="001F078B">
        <w:rPr>
          <w:vertAlign w:val="subscript"/>
          <w:lang w:eastAsia="zh-CN"/>
        </w:rPr>
        <w:t>EMAX, EN-DC</w:t>
      </w:r>
      <w:r w:rsidRPr="001F078B">
        <w:t xml:space="preserve"> ,</w:t>
      </w:r>
      <w:r w:rsidRPr="001F078B">
        <w:rPr>
          <w:lang w:bidi="bn-IN"/>
        </w:rPr>
        <w:t>P</w:t>
      </w:r>
      <w:r w:rsidRPr="001F078B">
        <w:rPr>
          <w:vertAlign w:val="subscript"/>
          <w:lang w:bidi="bn-IN"/>
        </w:rPr>
        <w:t>PowerClass, EN-DC</w:t>
      </w:r>
      <w:r w:rsidRPr="001F078B">
        <w:rPr>
          <w:lang w:bidi="bn-IN"/>
        </w:rPr>
        <w:t>}</w:t>
      </w:r>
    </w:p>
    <w:p w14:paraId="63349EA4" w14:textId="299F2A95" w:rsidR="00A77FB0" w:rsidRPr="00A77FB0" w:rsidRDefault="00F323E8" w:rsidP="00CB7B98">
      <w:pPr>
        <w:rPr>
          <w:rFonts w:eastAsia="Times New Roman"/>
          <w:b/>
          <w:bCs/>
          <w:lang w:val="en-US"/>
        </w:rPr>
      </w:pPr>
      <w:r w:rsidRPr="00A77FB0">
        <w:rPr>
          <w:rFonts w:eastAsia="Times New Roman"/>
          <w:b/>
          <w:bCs/>
          <w:lang w:val="en-US"/>
        </w:rPr>
        <w:t xml:space="preserve">Observation 7: A PC2 intra-band EN-DC UE with </w:t>
      </w:r>
      <w:r w:rsidR="00A77FB0" w:rsidRPr="00A77FB0">
        <w:rPr>
          <w:rFonts w:eastAsia="Times New Roman"/>
          <w:b/>
          <w:bCs/>
          <w:lang w:val="en-US"/>
        </w:rPr>
        <w:t xml:space="preserve">0 dB of A-MPR on each cell group would be imited to 26 dBm or less by </w:t>
      </w:r>
      <w:r w:rsidR="00A77FB0" w:rsidRPr="00A77FB0">
        <w:rPr>
          <w:b/>
          <w:bCs/>
          <w:lang w:bidi="bn-IN"/>
        </w:rPr>
        <w:t>P</w:t>
      </w:r>
      <w:r w:rsidR="00A77FB0" w:rsidRPr="00A77FB0">
        <w:rPr>
          <w:b/>
          <w:bCs/>
          <w:vertAlign w:val="subscript"/>
          <w:lang w:bidi="bn-IN"/>
        </w:rPr>
        <w:t>CMAX_ EN-DC _H</w:t>
      </w:r>
      <w:r w:rsidR="00A77FB0" w:rsidRPr="00A77FB0">
        <w:rPr>
          <w:rFonts w:eastAsia="Times New Roman"/>
          <w:b/>
          <w:bCs/>
          <w:lang w:val="en-US"/>
        </w:rPr>
        <w:t xml:space="preserve">.   </w:t>
      </w:r>
    </w:p>
    <w:p w14:paraId="399F1583" w14:textId="54006BF1" w:rsidR="0079219E" w:rsidRDefault="00767696" w:rsidP="00CB7B98">
      <w:pPr>
        <w:rPr>
          <w:rFonts w:eastAsia="Times New Roman"/>
          <w:bCs/>
          <w:lang w:val="en-US"/>
        </w:rPr>
      </w:pPr>
      <w:r>
        <w:rPr>
          <w:rFonts w:eastAsia="Times New Roman"/>
          <w:bCs/>
          <w:lang w:val="en-US"/>
        </w:rPr>
        <w:t>As can be seen</w:t>
      </w:r>
      <w:r w:rsidR="00285C0C">
        <w:rPr>
          <w:rFonts w:eastAsia="Times New Roman"/>
          <w:bCs/>
          <w:lang w:val="en-US"/>
        </w:rPr>
        <w:t xml:space="preserve"> above</w:t>
      </w:r>
      <w:r>
        <w:rPr>
          <w:rFonts w:eastAsia="Times New Roman"/>
          <w:bCs/>
          <w:lang w:val="en-US"/>
        </w:rPr>
        <w:t xml:space="preserve">, </w:t>
      </w:r>
      <w:bookmarkStart w:id="5" w:name="_Hlk33387279"/>
      <w:r>
        <w:rPr>
          <w:rFonts w:eastAsia="Times New Roman"/>
          <w:bCs/>
          <w:lang w:val="en-US"/>
        </w:rPr>
        <w:t xml:space="preserve">Intra-band EN-DC defined for </w:t>
      </w:r>
      <w:r w:rsidR="009A4128">
        <w:rPr>
          <w:rFonts w:eastAsia="Times New Roman"/>
          <w:bCs/>
          <w:lang w:val="en-US"/>
        </w:rPr>
        <w:t xml:space="preserve">Power Class 2 intra-band EN-DC can be reused for PC 1.5 intra-band EN-DC. </w:t>
      </w:r>
      <w:r>
        <w:rPr>
          <w:rFonts w:eastAsia="Times New Roman"/>
          <w:bCs/>
          <w:lang w:val="en-US"/>
        </w:rPr>
        <w:t xml:space="preserve"> </w:t>
      </w:r>
      <w:bookmarkEnd w:id="5"/>
    </w:p>
    <w:p w14:paraId="164FA484" w14:textId="31CC345E" w:rsidR="00767696" w:rsidRDefault="00767696" w:rsidP="00CB7B98">
      <w:pPr>
        <w:rPr>
          <w:rFonts w:eastAsia="Times New Roman"/>
          <w:b/>
          <w:lang w:val="en-US"/>
        </w:rPr>
      </w:pPr>
      <w:r>
        <w:rPr>
          <w:rFonts w:eastAsia="Times New Roman"/>
          <w:b/>
          <w:lang w:val="en-US"/>
        </w:rPr>
        <w:t>Pro</w:t>
      </w:r>
      <w:r w:rsidR="009A4128">
        <w:rPr>
          <w:rFonts w:eastAsia="Times New Roman"/>
          <w:b/>
          <w:lang w:val="en-US"/>
        </w:rPr>
        <w:t xml:space="preserve">posal 1: </w:t>
      </w:r>
      <w:r w:rsidR="00285C0C" w:rsidRPr="00285C0C">
        <w:rPr>
          <w:rFonts w:eastAsia="Times New Roman"/>
          <w:b/>
          <w:lang w:val="en-US"/>
        </w:rPr>
        <w:t xml:space="preserve">Intra-band EN-DC defined for Power Class 2 intra-band EN-DC can be reused for PC 1.5 intra-band EN-DC.  </w:t>
      </w:r>
    </w:p>
    <w:p w14:paraId="0201BA24" w14:textId="0BC6CC29" w:rsidR="00BE6EE3" w:rsidRDefault="00BE6EE3" w:rsidP="00CB7B98">
      <w:pPr>
        <w:rPr>
          <w:rFonts w:eastAsia="Times New Roman"/>
          <w:bCs/>
          <w:lang w:val="en-US"/>
        </w:rPr>
      </w:pPr>
      <w:r w:rsidRPr="00E321E8">
        <w:rPr>
          <w:rFonts w:eastAsia="Times New Roman"/>
          <w:bCs/>
          <w:lang w:val="en-US"/>
        </w:rPr>
        <w:t xml:space="preserve">While it is clear that Rel-15 PC2 intra-band EN-DC A-MPR can be re-used for PC 1.5, there have been proposals </w:t>
      </w:r>
      <w:r w:rsidR="00E321E8" w:rsidRPr="00E321E8">
        <w:rPr>
          <w:rFonts w:eastAsia="Times New Roman"/>
          <w:bCs/>
          <w:lang w:val="en-US"/>
        </w:rPr>
        <w:t xml:space="preserve">for A-MPR improvements from Rel-16, which are in the scope of the 29 dBm WID. </w:t>
      </w:r>
      <w:r w:rsidR="00E321E8">
        <w:rPr>
          <w:rFonts w:eastAsia="Times New Roman"/>
          <w:bCs/>
          <w:lang w:val="en-US"/>
        </w:rPr>
        <w:t xml:space="preserve">For instance, </w:t>
      </w:r>
      <w:r w:rsidR="00500A72">
        <w:rPr>
          <w:rFonts w:eastAsia="Times New Roman"/>
          <w:bCs/>
          <w:lang w:val="en-US"/>
        </w:rPr>
        <w:t xml:space="preserve">allocation aware A-MPR has already been incorporated into 38.101-3. </w:t>
      </w:r>
      <w:r w:rsidR="00A7008F">
        <w:rPr>
          <w:rFonts w:eastAsia="Times New Roman"/>
          <w:bCs/>
          <w:lang w:val="en-US"/>
        </w:rPr>
        <w:t>We have seen many contributions on how</w:t>
      </w:r>
      <w:r w:rsidR="006C0752">
        <w:rPr>
          <w:rFonts w:eastAsia="Times New Roman"/>
          <w:bCs/>
          <w:lang w:val="en-US"/>
        </w:rPr>
        <w:t xml:space="preserve"> it may be possible to lower the amount of A-MPR </w:t>
      </w:r>
      <w:r w:rsidR="00D93291">
        <w:rPr>
          <w:rFonts w:eastAsia="Times New Roman"/>
          <w:bCs/>
          <w:lang w:val="en-US"/>
        </w:rPr>
        <w:t>allowed. Also, S</w:t>
      </w:r>
      <w:r w:rsidR="00500A72">
        <w:rPr>
          <w:rFonts w:eastAsia="Times New Roman"/>
          <w:bCs/>
          <w:lang w:val="en-US"/>
        </w:rPr>
        <w:t xml:space="preserve">kyworks </w:t>
      </w:r>
      <w:r w:rsidR="00D93291">
        <w:rPr>
          <w:rFonts w:eastAsia="Times New Roman"/>
          <w:bCs/>
          <w:lang w:val="en-US"/>
        </w:rPr>
        <w:t xml:space="preserve">has </w:t>
      </w:r>
      <w:r w:rsidR="00DA791F">
        <w:rPr>
          <w:rFonts w:eastAsia="Times New Roman"/>
          <w:bCs/>
          <w:lang w:val="en-US"/>
        </w:rPr>
        <w:t>shown</w:t>
      </w:r>
      <w:r w:rsidR="00C35435">
        <w:rPr>
          <w:rFonts w:eastAsia="Times New Roman"/>
          <w:bCs/>
          <w:lang w:val="en-US"/>
        </w:rPr>
        <w:t xml:space="preserve"> </w:t>
      </w:r>
      <w:r w:rsidR="00DA791F">
        <w:rPr>
          <w:rFonts w:eastAsia="Times New Roman"/>
          <w:bCs/>
          <w:lang w:val="en-US"/>
        </w:rPr>
        <w:t xml:space="preserve"> how the use of inner allocations based on the aggregated </w:t>
      </w:r>
      <w:r w:rsidR="00C35435">
        <w:rPr>
          <w:rFonts w:eastAsia="Times New Roman"/>
          <w:bCs/>
          <w:lang w:val="en-US"/>
        </w:rPr>
        <w:t xml:space="preserve">LTE and NR spectrum can reduce A-MPR by redefining inner allocations for contiguous intra-band EN-DC instead of using the single CC inner and outer definitions </w:t>
      </w:r>
      <w:r w:rsidR="00C35435">
        <w:rPr>
          <w:rFonts w:eastAsia="Times New Roman"/>
          <w:bCs/>
          <w:lang w:val="en-US"/>
        </w:rPr>
        <w:fldChar w:fldCharType="begin"/>
      </w:r>
      <w:r w:rsidR="00C35435">
        <w:rPr>
          <w:rFonts w:eastAsia="Times New Roman"/>
          <w:bCs/>
          <w:lang w:val="en-US"/>
        </w:rPr>
        <w:instrText xml:space="preserve"> REF _Ref33388549 \r \h </w:instrText>
      </w:r>
      <w:r w:rsidR="00C35435">
        <w:rPr>
          <w:rFonts w:eastAsia="Times New Roman"/>
          <w:bCs/>
          <w:lang w:val="en-US"/>
        </w:rPr>
      </w:r>
      <w:r w:rsidR="00C35435">
        <w:rPr>
          <w:rFonts w:eastAsia="Times New Roman"/>
          <w:bCs/>
          <w:lang w:val="en-US"/>
        </w:rPr>
        <w:fldChar w:fldCharType="separate"/>
      </w:r>
      <w:r w:rsidR="00C35435">
        <w:rPr>
          <w:rFonts w:eastAsia="Times New Roman"/>
          <w:bCs/>
          <w:lang w:val="en-US"/>
        </w:rPr>
        <w:t>[1]</w:t>
      </w:r>
      <w:r w:rsidR="00C35435">
        <w:rPr>
          <w:rFonts w:eastAsia="Times New Roman"/>
          <w:bCs/>
          <w:lang w:val="en-US"/>
        </w:rPr>
        <w:fldChar w:fldCharType="end"/>
      </w:r>
      <w:r w:rsidR="00C35435">
        <w:rPr>
          <w:rFonts w:eastAsia="Times New Roman"/>
          <w:bCs/>
          <w:lang w:val="en-US"/>
        </w:rPr>
        <w:t xml:space="preserve">. </w:t>
      </w:r>
      <w:r w:rsidR="00D93291">
        <w:rPr>
          <w:rFonts w:eastAsia="Times New Roman"/>
          <w:bCs/>
          <w:lang w:val="en-US"/>
        </w:rPr>
        <w:t xml:space="preserve"> </w:t>
      </w:r>
    </w:p>
    <w:p w14:paraId="6492EB9A" w14:textId="78F3434A" w:rsidR="00EC0B06" w:rsidRPr="00B06943" w:rsidRDefault="00EC0B06" w:rsidP="00CB7B98">
      <w:pPr>
        <w:rPr>
          <w:rFonts w:eastAsia="Times New Roman"/>
          <w:b/>
          <w:lang w:val="en-US"/>
        </w:rPr>
      </w:pPr>
      <w:r w:rsidRPr="00B06943">
        <w:rPr>
          <w:rFonts w:eastAsia="Times New Roman"/>
          <w:b/>
          <w:lang w:val="en-US"/>
        </w:rPr>
        <w:t xml:space="preserve">Proposal 2: RAN4 should focus on A-MPR improvements to </w:t>
      </w:r>
      <w:r w:rsidR="00BD2CC8" w:rsidRPr="00B06943">
        <w:rPr>
          <w:rFonts w:eastAsia="Times New Roman"/>
          <w:b/>
          <w:lang w:val="en-US"/>
        </w:rPr>
        <w:t xml:space="preserve">enable </w:t>
      </w:r>
      <w:r w:rsidRPr="00B06943">
        <w:rPr>
          <w:rFonts w:eastAsia="Times New Roman"/>
          <w:b/>
          <w:lang w:val="en-US"/>
        </w:rPr>
        <w:t>complet</w:t>
      </w:r>
      <w:r w:rsidR="00BD2CC8" w:rsidRPr="00B06943">
        <w:rPr>
          <w:rFonts w:eastAsia="Times New Roman"/>
          <w:b/>
          <w:lang w:val="en-US"/>
        </w:rPr>
        <w:t>ion of</w:t>
      </w:r>
      <w:r w:rsidRPr="00B06943">
        <w:rPr>
          <w:rFonts w:eastAsia="Times New Roman"/>
          <w:b/>
          <w:lang w:val="en-US"/>
        </w:rPr>
        <w:t xml:space="preserve"> the </w:t>
      </w:r>
      <w:r w:rsidR="00BD2CC8" w:rsidRPr="00B06943">
        <w:rPr>
          <w:rFonts w:eastAsia="Times New Roman"/>
          <w:b/>
          <w:lang w:val="en-US"/>
        </w:rPr>
        <w:t xml:space="preserve">29 dBm HPUE Work Item. </w:t>
      </w:r>
    </w:p>
    <w:bookmarkEnd w:id="2"/>
    <w:bookmarkEnd w:id="3"/>
    <w:p w14:paraId="39A46F2A"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3</w:t>
      </w:r>
      <w:r w:rsidRPr="00B758A7">
        <w:rPr>
          <w:rFonts w:ascii="Arial" w:eastAsia="Times New Roman" w:hAnsi="Arial"/>
          <w:sz w:val="36"/>
          <w:lang w:val="en-US"/>
        </w:rPr>
        <w:tab/>
        <w:t xml:space="preserve">Conclusions </w:t>
      </w:r>
    </w:p>
    <w:p w14:paraId="7EC129A2" w14:textId="77777777" w:rsidR="00285C0C" w:rsidRPr="00AE7DFF" w:rsidRDefault="00285C0C" w:rsidP="00285C0C">
      <w:pPr>
        <w:rPr>
          <w:b/>
          <w:bCs/>
        </w:rPr>
      </w:pPr>
      <w:r w:rsidRPr="00AE7DFF">
        <w:rPr>
          <w:rFonts w:eastAsia="Times New Roman"/>
          <w:b/>
          <w:bCs/>
          <w:lang w:val="en-US"/>
        </w:rPr>
        <w:t xml:space="preserve">Observation 1: A-MPR for intra-band EN-DC is defined relative to 26 dBm for a power class 2 cell group, and relative to 23 dBm for a power class 3 cell group. </w:t>
      </w:r>
    </w:p>
    <w:p w14:paraId="3770EE13" w14:textId="77777777" w:rsidR="00285C0C" w:rsidRPr="00AE7DFF" w:rsidRDefault="00285C0C" w:rsidP="00285C0C">
      <w:pPr>
        <w:rPr>
          <w:b/>
          <w:bCs/>
        </w:rPr>
      </w:pPr>
      <w:r w:rsidRPr="00AE7DFF">
        <w:rPr>
          <w:b/>
          <w:bCs/>
        </w:rPr>
        <w:t>Observation 2: The intra-band EN-DC A-MPR per cell group for PC 1.5 is already defined in 38.101-3.</w:t>
      </w:r>
    </w:p>
    <w:p w14:paraId="3EBAE669" w14:textId="0FFDD2F5" w:rsidR="00285C0C" w:rsidRPr="00AE7DFF" w:rsidRDefault="00285C0C" w:rsidP="00285C0C">
      <w:pPr>
        <w:rPr>
          <w:b/>
          <w:bCs/>
        </w:rPr>
      </w:pPr>
      <w:r w:rsidRPr="00AE7DFF">
        <w:rPr>
          <w:b/>
          <w:bCs/>
        </w:rPr>
        <w:t xml:space="preserve">Observation </w:t>
      </w:r>
      <w:r>
        <w:rPr>
          <w:b/>
          <w:bCs/>
        </w:rPr>
        <w:t>3</w:t>
      </w:r>
      <w:r w:rsidRPr="00AE7DFF">
        <w:rPr>
          <w:b/>
          <w:bCs/>
        </w:rPr>
        <w:t xml:space="preserve">: </w:t>
      </w:r>
      <w:r>
        <w:rPr>
          <w:b/>
          <w:bCs/>
        </w:rPr>
        <w:t>Power Class 2</w:t>
      </w:r>
      <w:r w:rsidRPr="00AE7DFF">
        <w:rPr>
          <w:b/>
          <w:bCs/>
        </w:rPr>
        <w:t xml:space="preserve"> intra-band EN-DC A-MPR </w:t>
      </w:r>
      <w:r>
        <w:rPr>
          <w:b/>
          <w:bCs/>
        </w:rPr>
        <w:t>defined per PA (cell group) will also allow emissions requir</w:t>
      </w:r>
      <w:r>
        <w:rPr>
          <w:b/>
          <w:bCs/>
        </w:rPr>
        <w:t>e</w:t>
      </w:r>
      <w:r>
        <w:rPr>
          <w:b/>
          <w:bCs/>
        </w:rPr>
        <w:t>ments to be met for Power Class 1.5</w:t>
      </w:r>
      <w:r w:rsidRPr="00AE7DFF">
        <w:rPr>
          <w:b/>
          <w:bCs/>
        </w:rPr>
        <w:t xml:space="preserve"> intra-band EN-DC</w:t>
      </w:r>
      <w:r>
        <w:rPr>
          <w:b/>
          <w:bCs/>
        </w:rPr>
        <w:t>.</w:t>
      </w:r>
    </w:p>
    <w:p w14:paraId="08005195" w14:textId="77777777" w:rsidR="00285C0C" w:rsidRPr="000D3BE5" w:rsidRDefault="00285C0C" w:rsidP="00285C0C">
      <w:pPr>
        <w:rPr>
          <w:rFonts w:eastAsia="Times New Roman"/>
          <w:b/>
          <w:bCs/>
          <w:lang w:val="en-US"/>
        </w:rPr>
      </w:pPr>
      <w:r w:rsidRPr="000D3BE5">
        <w:rPr>
          <w:rFonts w:eastAsia="Times New Roman"/>
          <w:b/>
          <w:bCs/>
          <w:lang w:val="en-US"/>
        </w:rPr>
        <w:t xml:space="preserve">Observation 4: For allocations where A-MPR is driven by IM3s, the minimum A-MPR is 5 dB, so a PC 1.5 UE taking the maximum allowable A-MPR would be transmitting well below 26 dBm.  </w:t>
      </w:r>
    </w:p>
    <w:p w14:paraId="1B170573" w14:textId="77777777" w:rsidR="00285C0C" w:rsidRPr="005C61A8" w:rsidRDefault="00285C0C" w:rsidP="00285C0C">
      <w:pPr>
        <w:rPr>
          <w:rFonts w:eastAsia="Times New Roman"/>
          <w:b/>
          <w:bCs/>
          <w:lang w:val="en-US"/>
        </w:rPr>
      </w:pPr>
      <w:r w:rsidRPr="005C61A8">
        <w:rPr>
          <w:rFonts w:eastAsia="Times New Roman"/>
          <w:b/>
          <w:bCs/>
          <w:lang w:val="en-US"/>
        </w:rPr>
        <w:t>Observation 5: When IMDs are not problematic, single A-MPR</w:t>
      </w:r>
      <w:r w:rsidRPr="005C61A8">
        <w:rPr>
          <w:rFonts w:eastAsia="Times New Roman"/>
          <w:b/>
          <w:bCs/>
          <w:vertAlign w:val="subscript"/>
          <w:lang w:val="en-US"/>
        </w:rPr>
        <w:t>single</w:t>
      </w:r>
      <w:r w:rsidRPr="005C61A8">
        <w:rPr>
          <w:rFonts w:eastAsia="Times New Roman"/>
          <w:b/>
          <w:bCs/>
          <w:lang w:val="en-US"/>
        </w:rPr>
        <w:t xml:space="preserve"> dominates, and emissions can be met with A-MPR</w:t>
      </w:r>
      <w:r w:rsidRPr="005C61A8">
        <w:rPr>
          <w:rFonts w:eastAsia="Times New Roman"/>
          <w:b/>
          <w:bCs/>
          <w:vertAlign w:val="subscript"/>
          <w:lang w:val="en-US"/>
        </w:rPr>
        <w:t>single</w:t>
      </w:r>
      <w:r w:rsidRPr="005C61A8">
        <w:rPr>
          <w:rFonts w:eastAsia="Times New Roman"/>
          <w:b/>
          <w:bCs/>
          <w:lang w:val="en-US"/>
        </w:rPr>
        <w:t xml:space="preserve"> for each of the RATs. </w:t>
      </w:r>
    </w:p>
    <w:p w14:paraId="69EB98F7" w14:textId="77777777" w:rsidR="00285C0C" w:rsidRPr="00220750" w:rsidRDefault="00285C0C" w:rsidP="00285C0C">
      <w:pPr>
        <w:rPr>
          <w:rFonts w:eastAsia="Times New Roman"/>
          <w:b/>
          <w:bCs/>
          <w:lang w:val="en-US"/>
        </w:rPr>
      </w:pPr>
      <w:r w:rsidRPr="00220750">
        <w:rPr>
          <w:rFonts w:eastAsia="Times New Roman"/>
          <w:b/>
          <w:bCs/>
          <w:lang w:val="en-US"/>
        </w:rPr>
        <w:t xml:space="preserve">Observation 6: Existing </w:t>
      </w:r>
      <w:r>
        <w:rPr>
          <w:rFonts w:eastAsia="Times New Roman"/>
          <w:b/>
          <w:bCs/>
          <w:lang w:val="en-US"/>
        </w:rPr>
        <w:t>A</w:t>
      </w:r>
      <w:r w:rsidRPr="00220750">
        <w:rPr>
          <w:rFonts w:eastAsia="Times New Roman"/>
          <w:b/>
          <w:bCs/>
          <w:lang w:val="en-US"/>
        </w:rPr>
        <w:t>CLR overlap provisions provide suffic</w:t>
      </w:r>
      <w:r>
        <w:rPr>
          <w:rFonts w:eastAsia="Times New Roman"/>
          <w:b/>
          <w:bCs/>
          <w:lang w:val="en-US"/>
        </w:rPr>
        <w:t>i</w:t>
      </w:r>
      <w:r w:rsidRPr="00220750">
        <w:rPr>
          <w:rFonts w:eastAsia="Times New Roman"/>
          <w:b/>
          <w:bCs/>
          <w:lang w:val="en-US"/>
        </w:rPr>
        <w:t>ent A-MPR for when the LTE and NR ACLR regions overlap even for PC 1.5.</w:t>
      </w:r>
      <w:r>
        <w:rPr>
          <w:rFonts w:eastAsia="Times New Roman"/>
          <w:b/>
          <w:bCs/>
          <w:lang w:val="en-US"/>
        </w:rPr>
        <w:t xml:space="preserve"> </w:t>
      </w:r>
    </w:p>
    <w:p w14:paraId="3184C1BE" w14:textId="77777777" w:rsidR="00285C0C" w:rsidRPr="00A77FB0" w:rsidRDefault="00285C0C" w:rsidP="00285C0C">
      <w:pPr>
        <w:rPr>
          <w:rFonts w:eastAsia="Times New Roman"/>
          <w:b/>
          <w:bCs/>
          <w:lang w:val="en-US"/>
        </w:rPr>
      </w:pPr>
      <w:r w:rsidRPr="00A77FB0">
        <w:rPr>
          <w:rFonts w:eastAsia="Times New Roman"/>
          <w:b/>
          <w:bCs/>
          <w:lang w:val="en-US"/>
        </w:rPr>
        <w:t xml:space="preserve">Observation 7: A PC2 intra-band EN-DC UE with 0 dB of A-MPR on each cell group would be imited to 26 dBm or less by </w:t>
      </w:r>
      <w:r w:rsidRPr="00A77FB0">
        <w:rPr>
          <w:b/>
          <w:bCs/>
          <w:lang w:bidi="bn-IN"/>
        </w:rPr>
        <w:t>P</w:t>
      </w:r>
      <w:r w:rsidRPr="00A77FB0">
        <w:rPr>
          <w:b/>
          <w:bCs/>
          <w:vertAlign w:val="subscript"/>
          <w:lang w:bidi="bn-IN"/>
        </w:rPr>
        <w:t>CMAX_ EN-DC _H</w:t>
      </w:r>
      <w:r w:rsidRPr="00A77FB0">
        <w:rPr>
          <w:rFonts w:eastAsia="Times New Roman"/>
          <w:b/>
          <w:bCs/>
          <w:lang w:val="en-US"/>
        </w:rPr>
        <w:t xml:space="preserve">.   </w:t>
      </w:r>
    </w:p>
    <w:p w14:paraId="4D414DBE" w14:textId="77777777" w:rsidR="00531DC9" w:rsidRDefault="00531DC9" w:rsidP="00285C0C">
      <w:pPr>
        <w:rPr>
          <w:rFonts w:eastAsia="Times New Roman"/>
          <w:b/>
          <w:lang w:val="en-US"/>
        </w:rPr>
      </w:pPr>
    </w:p>
    <w:p w14:paraId="7E62DF76" w14:textId="09608FC2" w:rsidR="00285C0C" w:rsidRDefault="00285C0C" w:rsidP="00285C0C">
      <w:pPr>
        <w:rPr>
          <w:rFonts w:eastAsia="Times New Roman"/>
          <w:b/>
          <w:lang w:val="en-US"/>
        </w:rPr>
      </w:pPr>
      <w:r>
        <w:rPr>
          <w:rFonts w:eastAsia="Times New Roman"/>
          <w:b/>
          <w:lang w:val="en-US"/>
        </w:rPr>
        <w:t xml:space="preserve">Proposal 1: </w:t>
      </w:r>
      <w:r w:rsidRPr="00285C0C">
        <w:rPr>
          <w:rFonts w:eastAsia="Times New Roman"/>
          <w:b/>
          <w:lang w:val="en-US"/>
        </w:rPr>
        <w:t xml:space="preserve">Intra-band EN-DC defined for Power Class 2 intra-band EN-DC can be reused for PC 1.5 intra-band EN-DC.  </w:t>
      </w:r>
    </w:p>
    <w:p w14:paraId="5877BF05" w14:textId="0E1F2497" w:rsidR="00B06943" w:rsidRPr="004D5F99" w:rsidRDefault="00B06943" w:rsidP="00285C0C">
      <w:pPr>
        <w:rPr>
          <w:rFonts w:eastAsia="Times New Roman"/>
          <w:b/>
          <w:lang w:val="en-US"/>
        </w:rPr>
      </w:pPr>
      <w:r w:rsidRPr="00B06943">
        <w:rPr>
          <w:rFonts w:eastAsia="Times New Roman"/>
          <w:b/>
          <w:lang w:val="en-US"/>
        </w:rPr>
        <w:t xml:space="preserve">Proposal 2: RAN4 should focus on A-MPR improvements to enable completion of the 29 dBm HPUE Work Item. </w:t>
      </w:r>
    </w:p>
    <w:p w14:paraId="68996E0F"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lastRenderedPageBreak/>
        <w:t>4</w:t>
      </w:r>
      <w:r w:rsidRPr="00B758A7">
        <w:rPr>
          <w:rFonts w:ascii="Arial" w:eastAsia="Times New Roman" w:hAnsi="Arial"/>
          <w:sz w:val="36"/>
          <w:lang w:val="en-US"/>
        </w:rPr>
        <w:tab/>
        <w:t>References</w:t>
      </w:r>
    </w:p>
    <w:p w14:paraId="257C5401" w14:textId="7B5E00EA" w:rsidR="00211D5E" w:rsidRPr="00C018B2" w:rsidRDefault="009967F3" w:rsidP="006322B2">
      <w:pPr>
        <w:numPr>
          <w:ilvl w:val="0"/>
          <w:numId w:val="9"/>
        </w:numPr>
        <w:rPr>
          <w:rFonts w:eastAsia="Times New Roman"/>
          <w:lang w:val="en-US"/>
        </w:rPr>
      </w:pPr>
      <w:bookmarkStart w:id="6" w:name="_Ref33388549"/>
      <w:r w:rsidRPr="009967F3">
        <w:rPr>
          <w:rFonts w:eastAsia="Times New Roman"/>
          <w:lang w:val="en-US"/>
        </w:rPr>
        <w:t>R4-1911647</w:t>
      </w:r>
      <w:r>
        <w:rPr>
          <w:rFonts w:eastAsia="Times New Roman"/>
          <w:lang w:val="en-US"/>
        </w:rPr>
        <w:t>, “</w:t>
      </w:r>
      <w:r w:rsidR="00DA791F" w:rsidRPr="00DA791F">
        <w:rPr>
          <w:rFonts w:eastAsia="Times New Roman"/>
          <w:lang w:val="en-US"/>
        </w:rPr>
        <w:t>Potential Improvements for Band 41 Intra-band ENDC and Applicability to Other Cases,</w:t>
      </w:r>
      <w:r w:rsidR="00DA791F">
        <w:rPr>
          <w:rFonts w:eastAsia="Times New Roman"/>
          <w:lang w:val="en-US"/>
        </w:rPr>
        <w:t>”</w:t>
      </w:r>
      <w:r w:rsidR="00DA791F" w:rsidRPr="00DA791F">
        <w:rPr>
          <w:rFonts w:eastAsia="Times New Roman"/>
          <w:lang w:val="en-US"/>
        </w:rPr>
        <w:t xml:space="preserve"> Skyworks Solutions Inc., RAN4#92b</w:t>
      </w:r>
      <w:bookmarkEnd w:id="6"/>
    </w:p>
    <w:bookmarkEnd w:id="0"/>
    <w:bookmarkEnd w:id="1"/>
    <w:p w14:paraId="33C49C94" w14:textId="19CB8598" w:rsidR="00E531EB" w:rsidRPr="005E010F" w:rsidRDefault="00E531EB" w:rsidP="005E010F">
      <w:pPr>
        <w:jc w:val="center"/>
        <w:rPr>
          <w:color w:val="FF0000"/>
          <w:sz w:val="36"/>
        </w:rPr>
      </w:pPr>
    </w:p>
    <w:sectPr w:rsidR="00E531EB" w:rsidRPr="005E010F" w:rsidSect="00A0562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1F38AB" w14:textId="77777777" w:rsidR="00BE140A" w:rsidRDefault="00BE140A">
      <w:r>
        <w:separator/>
      </w:r>
    </w:p>
  </w:endnote>
  <w:endnote w:type="continuationSeparator" w:id="0">
    <w:p w14:paraId="14E85170" w14:textId="77777777" w:rsidR="00BE140A" w:rsidRDefault="00BE1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2362A3" w14:textId="77777777" w:rsidR="00BE140A" w:rsidRDefault="00BE140A">
      <w:r>
        <w:separator/>
      </w:r>
    </w:p>
  </w:footnote>
  <w:footnote w:type="continuationSeparator" w:id="0">
    <w:p w14:paraId="50724D69" w14:textId="77777777" w:rsidR="00BE140A" w:rsidRDefault="00BE14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A314C"/>
    <w:multiLevelType w:val="hybridMultilevel"/>
    <w:tmpl w:val="874ABC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9B3B1E"/>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AC61B0"/>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D528C2"/>
    <w:multiLevelType w:val="hybridMultilevel"/>
    <w:tmpl w:val="874ABC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BD123A"/>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 w15:restartNumberingAfterBreak="0">
    <w:nsid w:val="2A9F5C0C"/>
    <w:multiLevelType w:val="hybridMultilevel"/>
    <w:tmpl w:val="6D8053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942D64"/>
    <w:multiLevelType w:val="hybridMultilevel"/>
    <w:tmpl w:val="0D803D12"/>
    <w:lvl w:ilvl="0" w:tplc="9300F36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2" w15:restartNumberingAfterBreak="0">
    <w:nsid w:val="655F4822"/>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C135427"/>
    <w:multiLevelType w:val="hybridMultilevel"/>
    <w:tmpl w:val="874ABC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8744B59"/>
    <w:multiLevelType w:val="hybridMultilevel"/>
    <w:tmpl w:val="874ABC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327008"/>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7"/>
  </w:num>
  <w:num w:numId="6">
    <w:abstractNumId w:val="15"/>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3"/>
  </w:num>
  <w:num w:numId="11">
    <w:abstractNumId w:val="4"/>
  </w:num>
  <w:num w:numId="12">
    <w:abstractNumId w:val="12"/>
  </w:num>
  <w:num w:numId="13">
    <w:abstractNumId w:val="17"/>
  </w:num>
  <w:num w:numId="14">
    <w:abstractNumId w:val="6"/>
  </w:num>
  <w:num w:numId="15">
    <w:abstractNumId w:val="5"/>
  </w:num>
  <w:num w:numId="16">
    <w:abstractNumId w:val="2"/>
  </w:num>
  <w:num w:numId="17">
    <w:abstractNumId w:val="16"/>
  </w:num>
  <w:num w:numId="18">
    <w:abstractNumId w:val="14"/>
  </w:num>
  <w:num w:numId="19">
    <w:abstractNumId w:val="8"/>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C59"/>
    <w:rsid w:val="00005921"/>
    <w:rsid w:val="00005A22"/>
    <w:rsid w:val="000075B0"/>
    <w:rsid w:val="00014709"/>
    <w:rsid w:val="00024BB8"/>
    <w:rsid w:val="000304D0"/>
    <w:rsid w:val="0003171D"/>
    <w:rsid w:val="00031C1D"/>
    <w:rsid w:val="00033D61"/>
    <w:rsid w:val="00037568"/>
    <w:rsid w:val="00040B1D"/>
    <w:rsid w:val="00043F1A"/>
    <w:rsid w:val="000475F6"/>
    <w:rsid w:val="00050001"/>
    <w:rsid w:val="00050C15"/>
    <w:rsid w:val="00051AE1"/>
    <w:rsid w:val="00052041"/>
    <w:rsid w:val="0005326A"/>
    <w:rsid w:val="00053450"/>
    <w:rsid w:val="00065506"/>
    <w:rsid w:val="000707F3"/>
    <w:rsid w:val="0007382E"/>
    <w:rsid w:val="00073CDD"/>
    <w:rsid w:val="00074044"/>
    <w:rsid w:val="000766E1"/>
    <w:rsid w:val="00077FF6"/>
    <w:rsid w:val="00080D82"/>
    <w:rsid w:val="00081692"/>
    <w:rsid w:val="00081BEF"/>
    <w:rsid w:val="00087548"/>
    <w:rsid w:val="00090319"/>
    <w:rsid w:val="00090DE0"/>
    <w:rsid w:val="00093E7E"/>
    <w:rsid w:val="000A1830"/>
    <w:rsid w:val="000A19C0"/>
    <w:rsid w:val="000A1E2B"/>
    <w:rsid w:val="000A36E9"/>
    <w:rsid w:val="000A4121"/>
    <w:rsid w:val="000A4AA3"/>
    <w:rsid w:val="000A550E"/>
    <w:rsid w:val="000A64F5"/>
    <w:rsid w:val="000B1A55"/>
    <w:rsid w:val="000B20BB"/>
    <w:rsid w:val="000B2EF6"/>
    <w:rsid w:val="000B3058"/>
    <w:rsid w:val="000B412D"/>
    <w:rsid w:val="000B61B3"/>
    <w:rsid w:val="000B7884"/>
    <w:rsid w:val="000C38C3"/>
    <w:rsid w:val="000C3D97"/>
    <w:rsid w:val="000C64DA"/>
    <w:rsid w:val="000C7F41"/>
    <w:rsid w:val="000D1F0C"/>
    <w:rsid w:val="000D3BE5"/>
    <w:rsid w:val="000D44FB"/>
    <w:rsid w:val="000D5972"/>
    <w:rsid w:val="000D5E96"/>
    <w:rsid w:val="000D6512"/>
    <w:rsid w:val="000D6CFC"/>
    <w:rsid w:val="000E4324"/>
    <w:rsid w:val="000E537B"/>
    <w:rsid w:val="000E5E53"/>
    <w:rsid w:val="000E6A2E"/>
    <w:rsid w:val="000E7858"/>
    <w:rsid w:val="000E7959"/>
    <w:rsid w:val="001015BB"/>
    <w:rsid w:val="00104621"/>
    <w:rsid w:val="00106033"/>
    <w:rsid w:val="00110E26"/>
    <w:rsid w:val="00117BD6"/>
    <w:rsid w:val="00121978"/>
    <w:rsid w:val="00123422"/>
    <w:rsid w:val="00124B6A"/>
    <w:rsid w:val="001302E9"/>
    <w:rsid w:val="00131587"/>
    <w:rsid w:val="00134287"/>
    <w:rsid w:val="001362C5"/>
    <w:rsid w:val="001423ED"/>
    <w:rsid w:val="00143902"/>
    <w:rsid w:val="00144F96"/>
    <w:rsid w:val="00151861"/>
    <w:rsid w:val="00151EAC"/>
    <w:rsid w:val="00153528"/>
    <w:rsid w:val="00154E68"/>
    <w:rsid w:val="001555BE"/>
    <w:rsid w:val="00156BBF"/>
    <w:rsid w:val="00157DC6"/>
    <w:rsid w:val="00162548"/>
    <w:rsid w:val="0016317E"/>
    <w:rsid w:val="0017161E"/>
    <w:rsid w:val="00172B3E"/>
    <w:rsid w:val="001751AB"/>
    <w:rsid w:val="00175A3F"/>
    <w:rsid w:val="00183F6D"/>
    <w:rsid w:val="0018670E"/>
    <w:rsid w:val="00187481"/>
    <w:rsid w:val="0019107E"/>
    <w:rsid w:val="0019466F"/>
    <w:rsid w:val="00195FD9"/>
    <w:rsid w:val="001A08AA"/>
    <w:rsid w:val="001A274B"/>
    <w:rsid w:val="001A4372"/>
    <w:rsid w:val="001A65E4"/>
    <w:rsid w:val="001A6635"/>
    <w:rsid w:val="001B03D6"/>
    <w:rsid w:val="001B06AD"/>
    <w:rsid w:val="001B0D69"/>
    <w:rsid w:val="001B28C3"/>
    <w:rsid w:val="001C1409"/>
    <w:rsid w:val="001C4EB8"/>
    <w:rsid w:val="001C6177"/>
    <w:rsid w:val="001D2384"/>
    <w:rsid w:val="001D248F"/>
    <w:rsid w:val="001D2A63"/>
    <w:rsid w:val="001D7D94"/>
    <w:rsid w:val="001E4218"/>
    <w:rsid w:val="001F0395"/>
    <w:rsid w:val="001F0B20"/>
    <w:rsid w:val="001F0F95"/>
    <w:rsid w:val="001F1F24"/>
    <w:rsid w:val="001F59FB"/>
    <w:rsid w:val="0020049D"/>
    <w:rsid w:val="00200A62"/>
    <w:rsid w:val="00207200"/>
    <w:rsid w:val="00211499"/>
    <w:rsid w:val="00211D5E"/>
    <w:rsid w:val="00212099"/>
    <w:rsid w:val="002138EA"/>
    <w:rsid w:val="00213F84"/>
    <w:rsid w:val="00214D8C"/>
    <w:rsid w:val="00214FBD"/>
    <w:rsid w:val="002162DF"/>
    <w:rsid w:val="00220750"/>
    <w:rsid w:val="00222897"/>
    <w:rsid w:val="00222B0C"/>
    <w:rsid w:val="00223CE3"/>
    <w:rsid w:val="00226C86"/>
    <w:rsid w:val="002327A5"/>
    <w:rsid w:val="00234D9D"/>
    <w:rsid w:val="00235394"/>
    <w:rsid w:val="00235577"/>
    <w:rsid w:val="00240A67"/>
    <w:rsid w:val="002435CA"/>
    <w:rsid w:val="002503CF"/>
    <w:rsid w:val="00255C58"/>
    <w:rsid w:val="00257F8D"/>
    <w:rsid w:val="00260EC7"/>
    <w:rsid w:val="00261140"/>
    <w:rsid w:val="0026179F"/>
    <w:rsid w:val="00266551"/>
    <w:rsid w:val="0027465E"/>
    <w:rsid w:val="00274E1A"/>
    <w:rsid w:val="0027699B"/>
    <w:rsid w:val="002775B1"/>
    <w:rsid w:val="00280284"/>
    <w:rsid w:val="00281E2D"/>
    <w:rsid w:val="00282213"/>
    <w:rsid w:val="00284016"/>
    <w:rsid w:val="002858BF"/>
    <w:rsid w:val="00285C0C"/>
    <w:rsid w:val="00291CCF"/>
    <w:rsid w:val="0029277B"/>
    <w:rsid w:val="00292EF4"/>
    <w:rsid w:val="002939AF"/>
    <w:rsid w:val="00294491"/>
    <w:rsid w:val="00296F9F"/>
    <w:rsid w:val="002A4284"/>
    <w:rsid w:val="002A4CD0"/>
    <w:rsid w:val="002A6146"/>
    <w:rsid w:val="002A7DA6"/>
    <w:rsid w:val="002B1484"/>
    <w:rsid w:val="002B455B"/>
    <w:rsid w:val="002C4B52"/>
    <w:rsid w:val="002D01AE"/>
    <w:rsid w:val="002D03E5"/>
    <w:rsid w:val="002D17F4"/>
    <w:rsid w:val="002E1601"/>
    <w:rsid w:val="002E2986"/>
    <w:rsid w:val="002E2CE9"/>
    <w:rsid w:val="002E3BF7"/>
    <w:rsid w:val="002F046D"/>
    <w:rsid w:val="002F158C"/>
    <w:rsid w:val="002F1ED2"/>
    <w:rsid w:val="002F222B"/>
    <w:rsid w:val="002F3DED"/>
    <w:rsid w:val="002F4093"/>
    <w:rsid w:val="003022A5"/>
    <w:rsid w:val="003041B4"/>
    <w:rsid w:val="00307F11"/>
    <w:rsid w:val="00310C4F"/>
    <w:rsid w:val="00311E2D"/>
    <w:rsid w:val="00315867"/>
    <w:rsid w:val="003248B2"/>
    <w:rsid w:val="00326988"/>
    <w:rsid w:val="003306F3"/>
    <w:rsid w:val="00335066"/>
    <w:rsid w:val="003409E6"/>
    <w:rsid w:val="0034588F"/>
    <w:rsid w:val="00354319"/>
    <w:rsid w:val="0035660F"/>
    <w:rsid w:val="00361072"/>
    <w:rsid w:val="003628B9"/>
    <w:rsid w:val="00362D8F"/>
    <w:rsid w:val="003648F6"/>
    <w:rsid w:val="00366F84"/>
    <w:rsid w:val="0036706E"/>
    <w:rsid w:val="00367724"/>
    <w:rsid w:val="00375929"/>
    <w:rsid w:val="003763DF"/>
    <w:rsid w:val="003770F6"/>
    <w:rsid w:val="00380BE3"/>
    <w:rsid w:val="00391B5A"/>
    <w:rsid w:val="00393042"/>
    <w:rsid w:val="00394AD5"/>
    <w:rsid w:val="0039642D"/>
    <w:rsid w:val="003A2E40"/>
    <w:rsid w:val="003A337F"/>
    <w:rsid w:val="003A78CF"/>
    <w:rsid w:val="003B266A"/>
    <w:rsid w:val="003B3809"/>
    <w:rsid w:val="003B52AB"/>
    <w:rsid w:val="003B755E"/>
    <w:rsid w:val="003C228E"/>
    <w:rsid w:val="003C51E7"/>
    <w:rsid w:val="003C7B82"/>
    <w:rsid w:val="003D1EFD"/>
    <w:rsid w:val="003D4215"/>
    <w:rsid w:val="003E061D"/>
    <w:rsid w:val="003E559E"/>
    <w:rsid w:val="003F1B87"/>
    <w:rsid w:val="003F1C1B"/>
    <w:rsid w:val="003F476A"/>
    <w:rsid w:val="003F5E16"/>
    <w:rsid w:val="00401144"/>
    <w:rsid w:val="0040443A"/>
    <w:rsid w:val="00410314"/>
    <w:rsid w:val="00412063"/>
    <w:rsid w:val="00412128"/>
    <w:rsid w:val="00412EB1"/>
    <w:rsid w:val="00414118"/>
    <w:rsid w:val="00414693"/>
    <w:rsid w:val="00416084"/>
    <w:rsid w:val="004178DF"/>
    <w:rsid w:val="00424294"/>
    <w:rsid w:val="00424F8C"/>
    <w:rsid w:val="00425006"/>
    <w:rsid w:val="00426D41"/>
    <w:rsid w:val="004271BA"/>
    <w:rsid w:val="00430997"/>
    <w:rsid w:val="00433262"/>
    <w:rsid w:val="00434DC1"/>
    <w:rsid w:val="004417ED"/>
    <w:rsid w:val="004462D3"/>
    <w:rsid w:val="00450081"/>
    <w:rsid w:val="00450F27"/>
    <w:rsid w:val="00451921"/>
    <w:rsid w:val="00452C52"/>
    <w:rsid w:val="00460591"/>
    <w:rsid w:val="004608F7"/>
    <w:rsid w:val="00460A59"/>
    <w:rsid w:val="00461E39"/>
    <w:rsid w:val="0046284C"/>
    <w:rsid w:val="00462C37"/>
    <w:rsid w:val="00462E84"/>
    <w:rsid w:val="004630F0"/>
    <w:rsid w:val="00465C45"/>
    <w:rsid w:val="0047437A"/>
    <w:rsid w:val="00482C20"/>
    <w:rsid w:val="0048407E"/>
    <w:rsid w:val="0048543E"/>
    <w:rsid w:val="004868C1"/>
    <w:rsid w:val="00486ADA"/>
    <w:rsid w:val="0048750F"/>
    <w:rsid w:val="004910C1"/>
    <w:rsid w:val="004A495F"/>
    <w:rsid w:val="004B1086"/>
    <w:rsid w:val="004B6B0F"/>
    <w:rsid w:val="004D4074"/>
    <w:rsid w:val="004D5F99"/>
    <w:rsid w:val="004E1449"/>
    <w:rsid w:val="004E14D2"/>
    <w:rsid w:val="004E1A28"/>
    <w:rsid w:val="004E2659"/>
    <w:rsid w:val="004E39EE"/>
    <w:rsid w:val="004E461A"/>
    <w:rsid w:val="004E56E0"/>
    <w:rsid w:val="004E61D5"/>
    <w:rsid w:val="00500A72"/>
    <w:rsid w:val="005017F7"/>
    <w:rsid w:val="0050264B"/>
    <w:rsid w:val="0050264E"/>
    <w:rsid w:val="00505BFA"/>
    <w:rsid w:val="005071B4"/>
    <w:rsid w:val="00507E25"/>
    <w:rsid w:val="00510293"/>
    <w:rsid w:val="005117A9"/>
    <w:rsid w:val="00511F57"/>
    <w:rsid w:val="00514C19"/>
    <w:rsid w:val="00515CBE"/>
    <w:rsid w:val="00522A7E"/>
    <w:rsid w:val="00522F20"/>
    <w:rsid w:val="00523E78"/>
    <w:rsid w:val="005254EB"/>
    <w:rsid w:val="00525D90"/>
    <w:rsid w:val="00525DA1"/>
    <w:rsid w:val="005266CD"/>
    <w:rsid w:val="00526E70"/>
    <w:rsid w:val="00530A2E"/>
    <w:rsid w:val="00530FBE"/>
    <w:rsid w:val="00531DC9"/>
    <w:rsid w:val="0053241E"/>
    <w:rsid w:val="005338D0"/>
    <w:rsid w:val="00533B1B"/>
    <w:rsid w:val="0053489D"/>
    <w:rsid w:val="00534B6F"/>
    <w:rsid w:val="00534C89"/>
    <w:rsid w:val="00537472"/>
    <w:rsid w:val="00537772"/>
    <w:rsid w:val="00537A55"/>
    <w:rsid w:val="00541573"/>
    <w:rsid w:val="00541FC2"/>
    <w:rsid w:val="0054348A"/>
    <w:rsid w:val="00550DA1"/>
    <w:rsid w:val="005532FE"/>
    <w:rsid w:val="00554FF3"/>
    <w:rsid w:val="005550B8"/>
    <w:rsid w:val="00562FFF"/>
    <w:rsid w:val="00590557"/>
    <w:rsid w:val="00594A34"/>
    <w:rsid w:val="00596FDE"/>
    <w:rsid w:val="005A00ED"/>
    <w:rsid w:val="005A3E89"/>
    <w:rsid w:val="005C1EA6"/>
    <w:rsid w:val="005C61A8"/>
    <w:rsid w:val="005C6266"/>
    <w:rsid w:val="005D2F54"/>
    <w:rsid w:val="005D312F"/>
    <w:rsid w:val="005E010F"/>
    <w:rsid w:val="005E14BE"/>
    <w:rsid w:val="005E684A"/>
    <w:rsid w:val="005E753C"/>
    <w:rsid w:val="005F0AB1"/>
    <w:rsid w:val="006016E1"/>
    <w:rsid w:val="00601C93"/>
    <w:rsid w:val="00611096"/>
    <w:rsid w:val="00616096"/>
    <w:rsid w:val="006160A2"/>
    <w:rsid w:val="00627257"/>
    <w:rsid w:val="006302AA"/>
    <w:rsid w:val="00633CB2"/>
    <w:rsid w:val="006363BD"/>
    <w:rsid w:val="0063652F"/>
    <w:rsid w:val="00636A1B"/>
    <w:rsid w:val="006412DC"/>
    <w:rsid w:val="00642E8E"/>
    <w:rsid w:val="00644790"/>
    <w:rsid w:val="00645D9D"/>
    <w:rsid w:val="0064637E"/>
    <w:rsid w:val="00647D42"/>
    <w:rsid w:val="006501AF"/>
    <w:rsid w:val="00650DDE"/>
    <w:rsid w:val="00650FE7"/>
    <w:rsid w:val="00653BE3"/>
    <w:rsid w:val="006541B9"/>
    <w:rsid w:val="00657221"/>
    <w:rsid w:val="00657B4B"/>
    <w:rsid w:val="00666089"/>
    <w:rsid w:val="00667B83"/>
    <w:rsid w:val="006718A0"/>
    <w:rsid w:val="00672307"/>
    <w:rsid w:val="006808C6"/>
    <w:rsid w:val="00681328"/>
    <w:rsid w:val="0068180B"/>
    <w:rsid w:val="00692FF0"/>
    <w:rsid w:val="00693FBE"/>
    <w:rsid w:val="00695D85"/>
    <w:rsid w:val="00697043"/>
    <w:rsid w:val="006A0AB4"/>
    <w:rsid w:val="006A1A55"/>
    <w:rsid w:val="006A35D9"/>
    <w:rsid w:val="006A6D23"/>
    <w:rsid w:val="006A7E88"/>
    <w:rsid w:val="006C0752"/>
    <w:rsid w:val="006C1C3B"/>
    <w:rsid w:val="006C27C5"/>
    <w:rsid w:val="006C4E43"/>
    <w:rsid w:val="006C643E"/>
    <w:rsid w:val="006D0A69"/>
    <w:rsid w:val="006D4E49"/>
    <w:rsid w:val="006D5E47"/>
    <w:rsid w:val="006D6AEB"/>
    <w:rsid w:val="006E0A73"/>
    <w:rsid w:val="006E0FEE"/>
    <w:rsid w:val="006E6B8F"/>
    <w:rsid w:val="006E6C11"/>
    <w:rsid w:val="006F4E33"/>
    <w:rsid w:val="006F7C0C"/>
    <w:rsid w:val="00700705"/>
    <w:rsid w:val="00700755"/>
    <w:rsid w:val="00704EF5"/>
    <w:rsid w:val="0070646B"/>
    <w:rsid w:val="00707AFF"/>
    <w:rsid w:val="007118DF"/>
    <w:rsid w:val="00711F3B"/>
    <w:rsid w:val="007125BF"/>
    <w:rsid w:val="007130A2"/>
    <w:rsid w:val="00721A50"/>
    <w:rsid w:val="007275AA"/>
    <w:rsid w:val="007277C4"/>
    <w:rsid w:val="00730394"/>
    <w:rsid w:val="00730655"/>
    <w:rsid w:val="00731D77"/>
    <w:rsid w:val="00732360"/>
    <w:rsid w:val="00735B37"/>
    <w:rsid w:val="00736B37"/>
    <w:rsid w:val="00737D1D"/>
    <w:rsid w:val="00741D41"/>
    <w:rsid w:val="0074521E"/>
    <w:rsid w:val="007458C1"/>
    <w:rsid w:val="007473B2"/>
    <w:rsid w:val="007520B4"/>
    <w:rsid w:val="00761E60"/>
    <w:rsid w:val="007640D3"/>
    <w:rsid w:val="00767696"/>
    <w:rsid w:val="007763C1"/>
    <w:rsid w:val="00777E82"/>
    <w:rsid w:val="00781924"/>
    <w:rsid w:val="00786F97"/>
    <w:rsid w:val="00791445"/>
    <w:rsid w:val="0079219E"/>
    <w:rsid w:val="00793FFB"/>
    <w:rsid w:val="0079557E"/>
    <w:rsid w:val="007A2E4A"/>
    <w:rsid w:val="007A353C"/>
    <w:rsid w:val="007A79FD"/>
    <w:rsid w:val="007B0B9D"/>
    <w:rsid w:val="007B5A43"/>
    <w:rsid w:val="007B709B"/>
    <w:rsid w:val="007B76A8"/>
    <w:rsid w:val="007C1343"/>
    <w:rsid w:val="007C5EF1"/>
    <w:rsid w:val="007D74A4"/>
    <w:rsid w:val="007D75E5"/>
    <w:rsid w:val="007D773E"/>
    <w:rsid w:val="007E066E"/>
    <w:rsid w:val="007E0AFC"/>
    <w:rsid w:val="007E1356"/>
    <w:rsid w:val="007E20FC"/>
    <w:rsid w:val="007E7E73"/>
    <w:rsid w:val="007F0E1E"/>
    <w:rsid w:val="007F29A7"/>
    <w:rsid w:val="00816078"/>
    <w:rsid w:val="0081690C"/>
    <w:rsid w:val="00823AA9"/>
    <w:rsid w:val="008249F8"/>
    <w:rsid w:val="00827324"/>
    <w:rsid w:val="00833D30"/>
    <w:rsid w:val="00847A53"/>
    <w:rsid w:val="00850C75"/>
    <w:rsid w:val="00850E39"/>
    <w:rsid w:val="00855173"/>
    <w:rsid w:val="008551CE"/>
    <w:rsid w:val="008557D9"/>
    <w:rsid w:val="008635FB"/>
    <w:rsid w:val="00865772"/>
    <w:rsid w:val="0086659D"/>
    <w:rsid w:val="00874096"/>
    <w:rsid w:val="00874C16"/>
    <w:rsid w:val="00886D1F"/>
    <w:rsid w:val="00891EE1"/>
    <w:rsid w:val="00893987"/>
    <w:rsid w:val="00893D80"/>
    <w:rsid w:val="00895D4B"/>
    <w:rsid w:val="008978DB"/>
    <w:rsid w:val="008A63A2"/>
    <w:rsid w:val="008A7E64"/>
    <w:rsid w:val="008B5AE7"/>
    <w:rsid w:val="008C1DD6"/>
    <w:rsid w:val="008C60E9"/>
    <w:rsid w:val="008D1B7C"/>
    <w:rsid w:val="008D4925"/>
    <w:rsid w:val="008D6657"/>
    <w:rsid w:val="008E1F60"/>
    <w:rsid w:val="008F46D3"/>
    <w:rsid w:val="008F4A98"/>
    <w:rsid w:val="008F6056"/>
    <w:rsid w:val="008F7F3A"/>
    <w:rsid w:val="0090296A"/>
    <w:rsid w:val="00902C07"/>
    <w:rsid w:val="00905804"/>
    <w:rsid w:val="009101E2"/>
    <w:rsid w:val="00914C86"/>
    <w:rsid w:val="00916077"/>
    <w:rsid w:val="00916F18"/>
    <w:rsid w:val="009170A2"/>
    <w:rsid w:val="009208A6"/>
    <w:rsid w:val="00924514"/>
    <w:rsid w:val="00924605"/>
    <w:rsid w:val="00924D02"/>
    <w:rsid w:val="00927316"/>
    <w:rsid w:val="00935D43"/>
    <w:rsid w:val="00937065"/>
    <w:rsid w:val="00940285"/>
    <w:rsid w:val="009413A6"/>
    <w:rsid w:val="009424A2"/>
    <w:rsid w:val="00950F4E"/>
    <w:rsid w:val="0095139A"/>
    <w:rsid w:val="009521A8"/>
    <w:rsid w:val="00953E16"/>
    <w:rsid w:val="009542AC"/>
    <w:rsid w:val="0095462B"/>
    <w:rsid w:val="00954DC8"/>
    <w:rsid w:val="009638D6"/>
    <w:rsid w:val="00967220"/>
    <w:rsid w:val="0096778C"/>
    <w:rsid w:val="00974BB2"/>
    <w:rsid w:val="00974FA7"/>
    <w:rsid w:val="009756E5"/>
    <w:rsid w:val="00977A8C"/>
    <w:rsid w:val="00981696"/>
    <w:rsid w:val="00983910"/>
    <w:rsid w:val="0098641C"/>
    <w:rsid w:val="009917F4"/>
    <w:rsid w:val="009930C0"/>
    <w:rsid w:val="009967F3"/>
    <w:rsid w:val="00997700"/>
    <w:rsid w:val="009A2C82"/>
    <w:rsid w:val="009A2F18"/>
    <w:rsid w:val="009A4128"/>
    <w:rsid w:val="009A557E"/>
    <w:rsid w:val="009A68E6"/>
    <w:rsid w:val="009A69FF"/>
    <w:rsid w:val="009A7723"/>
    <w:rsid w:val="009B06C8"/>
    <w:rsid w:val="009B3D20"/>
    <w:rsid w:val="009B71E9"/>
    <w:rsid w:val="009C0727"/>
    <w:rsid w:val="009C156E"/>
    <w:rsid w:val="009C3311"/>
    <w:rsid w:val="009D3385"/>
    <w:rsid w:val="009E16A9"/>
    <w:rsid w:val="009E375F"/>
    <w:rsid w:val="009E5401"/>
    <w:rsid w:val="009F6B6B"/>
    <w:rsid w:val="00A05626"/>
    <w:rsid w:val="00A139F7"/>
    <w:rsid w:val="00A1570A"/>
    <w:rsid w:val="00A15A4A"/>
    <w:rsid w:val="00A2081D"/>
    <w:rsid w:val="00A211B4"/>
    <w:rsid w:val="00A2776C"/>
    <w:rsid w:val="00A27EC6"/>
    <w:rsid w:val="00A3271C"/>
    <w:rsid w:val="00A32C19"/>
    <w:rsid w:val="00A33C58"/>
    <w:rsid w:val="00A34547"/>
    <w:rsid w:val="00A35A51"/>
    <w:rsid w:val="00A3624C"/>
    <w:rsid w:val="00A41BF5"/>
    <w:rsid w:val="00A44B51"/>
    <w:rsid w:val="00A454EB"/>
    <w:rsid w:val="00A469E7"/>
    <w:rsid w:val="00A504A8"/>
    <w:rsid w:val="00A51516"/>
    <w:rsid w:val="00A53D5E"/>
    <w:rsid w:val="00A601B0"/>
    <w:rsid w:val="00A62EC5"/>
    <w:rsid w:val="00A66ADC"/>
    <w:rsid w:val="00A7008F"/>
    <w:rsid w:val="00A73BC0"/>
    <w:rsid w:val="00A77FB0"/>
    <w:rsid w:val="00A81B15"/>
    <w:rsid w:val="00A82296"/>
    <w:rsid w:val="00A84DC8"/>
    <w:rsid w:val="00A851A9"/>
    <w:rsid w:val="00A85DBC"/>
    <w:rsid w:val="00A927E5"/>
    <w:rsid w:val="00A9420E"/>
    <w:rsid w:val="00A96986"/>
    <w:rsid w:val="00A96AB4"/>
    <w:rsid w:val="00A97648"/>
    <w:rsid w:val="00AA03EF"/>
    <w:rsid w:val="00AB40EF"/>
    <w:rsid w:val="00AC1DD4"/>
    <w:rsid w:val="00AC4FA2"/>
    <w:rsid w:val="00AC6D6B"/>
    <w:rsid w:val="00AD0D14"/>
    <w:rsid w:val="00AD5C9A"/>
    <w:rsid w:val="00AD5E60"/>
    <w:rsid w:val="00AD7736"/>
    <w:rsid w:val="00AE3F64"/>
    <w:rsid w:val="00AE7868"/>
    <w:rsid w:val="00AE7DFF"/>
    <w:rsid w:val="00AF0407"/>
    <w:rsid w:val="00B01DD7"/>
    <w:rsid w:val="00B030E3"/>
    <w:rsid w:val="00B04835"/>
    <w:rsid w:val="00B06943"/>
    <w:rsid w:val="00B163F8"/>
    <w:rsid w:val="00B2472D"/>
    <w:rsid w:val="00B2549F"/>
    <w:rsid w:val="00B3178B"/>
    <w:rsid w:val="00B554D6"/>
    <w:rsid w:val="00B555DD"/>
    <w:rsid w:val="00B55C86"/>
    <w:rsid w:val="00B57265"/>
    <w:rsid w:val="00B633AE"/>
    <w:rsid w:val="00B63C32"/>
    <w:rsid w:val="00B665D2"/>
    <w:rsid w:val="00B6737C"/>
    <w:rsid w:val="00B675EA"/>
    <w:rsid w:val="00B7214D"/>
    <w:rsid w:val="00B724AE"/>
    <w:rsid w:val="00B758A7"/>
    <w:rsid w:val="00B8095F"/>
    <w:rsid w:val="00B80B11"/>
    <w:rsid w:val="00B82191"/>
    <w:rsid w:val="00B828C3"/>
    <w:rsid w:val="00B8446C"/>
    <w:rsid w:val="00B87725"/>
    <w:rsid w:val="00B962FE"/>
    <w:rsid w:val="00BA00CE"/>
    <w:rsid w:val="00BA1707"/>
    <w:rsid w:val="00BA259A"/>
    <w:rsid w:val="00BA29D3"/>
    <w:rsid w:val="00BA307F"/>
    <w:rsid w:val="00BA5280"/>
    <w:rsid w:val="00BB14F1"/>
    <w:rsid w:val="00BB1D98"/>
    <w:rsid w:val="00BB27F3"/>
    <w:rsid w:val="00BB53CD"/>
    <w:rsid w:val="00BB572E"/>
    <w:rsid w:val="00BB6280"/>
    <w:rsid w:val="00BB74FD"/>
    <w:rsid w:val="00BC12AA"/>
    <w:rsid w:val="00BC3572"/>
    <w:rsid w:val="00BC5982"/>
    <w:rsid w:val="00BD275C"/>
    <w:rsid w:val="00BD2CC8"/>
    <w:rsid w:val="00BD3B84"/>
    <w:rsid w:val="00BD5C4D"/>
    <w:rsid w:val="00BD6404"/>
    <w:rsid w:val="00BE140A"/>
    <w:rsid w:val="00BE33AE"/>
    <w:rsid w:val="00BE6EE3"/>
    <w:rsid w:val="00BF046F"/>
    <w:rsid w:val="00BF45D0"/>
    <w:rsid w:val="00C018B2"/>
    <w:rsid w:val="00C01B4B"/>
    <w:rsid w:val="00C01D50"/>
    <w:rsid w:val="00C03C8B"/>
    <w:rsid w:val="00C056DC"/>
    <w:rsid w:val="00C06169"/>
    <w:rsid w:val="00C15305"/>
    <w:rsid w:val="00C2235F"/>
    <w:rsid w:val="00C31283"/>
    <w:rsid w:val="00C340E5"/>
    <w:rsid w:val="00C35435"/>
    <w:rsid w:val="00C35818"/>
    <w:rsid w:val="00C42542"/>
    <w:rsid w:val="00C43DAB"/>
    <w:rsid w:val="00C5739F"/>
    <w:rsid w:val="00C57CF0"/>
    <w:rsid w:val="00C65891"/>
    <w:rsid w:val="00C71731"/>
    <w:rsid w:val="00C724D3"/>
    <w:rsid w:val="00C74081"/>
    <w:rsid w:val="00C77DD9"/>
    <w:rsid w:val="00C85354"/>
    <w:rsid w:val="00C92A57"/>
    <w:rsid w:val="00C943F3"/>
    <w:rsid w:val="00C95A67"/>
    <w:rsid w:val="00C95BDB"/>
    <w:rsid w:val="00C95E0D"/>
    <w:rsid w:val="00CA2729"/>
    <w:rsid w:val="00CA3057"/>
    <w:rsid w:val="00CA4436"/>
    <w:rsid w:val="00CB3594"/>
    <w:rsid w:val="00CB6578"/>
    <w:rsid w:val="00CB72BD"/>
    <w:rsid w:val="00CB7B98"/>
    <w:rsid w:val="00CC25B4"/>
    <w:rsid w:val="00CC69C8"/>
    <w:rsid w:val="00CC77A2"/>
    <w:rsid w:val="00CD10D9"/>
    <w:rsid w:val="00CD614E"/>
    <w:rsid w:val="00CD6A1B"/>
    <w:rsid w:val="00CD7FAB"/>
    <w:rsid w:val="00CE0873"/>
    <w:rsid w:val="00CE0A7F"/>
    <w:rsid w:val="00CE1718"/>
    <w:rsid w:val="00CE3B13"/>
    <w:rsid w:val="00CE3DA1"/>
    <w:rsid w:val="00CE4EC5"/>
    <w:rsid w:val="00CF4156"/>
    <w:rsid w:val="00D00FAA"/>
    <w:rsid w:val="00D0102A"/>
    <w:rsid w:val="00D01594"/>
    <w:rsid w:val="00D03D00"/>
    <w:rsid w:val="00D06BEA"/>
    <w:rsid w:val="00D11359"/>
    <w:rsid w:val="00D12B99"/>
    <w:rsid w:val="00D179CC"/>
    <w:rsid w:val="00D20615"/>
    <w:rsid w:val="00D3188C"/>
    <w:rsid w:val="00D35C60"/>
    <w:rsid w:val="00D35E2B"/>
    <w:rsid w:val="00D35F9B"/>
    <w:rsid w:val="00D408DD"/>
    <w:rsid w:val="00D41A57"/>
    <w:rsid w:val="00D43B25"/>
    <w:rsid w:val="00D45D72"/>
    <w:rsid w:val="00D45F7D"/>
    <w:rsid w:val="00D520E4"/>
    <w:rsid w:val="00D57DFA"/>
    <w:rsid w:val="00D709CE"/>
    <w:rsid w:val="00D71F73"/>
    <w:rsid w:val="00D77C20"/>
    <w:rsid w:val="00D81CAB"/>
    <w:rsid w:val="00D820C7"/>
    <w:rsid w:val="00D83DD6"/>
    <w:rsid w:val="00D8576F"/>
    <w:rsid w:val="00D9105A"/>
    <w:rsid w:val="00D93291"/>
    <w:rsid w:val="00D97F0C"/>
    <w:rsid w:val="00DA1986"/>
    <w:rsid w:val="00DA2610"/>
    <w:rsid w:val="00DA2824"/>
    <w:rsid w:val="00DA3A86"/>
    <w:rsid w:val="00DA5888"/>
    <w:rsid w:val="00DA791F"/>
    <w:rsid w:val="00DB140E"/>
    <w:rsid w:val="00DC513C"/>
    <w:rsid w:val="00DC5619"/>
    <w:rsid w:val="00DC77DC"/>
    <w:rsid w:val="00DD0C2C"/>
    <w:rsid w:val="00DE2CD9"/>
    <w:rsid w:val="00DE3843"/>
    <w:rsid w:val="00DE3D1C"/>
    <w:rsid w:val="00DF756E"/>
    <w:rsid w:val="00DF78FA"/>
    <w:rsid w:val="00E0022A"/>
    <w:rsid w:val="00E0783F"/>
    <w:rsid w:val="00E1713D"/>
    <w:rsid w:val="00E171EA"/>
    <w:rsid w:val="00E20A43"/>
    <w:rsid w:val="00E23898"/>
    <w:rsid w:val="00E24BF8"/>
    <w:rsid w:val="00E250E5"/>
    <w:rsid w:val="00E2792A"/>
    <w:rsid w:val="00E321E8"/>
    <w:rsid w:val="00E33CD2"/>
    <w:rsid w:val="00E349A1"/>
    <w:rsid w:val="00E40E90"/>
    <w:rsid w:val="00E459AC"/>
    <w:rsid w:val="00E504AB"/>
    <w:rsid w:val="00E531EB"/>
    <w:rsid w:val="00E54874"/>
    <w:rsid w:val="00E54B6F"/>
    <w:rsid w:val="00E559DE"/>
    <w:rsid w:val="00E55ACA"/>
    <w:rsid w:val="00E579BF"/>
    <w:rsid w:val="00E57B74"/>
    <w:rsid w:val="00E62D96"/>
    <w:rsid w:val="00E661FF"/>
    <w:rsid w:val="00E67AA2"/>
    <w:rsid w:val="00E735DF"/>
    <w:rsid w:val="00E80657"/>
    <w:rsid w:val="00E824C3"/>
    <w:rsid w:val="00E840B3"/>
    <w:rsid w:val="00E84675"/>
    <w:rsid w:val="00E852B2"/>
    <w:rsid w:val="00E8629F"/>
    <w:rsid w:val="00E90264"/>
    <w:rsid w:val="00E943D5"/>
    <w:rsid w:val="00EA1111"/>
    <w:rsid w:val="00EA3B4F"/>
    <w:rsid w:val="00EA3C24"/>
    <w:rsid w:val="00EA73DF"/>
    <w:rsid w:val="00EA77EC"/>
    <w:rsid w:val="00EB44C8"/>
    <w:rsid w:val="00EB61AE"/>
    <w:rsid w:val="00EC0B06"/>
    <w:rsid w:val="00EC2BD7"/>
    <w:rsid w:val="00EC5F39"/>
    <w:rsid w:val="00ED1315"/>
    <w:rsid w:val="00EE0C86"/>
    <w:rsid w:val="00EE39D2"/>
    <w:rsid w:val="00EE47C4"/>
    <w:rsid w:val="00EE614E"/>
    <w:rsid w:val="00EF050F"/>
    <w:rsid w:val="00EF124E"/>
    <w:rsid w:val="00EF4631"/>
    <w:rsid w:val="00EF676F"/>
    <w:rsid w:val="00F0156F"/>
    <w:rsid w:val="00F05AC8"/>
    <w:rsid w:val="00F07167"/>
    <w:rsid w:val="00F072D8"/>
    <w:rsid w:val="00F13D05"/>
    <w:rsid w:val="00F1679D"/>
    <w:rsid w:val="00F1682C"/>
    <w:rsid w:val="00F16DC4"/>
    <w:rsid w:val="00F24B8B"/>
    <w:rsid w:val="00F25A52"/>
    <w:rsid w:val="00F30D2E"/>
    <w:rsid w:val="00F31A2E"/>
    <w:rsid w:val="00F323E8"/>
    <w:rsid w:val="00F35790"/>
    <w:rsid w:val="00F4136D"/>
    <w:rsid w:val="00F4212E"/>
    <w:rsid w:val="00F42C20"/>
    <w:rsid w:val="00F43E34"/>
    <w:rsid w:val="00F4520E"/>
    <w:rsid w:val="00F519DD"/>
    <w:rsid w:val="00F56068"/>
    <w:rsid w:val="00F65582"/>
    <w:rsid w:val="00F66E75"/>
    <w:rsid w:val="00F77EB0"/>
    <w:rsid w:val="00F80E7B"/>
    <w:rsid w:val="00F8160B"/>
    <w:rsid w:val="00F82256"/>
    <w:rsid w:val="00F87CDD"/>
    <w:rsid w:val="00F913F8"/>
    <w:rsid w:val="00F919BE"/>
    <w:rsid w:val="00F933F0"/>
    <w:rsid w:val="00F94715"/>
    <w:rsid w:val="00F97948"/>
    <w:rsid w:val="00FA0DA1"/>
    <w:rsid w:val="00FA2D00"/>
    <w:rsid w:val="00FA4718"/>
    <w:rsid w:val="00FA6EB6"/>
    <w:rsid w:val="00FA7114"/>
    <w:rsid w:val="00FA7F3D"/>
    <w:rsid w:val="00FB0377"/>
    <w:rsid w:val="00FB090E"/>
    <w:rsid w:val="00FC051F"/>
    <w:rsid w:val="00FC0F1E"/>
    <w:rsid w:val="00FD0694"/>
    <w:rsid w:val="00FD25BE"/>
    <w:rsid w:val="00FD2E70"/>
    <w:rsid w:val="00FD396A"/>
    <w:rsid w:val="00FF1AA5"/>
    <w:rsid w:val="00FF1FCB"/>
    <w:rsid w:val="00FF52D4"/>
    <w:rsid w:val="00FF5F35"/>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Typewriter"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521A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styleId="ListParagraph">
    <w:name w:val="List Paragraph"/>
    <w:basedOn w:val="Normal"/>
    <w:uiPriority w:val="34"/>
    <w:qFormat/>
    <w:rsid w:val="00FB0377"/>
    <w:pPr>
      <w:ind w:left="720"/>
      <w:contextualSpacing/>
    </w:pPr>
  </w:style>
  <w:style w:type="table" w:styleId="TableGrid">
    <w:name w:val="Table Grid"/>
    <w:basedOn w:val="TableNormal"/>
    <w:rsid w:val="007B76A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2449493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AACE0-8C79-4600-8510-35CBB51507A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47DFC17-7B3C-48EF-93AA-FE8EAB1B05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CDE871-BD03-49E0-9085-ABA30EACAEB1}">
  <ds:schemaRefs>
    <ds:schemaRef ds:uri="http://schemas.microsoft.com/sharepoint/v3/contenttype/forms"/>
  </ds:schemaRefs>
</ds:datastoreItem>
</file>

<file path=customXml/itemProps4.xml><?xml version="1.0" encoding="utf-8"?>
<ds:datastoreItem xmlns:ds="http://schemas.openxmlformats.org/officeDocument/2006/customXml" ds:itemID="{B78D6AE7-5F78-4F29-A953-DDAAE85BE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1329</TotalTime>
  <Pages>3</Pages>
  <Words>961</Words>
  <Characters>5484</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6433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Bill Shvodian</cp:lastModifiedBy>
  <cp:revision>115</cp:revision>
  <dcterms:created xsi:type="dcterms:W3CDTF">2020-02-23T02:53:00Z</dcterms:created>
  <dcterms:modified xsi:type="dcterms:W3CDTF">2020-02-24T03:18:00Z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0x010100121FAAE6814C364684C4BC789BD59661</vt:lpwstr>
  </property>
</Properties>
</file>