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bookmarkStart w:id="2" w:name="_GoBack"/>
      <w:bookmarkEnd w:id="2"/>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val="en-FI" w:eastAsia="en-GB"/>
              </w:rPr>
            </w:pPr>
            <w:r w:rsidRPr="00AE20A3">
              <w:rPr>
                <w:rFonts w:ascii="Arial" w:eastAsia="Times New Roman" w:hAnsi="Arial" w:cs="Arial"/>
                <w:b/>
                <w:bCs/>
                <w:color w:val="FFFFFF"/>
                <w:sz w:val="18"/>
                <w:szCs w:val="18"/>
                <w:lang w:val="en-FI"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val="en-FI" w:eastAsia="en-GB"/>
              </w:rPr>
            </w:pPr>
            <w:r w:rsidRPr="00AE20A3">
              <w:rPr>
                <w:rFonts w:ascii="Arial" w:eastAsia="Times New Roman" w:hAnsi="Arial" w:cs="Arial"/>
                <w:b/>
                <w:bCs/>
                <w:color w:val="FFFFFF"/>
                <w:sz w:val="18"/>
                <w:szCs w:val="18"/>
                <w:lang w:val="en-FI"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val="en-FI" w:eastAsia="en-GB"/>
              </w:rPr>
            </w:pPr>
            <w:r w:rsidRPr="00AE20A3">
              <w:rPr>
                <w:rFonts w:ascii="Arial" w:eastAsia="Times New Roman" w:hAnsi="Arial" w:cs="Arial"/>
                <w:b/>
                <w:bCs/>
                <w:color w:val="FFFFFF"/>
                <w:sz w:val="18"/>
                <w:szCs w:val="18"/>
                <w:lang w:val="en-FI"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val="en-FI" w:eastAsia="en-GB"/>
              </w:rPr>
            </w:pPr>
            <w:r w:rsidRPr="00AE20A3">
              <w:rPr>
                <w:rFonts w:ascii="Arial" w:eastAsia="Times New Roman" w:hAnsi="Arial" w:cs="Arial"/>
                <w:b/>
                <w:bCs/>
                <w:color w:val="FFFFFF"/>
                <w:sz w:val="18"/>
                <w:szCs w:val="18"/>
                <w:lang w:val="en-FI"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9" w:history="1">
              <w:r w:rsidR="00AE20A3" w:rsidRPr="00AE20A3">
                <w:rPr>
                  <w:rFonts w:ascii="Arial" w:eastAsia="Times New Roman" w:hAnsi="Arial" w:cs="Arial"/>
                  <w:b/>
                  <w:bCs/>
                  <w:color w:val="0000FF"/>
                  <w:sz w:val="16"/>
                  <w:szCs w:val="16"/>
                  <w:u w:val="single"/>
                  <w:lang w:val="en-FI"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0" w:history="1">
              <w:r w:rsidR="00AE20A3" w:rsidRPr="00AE20A3">
                <w:rPr>
                  <w:rFonts w:ascii="Arial" w:eastAsia="Times New Roman" w:hAnsi="Arial" w:cs="Arial"/>
                  <w:b/>
                  <w:bCs/>
                  <w:color w:val="0000FF"/>
                  <w:sz w:val="16"/>
                  <w:szCs w:val="16"/>
                  <w:u w:val="single"/>
                  <w:lang w:val="en-FI"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1" w:history="1">
              <w:r w:rsidR="00AE20A3" w:rsidRPr="00AE20A3">
                <w:rPr>
                  <w:rFonts w:ascii="Arial" w:eastAsia="Times New Roman" w:hAnsi="Arial" w:cs="Arial"/>
                  <w:b/>
                  <w:bCs/>
                  <w:color w:val="0000FF"/>
                  <w:sz w:val="16"/>
                  <w:szCs w:val="16"/>
                  <w:u w:val="single"/>
                  <w:lang w:val="en-FI"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2" w:history="1">
              <w:r w:rsidR="00AE20A3" w:rsidRPr="00AE20A3">
                <w:rPr>
                  <w:rFonts w:ascii="Arial" w:eastAsia="Times New Roman" w:hAnsi="Arial" w:cs="Arial"/>
                  <w:b/>
                  <w:bCs/>
                  <w:color w:val="0000FF"/>
                  <w:sz w:val="16"/>
                  <w:szCs w:val="16"/>
                  <w:u w:val="single"/>
                  <w:lang w:val="en-FI"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3" w:history="1">
              <w:r w:rsidR="00AE20A3" w:rsidRPr="00AE20A3">
                <w:rPr>
                  <w:rFonts w:ascii="Arial" w:eastAsia="Times New Roman" w:hAnsi="Arial" w:cs="Arial"/>
                  <w:b/>
                  <w:bCs/>
                  <w:color w:val="0000FF"/>
                  <w:sz w:val="16"/>
                  <w:szCs w:val="16"/>
                  <w:u w:val="single"/>
                  <w:lang w:val="en-FI"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4" w:history="1">
              <w:r w:rsidR="00AE20A3" w:rsidRPr="00AE20A3">
                <w:rPr>
                  <w:rFonts w:ascii="Arial" w:eastAsia="Times New Roman" w:hAnsi="Arial" w:cs="Arial"/>
                  <w:b/>
                  <w:bCs/>
                  <w:color w:val="0000FF"/>
                  <w:sz w:val="16"/>
                  <w:szCs w:val="16"/>
                  <w:u w:val="single"/>
                  <w:lang w:val="en-FI"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5" w:history="1">
              <w:r w:rsidR="00AE20A3" w:rsidRPr="00AE20A3">
                <w:rPr>
                  <w:rFonts w:ascii="Arial" w:eastAsia="Times New Roman" w:hAnsi="Arial" w:cs="Arial"/>
                  <w:b/>
                  <w:bCs/>
                  <w:color w:val="0000FF"/>
                  <w:sz w:val="16"/>
                  <w:szCs w:val="16"/>
                  <w:u w:val="single"/>
                  <w:lang w:val="en-FI"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6" w:history="1">
              <w:r w:rsidR="00AE20A3" w:rsidRPr="00AE20A3">
                <w:rPr>
                  <w:rFonts w:ascii="Arial" w:eastAsia="Times New Roman" w:hAnsi="Arial" w:cs="Arial"/>
                  <w:b/>
                  <w:bCs/>
                  <w:color w:val="0000FF"/>
                  <w:sz w:val="16"/>
                  <w:szCs w:val="16"/>
                  <w:u w:val="single"/>
                  <w:lang w:val="en-FI"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7" w:history="1">
              <w:r w:rsidR="00AE20A3" w:rsidRPr="00AE20A3">
                <w:rPr>
                  <w:rFonts w:ascii="Arial" w:eastAsia="Times New Roman" w:hAnsi="Arial" w:cs="Arial"/>
                  <w:b/>
                  <w:bCs/>
                  <w:color w:val="0000FF"/>
                  <w:sz w:val="16"/>
                  <w:szCs w:val="16"/>
                  <w:u w:val="single"/>
                  <w:lang w:val="en-FI"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8" w:history="1">
              <w:r w:rsidR="00AE20A3" w:rsidRPr="00AE20A3">
                <w:rPr>
                  <w:rFonts w:ascii="Arial" w:eastAsia="Times New Roman" w:hAnsi="Arial" w:cs="Arial"/>
                  <w:b/>
                  <w:bCs/>
                  <w:color w:val="0000FF"/>
                  <w:sz w:val="16"/>
                  <w:szCs w:val="16"/>
                  <w:u w:val="single"/>
                  <w:lang w:val="en-FI"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19" w:history="1">
              <w:r w:rsidR="00AE20A3" w:rsidRPr="00AE20A3">
                <w:rPr>
                  <w:rFonts w:ascii="Arial" w:eastAsia="Times New Roman" w:hAnsi="Arial" w:cs="Arial"/>
                  <w:b/>
                  <w:bCs/>
                  <w:color w:val="0000FF"/>
                  <w:sz w:val="16"/>
                  <w:szCs w:val="16"/>
                  <w:u w:val="single"/>
                  <w:lang w:val="en-FI"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840F79" w:rsidP="00AE20A3">
            <w:pPr>
              <w:spacing w:after="0"/>
              <w:rPr>
                <w:rFonts w:ascii="Arial" w:eastAsia="Times New Roman" w:hAnsi="Arial" w:cs="Arial"/>
                <w:b/>
                <w:bCs/>
                <w:color w:val="0000FF"/>
                <w:sz w:val="16"/>
                <w:szCs w:val="16"/>
                <w:u w:val="single"/>
                <w:lang w:val="en-FI" w:eastAsia="en-GB"/>
              </w:rPr>
            </w:pPr>
            <w:hyperlink r:id="rId20" w:history="1">
              <w:r w:rsidR="00AE20A3" w:rsidRPr="00AE20A3">
                <w:rPr>
                  <w:rFonts w:ascii="Arial" w:eastAsia="Times New Roman" w:hAnsi="Arial" w:cs="Arial"/>
                  <w:b/>
                  <w:bCs/>
                  <w:color w:val="0000FF"/>
                  <w:sz w:val="16"/>
                  <w:szCs w:val="16"/>
                  <w:u w:val="single"/>
                  <w:lang w:val="en-FI"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840F79" w:rsidP="007338BE">
            <w:pPr>
              <w:spacing w:after="0"/>
              <w:rPr>
                <w:rFonts w:ascii="Arial" w:eastAsia="Times New Roman" w:hAnsi="Arial" w:cs="Arial"/>
                <w:b/>
                <w:bCs/>
                <w:color w:val="0000FF"/>
                <w:sz w:val="16"/>
                <w:szCs w:val="16"/>
                <w:u w:val="single"/>
                <w:lang w:val="en-FI" w:eastAsia="en-GB"/>
              </w:rPr>
            </w:pPr>
            <w:hyperlink r:id="rId21" w:history="1">
              <w:r w:rsidR="007338BE" w:rsidRPr="00AE20A3">
                <w:rPr>
                  <w:rStyle w:val="Hyperlink"/>
                  <w:rFonts w:ascii="Arial" w:eastAsia="Times New Roman" w:hAnsi="Arial" w:cs="Arial"/>
                  <w:b/>
                  <w:bCs/>
                  <w:sz w:val="16"/>
                  <w:szCs w:val="16"/>
                  <w:lang w:val="en-FI"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840F79" w:rsidP="007338BE">
            <w:pPr>
              <w:spacing w:after="0"/>
              <w:rPr>
                <w:rFonts w:ascii="Arial" w:eastAsia="Times New Roman" w:hAnsi="Arial" w:cs="Arial"/>
                <w:b/>
                <w:bCs/>
                <w:color w:val="0000FF"/>
                <w:sz w:val="16"/>
                <w:szCs w:val="16"/>
                <w:u w:val="single"/>
                <w:lang w:val="en-FI" w:eastAsia="en-GB"/>
              </w:rPr>
            </w:pPr>
            <w:hyperlink r:id="rId22" w:history="1">
              <w:r w:rsidR="007338BE" w:rsidRPr="00AE20A3">
                <w:rPr>
                  <w:rStyle w:val="Hyperlink"/>
                  <w:rFonts w:ascii="Arial" w:eastAsia="Times New Roman" w:hAnsi="Arial" w:cs="Arial"/>
                  <w:b/>
                  <w:bCs/>
                  <w:sz w:val="16"/>
                  <w:szCs w:val="16"/>
                  <w:lang w:val="en-FI"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val="en-FI" w:eastAsia="en-GB"/>
              </w:rPr>
            </w:pPr>
            <w:r w:rsidRPr="00AE20A3">
              <w:rPr>
                <w:rFonts w:ascii="Arial" w:eastAsia="Times New Roman" w:hAnsi="Arial" w:cs="Arial"/>
                <w:b/>
                <w:bCs/>
                <w:color w:val="0000FF"/>
                <w:sz w:val="16"/>
                <w:szCs w:val="16"/>
                <w:u w:val="single"/>
                <w:lang w:val="en-FI"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val="en-FI" w:eastAsia="en-GB"/>
              </w:rPr>
            </w:pPr>
            <w:r w:rsidRPr="00AE20A3">
              <w:rPr>
                <w:rFonts w:ascii="Arial" w:eastAsia="Times New Roman" w:hAnsi="Arial" w:cs="Arial"/>
                <w:sz w:val="16"/>
                <w:szCs w:val="16"/>
                <w:lang w:val="en-FI"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val="en-FI"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val="en-FI"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val="en-FI"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r w:rsidR="0083658B" w:rsidRPr="00AE20A3">
        <w:rPr>
          <w:lang w:val="en-FI"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val="en-FI"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lastRenderedPageBreak/>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0C859B" w14:textId="77777777" w:rsidR="0093556A" w:rsidRDefault="0093556A"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D6E6346" w14:textId="77777777" w:rsidR="0093556A" w:rsidRDefault="0093556A"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EE357B5" w14:textId="77777777" w:rsidR="0093556A" w:rsidRDefault="0093556A"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A8AE72"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r w:rsidR="000A5176" w:rsidRPr="000A5176">
        <w:rPr>
          <w:lang w:val="en-FI"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r w:rsidR="00605105" w:rsidRPr="00605105">
        <w:rPr>
          <w:lang w:val="en-FI"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val="en-FI"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val="en-FI" w:eastAsia="en-GB"/>
              </w:rPr>
              <w:t xml:space="preserve"> This is agreed in </w:t>
            </w:r>
            <w:r w:rsidR="002541E2" w:rsidRPr="00310009">
              <w:rPr>
                <w:lang w:val="en-FI" w:eastAsia="en-GB"/>
              </w:rPr>
              <w:t>R4-1906307</w:t>
            </w:r>
            <w:r w:rsidR="002541E2">
              <w:rPr>
                <w:lang w:val="en-FI" w:eastAsia="en-GB"/>
              </w:rPr>
              <w:t xml:space="preserve"> at RAN4#91 and </w:t>
            </w:r>
            <w:r w:rsidR="002541E2" w:rsidRPr="00714B81">
              <w:rPr>
                <w:lang w:val="en-FI" w:eastAsia="en-GB"/>
              </w:rPr>
              <w:t>RP-191244</w:t>
            </w:r>
            <w:r w:rsidR="002541E2">
              <w:rPr>
                <w:lang w:val="en-FI"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val="en-FI"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lastRenderedPageBreak/>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lastRenderedPageBreak/>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val="en-FI" w:eastAsia="ja-JP"/>
        </w:rPr>
        <w:t xml:space="preserve">CR for </w:t>
      </w:r>
      <w:proofErr w:type="gramStart"/>
      <w:r w:rsidR="00AF6239" w:rsidRPr="00AF6239">
        <w:rPr>
          <w:lang w:val="en-FI" w:eastAsia="ja-JP"/>
        </w:rPr>
        <w:t>38.101</w:t>
      </w:r>
      <w:proofErr w:type="gramEnd"/>
      <w:r w:rsidR="00AF6239" w:rsidRPr="00AF6239">
        <w:rPr>
          <w:lang w:val="en-FI" w:eastAsia="ja-JP"/>
        </w:rPr>
        <w:t>-1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r w:rsidR="008E110E" w:rsidRPr="008E110E">
        <w:rPr>
          <w:lang w:val="en-FI"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lastRenderedPageBreak/>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val="en-FI" w:eastAsia="ja-JP"/>
        </w:rPr>
        <w:t xml:space="preserve">Missing Pcmax tolerance for </w:t>
      </w:r>
      <w:proofErr w:type="gramStart"/>
      <w:r w:rsidR="009D2B5F" w:rsidRPr="009D2B5F">
        <w:rPr>
          <w:lang w:val="en-FI" w:eastAsia="ja-JP"/>
        </w:rPr>
        <w:t>23-33</w:t>
      </w:r>
      <w:proofErr w:type="gramEnd"/>
      <w:r w:rsidR="009D2B5F" w:rsidRPr="009D2B5F">
        <w:rPr>
          <w:lang w:val="en-FI" w:eastAsia="ja-JP"/>
        </w:rPr>
        <w:t xml:space="preserve">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lastRenderedPageBreak/>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980F" w14:textId="77777777" w:rsidR="00840F79" w:rsidRDefault="00840F79">
      <w:r>
        <w:separator/>
      </w:r>
    </w:p>
  </w:endnote>
  <w:endnote w:type="continuationSeparator" w:id="0">
    <w:p w14:paraId="55A8E088" w14:textId="77777777" w:rsidR="00840F79" w:rsidRDefault="008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8176" w14:textId="77777777" w:rsidR="00840F79" w:rsidRDefault="00840F79">
      <w:r>
        <w:separator/>
      </w:r>
    </w:p>
  </w:footnote>
  <w:footnote w:type="continuationSeparator" w:id="0">
    <w:p w14:paraId="0CA2D32B" w14:textId="77777777" w:rsidR="00840F79" w:rsidRDefault="0084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308DB"/>
    <w:rsid w:val="00530A2E"/>
    <w:rsid w:val="00530FBE"/>
    <w:rsid w:val="005339DB"/>
    <w:rsid w:val="00534C89"/>
    <w:rsid w:val="00541573"/>
    <w:rsid w:val="0054348A"/>
    <w:rsid w:val="00571777"/>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56DC"/>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62AB-15D3-8447-8C38-A41AF6A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33</Pages>
  <Words>5725</Words>
  <Characters>32638</Characters>
  <Application>Microsoft Office Word</Application>
  <DocSecurity>0</DocSecurity>
  <Lines>271</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2019-04-25T02:09:00Z</cp:lastPrinted>
  <dcterms:created xsi:type="dcterms:W3CDTF">2020-02-21T07:15:00Z</dcterms:created>
  <dcterms:modified xsi:type="dcterms:W3CDTF">2020-02-21T07:22:00Z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