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100" w:afterAutospacing="1"/>
        <w:rPr>
          <w:rFonts w:cs="Arial" w:eastAsiaTheme="minorEastAsia"/>
          <w:b/>
          <w:sz w:val="24"/>
          <w:szCs w:val="24"/>
          <w:lang w:eastAsia="zh-CN"/>
        </w:rPr>
      </w:pPr>
      <w:bookmarkStart w:id="0" w:name="Title"/>
      <w:bookmarkEnd w:id="0"/>
      <w:bookmarkStart w:id="1" w:name="_Hlk491845607"/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#94-e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R4-20xxxxx</w:t>
      </w:r>
    </w:p>
    <w:bookmarkEnd w:id="1"/>
    <w:p>
      <w:pPr>
        <w:tabs>
          <w:tab w:val="right" w:pos="9639"/>
        </w:tabs>
        <w:spacing w:after="100" w:afterAutospacing="1"/>
        <w:rPr>
          <w:rFonts w:ascii="Arial" w:hAnsi="Arial" w:eastAsia="MS Mincho" w:cs="Arial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Electronic Meeting</w:t>
      </w:r>
      <w:r>
        <w:rPr>
          <w:rFonts w:ascii="Arial" w:hAnsi="Arial" w:eastAsia="MS Mincho" w:cs="Arial"/>
          <w:b/>
          <w:sz w:val="24"/>
          <w:szCs w:val="24"/>
        </w:rPr>
        <w:t>,</w:t>
      </w:r>
      <w:r>
        <w:rPr>
          <w:rFonts w:hint="eastAsia" w:ascii="Arial" w:hAnsi="Arial" w:eastAsia="MS Mincho" w:cs="Arial"/>
          <w:b/>
          <w:sz w:val="24"/>
          <w:szCs w:val="24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Feb.24</w:t>
      </w:r>
      <w:r>
        <w:rPr>
          <w:rFonts w:hint="eastAsia" w:ascii="Arial" w:hAnsi="Arial" w:cs="Arial" w:eastAsiaTheme="minorEastAsia"/>
          <w:b/>
          <w:sz w:val="24"/>
          <w:szCs w:val="24"/>
          <w:vertAlign w:val="superscript"/>
          <w:lang w:eastAsia="zh-CN"/>
        </w:rPr>
        <w:t>th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–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Mar.6</w:t>
      </w:r>
      <w:r>
        <w:rPr>
          <w:rFonts w:hint="eastAsia" w:ascii="Arial" w:hAnsi="Arial" w:cs="Arial" w:eastAsiaTheme="minorEastAsia"/>
          <w:b/>
          <w:sz w:val="24"/>
          <w:szCs w:val="24"/>
          <w:vertAlign w:val="superscript"/>
          <w:lang w:eastAsia="zh-CN"/>
        </w:rPr>
        <w:t>th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2020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9.18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(CBN)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RAN4#94e_#31_NR_n28_BW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Some important agreements in RAN4#93 are shown as below.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highlight w:val="green"/>
          <w:lang w:val="en-US" w:eastAsia="zh-CN"/>
        </w:rPr>
        <w:t>Agreement：</w:t>
      </w:r>
      <w:r>
        <w:rPr>
          <w:i/>
          <w:color w:val="0070C0"/>
          <w:highlight w:val="green"/>
          <w:lang w:val="en-US" w:eastAsia="zh-CN"/>
        </w:rPr>
        <w:t>Delta MPR will be introduced for band n28.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To update spurious emission requirements for band n28 including TS 36.101, TS 38.101-1 and TS 38.101-3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specific Footnote for 30MHz Channel Bandwidth in Band n28 was approved.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All of approved TPs in last meeting have been captured into R4-2000165.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bookmarkStart w:id="2" w:name="OLE_LINK103"/>
      <w:bookmarkStart w:id="3" w:name="OLE_LINK104"/>
      <w:r>
        <w:rPr>
          <w:i/>
          <w:color w:val="0070C0"/>
          <w:lang w:val="en-US" w:eastAsia="zh-CN"/>
        </w:rPr>
        <w:t>BS part</w:t>
      </w:r>
    </w:p>
    <w:bookmarkEnd w:id="2"/>
    <w:bookmarkEnd w:id="3"/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BS-BS co-existence analysis was approved based on R4-1916064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30MHz and 40MHz BS channel bandwidth for band n28 will be introduced into TS 38.104 based on R4-1916063</w:t>
      </w:r>
    </w:p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>Some open issues are listed as below.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T</w:t>
      </w:r>
      <w:r>
        <w:rPr>
          <w:i/>
          <w:color w:val="0070C0"/>
          <w:lang w:val="en-US" w:eastAsia="zh-CN"/>
        </w:rPr>
        <w:t>he specific value for n28 30MHz Delta MPR need to be specified.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AMPR table for NS_18 need to be generated based on companies’ inputs.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REFSENS for n28 30MHz need to be specified based on RAN4’s consensus.</w:t>
      </w:r>
    </w:p>
    <w:p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 part</w:t>
      </w:r>
    </w:p>
    <w:p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None</w:t>
      </w:r>
    </w:p>
    <w:p>
      <w:pPr>
        <w:rPr>
          <w:i/>
          <w:color w:val="0070C0"/>
          <w:lang w:eastAsia="zh-CN"/>
        </w:rPr>
      </w:pP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To make consensus for each open issue including Delta MPR\MPR, AMPR and REFSENS requirements and approve the relative TPs.</w:t>
      </w:r>
    </w:p>
    <w:p>
      <w:pPr>
        <w:pStyle w:val="149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To agree the final big CRs including TS 38.104, TS 36.101, TS 38.101-1 and TS 38.101-3.</w:t>
      </w:r>
    </w:p>
    <w:p>
      <w:pPr>
        <w:rPr>
          <w:color w:val="0070C0"/>
          <w:lang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#1: The updated TR 38.888 v0.1.0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bookmarkStart w:id="4" w:name="OLE_LINK106"/>
            <w:bookmarkStart w:id="5" w:name="OLE_LINK105"/>
            <w:r>
              <w:rPr>
                <w:rFonts w:eastAsia="Yu Mincho"/>
              </w:rPr>
              <w:t>R4-2000165</w:t>
            </w:r>
            <w:bookmarkEnd w:id="4"/>
            <w:bookmarkEnd w:id="5"/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CBN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Updated TR 38.888 v0.1.0 Adding wider channel bandwidths in NR band n28 based on approved TPs in last meeting.</w:t>
            </w:r>
          </w:p>
        </w:tc>
      </w:tr>
    </w:tbl>
    <w:p/>
    <w:p>
      <w:pPr>
        <w:pStyle w:val="3"/>
      </w:pPr>
      <w:r>
        <w:t>Summary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</w:rPr>
        <w:t>None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TR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TR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>Topic #2: UE part for NR_n28_BW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2-1: MPR and delta MPR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2-2: AMPR for NS_18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2-3: UE REFSENS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2-4 Spurious emission requirements for band n28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2-5 Big CR in TS 38.101-1 for band n28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50"/>
        <w:gridCol w:w="7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2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14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2-1: MPR and delta MPR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2-2: AMPR for NS_18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/>
              </w:rPr>
              <w:t>R4-2000090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/>
              </w:rPr>
              <w:t>Qualcomm Incorporated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sz w:val="13"/>
                <w:szCs w:val="13"/>
              </w:rPr>
            </w:pPr>
            <w:r>
              <w:rPr>
                <w:rFonts w:eastAsia="Yu Mincho" w:asciiTheme="minorHAnsi" w:hAnsiTheme="minorHAnsi" w:cstheme="minorHAnsi"/>
                <w:sz w:val="13"/>
                <w:szCs w:val="13"/>
              </w:rPr>
              <w:t>Proposal: Define 30MHz n28 AMPR as shown in Table 2 and 3.</w:t>
            </w:r>
            <w:r>
              <w:rPr>
                <w:rFonts w:eastAsia="Yu Mincho"/>
                <w:sz w:val="13"/>
                <w:szCs w:val="13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2: A-MPR regions for NS_18</w:t>
            </w:r>
          </w:p>
          <w:tbl>
            <w:tblPr>
              <w:tblStyle w:val="56"/>
              <w:tblW w:w="69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134"/>
              <w:gridCol w:w="1108"/>
              <w:gridCol w:w="993"/>
              <w:gridCol w:w="1701"/>
              <w:gridCol w:w="567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85" w:hRule="atLeast"/>
              </w:trPr>
              <w:tc>
                <w:tcPr>
                  <w:tcW w:w="113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Carrier Center Frequency, Fc, MHz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Meas.A-MPR DFT/CP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85" w:hRule="atLeast"/>
              </w:trPr>
              <w:tc>
                <w:tcPr>
                  <w:tcW w:w="1134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0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5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41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0" w:hRule="atLeast"/>
              </w:trPr>
              <w:tc>
                <w:tcPr>
                  <w:tcW w:w="1134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highlight w:val="yellow"/>
                      <w:lang w:val="en-US" w:eastAsia="ja-JP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&gt;11.7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≥max (0, 12*SCS*RB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end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1.8)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A1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0" w:hRule="atLeast"/>
              </w:trPr>
              <w:tc>
                <w:tcPr>
                  <w:tcW w:w="113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≤11.7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≥6.3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A2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7/8.5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0" w:hRule="atLeast"/>
              </w:trPr>
              <w:tc>
                <w:tcPr>
                  <w:tcW w:w="113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&lt;6.3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A3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analysis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3: A-MPR for NS_18</w:t>
            </w:r>
          </w:p>
          <w:tbl>
            <w:tblPr>
              <w:tblStyle w:val="56"/>
              <w:tblW w:w="5595" w:type="dxa"/>
              <w:jc w:val="center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856"/>
              <w:gridCol w:w="1256"/>
              <w:gridCol w:w="1162"/>
              <w:gridCol w:w="1162"/>
              <w:gridCol w:w="1159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2112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A1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A2</w:t>
                  </w:r>
                </w:p>
              </w:tc>
              <w:tc>
                <w:tcPr>
                  <w:tcW w:w="11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2112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0" w:hRule="atLeast"/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6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1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drawing>
                <wp:inline distT="0" distB="0" distL="0" distR="0">
                  <wp:extent cx="1974215" cy="1512570"/>
                  <wp:effectExtent l="0" t="0" r="6985" b="0"/>
                  <wp:docPr id="4" name="图片 4" descr="C:\Users\z00471447\AppData\Roaming\eSpace_Desktop\UserData\z00471447\imagefiles\1C5B94B6-4D5F-4F44-941A-54E4F310C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00471447\AppData\Roaming\eSpace_Desktop\UserData\z00471447\imagefiles\1C5B94B6-4D5F-4F44-941A-54E4F310C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64" cy="15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R4-2001089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sz w:val="13"/>
                <w:szCs w:val="13"/>
              </w:rPr>
            </w:pPr>
            <w:r>
              <w:rPr>
                <w:rFonts w:eastAsia="Yu Mincho" w:asciiTheme="minorHAnsi" w:hAnsiTheme="minorHAnsi" w:cstheme="minorHAnsi"/>
                <w:sz w:val="13"/>
                <w:szCs w:val="13"/>
              </w:rPr>
              <w:t>Proposal: To specify the 30MHz n28 AMPR requirements for NS_18 as shown in table 2-1 and 2-2.</w:t>
            </w:r>
            <w:r>
              <w:rPr>
                <w:rFonts w:eastAsia="Yu Mincho"/>
                <w:sz w:val="13"/>
                <w:szCs w:val="13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2 1 A-MPR regions for NS_18</w:t>
            </w:r>
          </w:p>
          <w:tbl>
            <w:tblPr>
              <w:tblStyle w:val="56"/>
              <w:tblW w:w="626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733"/>
              <w:gridCol w:w="1559"/>
              <w:gridCol w:w="1614"/>
              <w:gridCol w:w="1971"/>
              <w:gridCol w:w="3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85" w:hRule="atLeast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Frequency range of UL transmission bandwidth configuration, MHz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85" w:hRule="atLeast"/>
                <w:jc w:val="center"/>
              </w:trPr>
              <w:tc>
                <w:tcPr>
                  <w:tcW w:w="73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38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  <w:t>703~733</w:t>
                  </w: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</w:t>
                  </w:r>
                  <w:r>
                    <w:rPr>
                      <w:sz w:val="11"/>
                      <w:szCs w:val="11"/>
                      <w:highlight w:val="yellow"/>
                    </w:rPr>
                    <w:t xml:space="preserve"> 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≥12*SCS*N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RB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1.8+</w:t>
                  </w:r>
                  <w:r>
                    <w:rPr>
                      <w:sz w:val="11"/>
                      <w:szCs w:val="11"/>
                      <w:highlight w:val="yellow"/>
                      <w:lang w:val="en-US"/>
                    </w:rPr>
                    <w:t xml:space="preserve">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RBstart*12*SCS</w:t>
                  </w:r>
                </w:p>
              </w:tc>
              <w:tc>
                <w:tcPr>
                  <w:tcW w:w="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B1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73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val="en-US"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≥5.4</w:t>
                  </w:r>
                </w:p>
              </w:tc>
              <w:tc>
                <w:tcPr>
                  <w:tcW w:w="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73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&lt;5.4</w:t>
                  </w:r>
                </w:p>
              </w:tc>
              <w:tc>
                <w:tcPr>
                  <w:tcW w:w="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B3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 w:asciiTheme="minorHAnsi" w:hAnsiTheme="minorHAnsi" w:cstheme="minorHAnsi"/>
                <w:sz w:val="11"/>
                <w:szCs w:val="11"/>
              </w:rPr>
              <w:t>Table 2 2 A-MPR for NS_18</w:t>
            </w:r>
          </w:p>
          <w:tbl>
            <w:tblPr>
              <w:tblStyle w:val="56"/>
              <w:tblW w:w="5601" w:type="dxa"/>
              <w:jc w:val="center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857"/>
              <w:gridCol w:w="1257"/>
              <w:gridCol w:w="1163"/>
              <w:gridCol w:w="1163"/>
              <w:gridCol w:w="1161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211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B1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B2</w:t>
                  </w:r>
                </w:p>
              </w:tc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211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67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7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0" w:hRule="atLeast"/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zh-CN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jc w:val="center"/>
              </w:trPr>
              <w:tc>
                <w:tcPr>
                  <w:tcW w:w="85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68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Yu Mincho" w:asciiTheme="minorHAnsi" w:hAnsiTheme="minorHAnsi" w:cstheme="minorHAnsi"/>
                <w:sz w:val="11"/>
                <w:szCs w:val="11"/>
              </w:rPr>
            </w:pPr>
            <w:r>
              <w:rPr>
                <w:rFonts w:eastAsia="Yu Mincho"/>
                <w:b/>
                <w:lang w:val="en-US" w:eastAsia="zh-CN"/>
              </w:rPr>
              <w:drawing>
                <wp:inline distT="0" distB="0" distL="114300" distR="114300">
                  <wp:extent cx="3152775" cy="1748155"/>
                  <wp:effectExtent l="0" t="0" r="0" b="4445"/>
                  <wp:docPr id="1" name="Picture 1" descr="EEC2EA4E-2DE0-48F1-8304-1A42FE0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EC2EA4E-2DE0-48F1-8304-1A42FE02061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07" cy="17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R4-2001088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HiSilicon, CBN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hint="eastAsia" w:asciiTheme="minorHAnsi" w:hAnsiTheme="minorHAnsi" w:eastAsiaTheme="minorEastAsia" w:cstheme="minorHAnsi"/>
                <w:sz w:val="18"/>
                <w:szCs w:val="18"/>
                <w:lang w:eastAsia="zh-CN"/>
              </w:rPr>
              <w:t>T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P for Tx requirements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hint="eastAsia" w:asciiTheme="minorHAnsi" w:hAnsiTheme="minorHAnsi" w:eastAsiaTheme="minorEastAsia" w:cstheme="minorHAnsi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.</w:t>
            </w:r>
            <w:r>
              <w:rPr>
                <w:rFonts w:eastAsia="Yu Mincho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Delta MPR</w:t>
            </w:r>
          </w:p>
          <w:tbl>
            <w:tblPr>
              <w:tblStyle w:val="56"/>
              <w:tblW w:w="286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4"/>
              <w:gridCol w:w="7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C</w:t>
                  </w:r>
                  <w:r>
                    <w:rPr>
                      <w:sz w:val="16"/>
                      <w:szCs w:val="16"/>
                      <w:lang w:eastAsia="zh-CN"/>
                    </w:rPr>
                    <w:t>ompany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sz w:val="16"/>
                      <w:szCs w:val="16"/>
                      <w:lang w:eastAsia="zh-CN"/>
                    </w:rPr>
                    <w:t>uawei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The proposed delta MPR (dB)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  <w:t>For band n28 30MHz, the allowed maximum power reduction (MPR) is defined in Table 5.1.2.1-2.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Yu Mincho"/>
                <w:b/>
                <w:sz w:val="16"/>
                <w:szCs w:val="16"/>
                <w:lang w:eastAsia="zh-CN"/>
              </w:rPr>
            </w:pPr>
            <w:r>
              <w:rPr>
                <w:rFonts w:eastAsia="Yu Mincho"/>
                <w:b/>
                <w:sz w:val="16"/>
                <w:szCs w:val="16"/>
              </w:rPr>
              <w:t xml:space="preserve">Table </w:t>
            </w:r>
            <w:r>
              <w:rPr>
                <w:rFonts w:hint="eastAsia" w:eastAsia="Yu Mincho"/>
                <w:b/>
                <w:sz w:val="16"/>
                <w:szCs w:val="16"/>
                <w:lang w:eastAsia="zh-CN"/>
              </w:rPr>
              <w:t>5.1.2.</w:t>
            </w:r>
            <w:r>
              <w:rPr>
                <w:rFonts w:eastAsia="Yu Mincho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hint="eastAsia" w:eastAsia="Yu Mincho"/>
                <w:b/>
                <w:sz w:val="16"/>
                <w:szCs w:val="16"/>
                <w:lang w:eastAsia="zh-CN"/>
              </w:rPr>
              <w:t>-</w:t>
            </w:r>
            <w:r>
              <w:rPr>
                <w:rFonts w:eastAsia="Yu Mincho"/>
                <w:b/>
                <w:sz w:val="16"/>
                <w:szCs w:val="16"/>
                <w:lang w:eastAsia="zh-CN"/>
              </w:rPr>
              <w:t>2</w:t>
            </w:r>
            <w:r>
              <w:rPr>
                <w:rFonts w:eastAsia="Yu Mincho"/>
                <w:b/>
                <w:sz w:val="16"/>
                <w:szCs w:val="16"/>
              </w:rPr>
              <w:t>:</w:t>
            </w:r>
            <w:r>
              <w:rPr>
                <w:rFonts w:eastAsia="Yu Mincho"/>
                <w:sz w:val="16"/>
                <w:szCs w:val="16"/>
              </w:rPr>
              <w:t xml:space="preserve"> </w:t>
            </w:r>
            <w:r>
              <w:rPr>
                <w:rFonts w:eastAsia="Yu Mincho"/>
                <w:b/>
                <w:sz w:val="16"/>
                <w:szCs w:val="16"/>
              </w:rPr>
              <w:t>The proposed delta MPR (dB)</w:t>
            </w:r>
          </w:p>
          <w:tbl>
            <w:tblPr>
              <w:tblStyle w:val="56"/>
              <w:tblW w:w="653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72"/>
              <w:gridCol w:w="1096"/>
              <w:gridCol w:w="32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channel bandwidth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Conditions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  <w:lang w:eastAsia="ko-KR"/>
                    </w:rPr>
                    <w:t>The allowed maximum power reduction (MPR)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Band n28 30MHz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 3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Table 6.2.2-1 from 38.101-1 + [</w:t>
                  </w:r>
                  <w:r>
                    <w:rPr>
                      <w:sz w:val="16"/>
                      <w:szCs w:val="16"/>
                      <w:lang w:eastAsia="zh-CN"/>
                    </w:rPr>
                    <w:t>1]</w:t>
                  </w:r>
                  <w:r>
                    <w:rPr>
                      <w:sz w:val="16"/>
                      <w:szCs w:val="16"/>
                    </w:rPr>
                    <w:t xml:space="preserve"> dB</w:t>
                  </w: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hint="eastAsia" w:asciiTheme="minorHAnsi" w:hAnsiTheme="minorHAnsi" w:eastAsiaTheme="minorEastAsia" w:cstheme="minorHAnsi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hAnsiTheme="minorHAnsi" w:eastAsiaTheme="minorEastAsia" w:cstheme="minorHAnsi"/>
                <w:sz w:val="18"/>
                <w:szCs w:val="18"/>
                <w:lang w:eastAsia="zh-CN"/>
              </w:rPr>
              <w:t>. AMPR for NS_18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 w:cstheme="minorHAnsi"/>
                <w:sz w:val="16"/>
                <w:szCs w:val="16"/>
                <w:lang w:eastAsia="zh-CN"/>
              </w:rPr>
              <w:t>The proposal can be referred to R4-2001089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Theme="minorHAnsi" w:hAnsiTheme="minorHAnsi" w:eastAsiaTheme="minorEastAsia" w:cstheme="minorHAnsi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31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2-3: REFSENS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R4-2000493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ZTE Corporation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Proposal: </w:t>
            </w:r>
            <w:r>
              <w:rPr>
                <w:rFonts w:hint="eastAsia" w:eastAsia="Yu Mincho"/>
                <w:b/>
                <w:lang w:val="en-US" w:eastAsia="zh-CN"/>
              </w:rPr>
              <w:t xml:space="preserve">The </w:t>
            </w:r>
            <w:r>
              <w:rPr>
                <w:rFonts w:eastAsia="Times New Roman"/>
                <w:b/>
              </w:rPr>
              <w:t>REFSEN</w:t>
            </w:r>
            <w:r>
              <w:rPr>
                <w:rFonts w:hint="eastAsia" w:eastAsia="Yu Mincho"/>
                <w:b/>
                <w:lang w:val="en-US" w:eastAsia="zh-CN"/>
              </w:rPr>
              <w:t xml:space="preserve"> requirements for </w:t>
            </w:r>
            <w:r>
              <w:rPr>
                <w:rFonts w:eastAsia="Times New Roman"/>
                <w:b/>
              </w:rPr>
              <w:t>30MHz</w:t>
            </w:r>
            <w:r>
              <w:rPr>
                <w:rFonts w:hint="eastAsia" w:eastAsia="Yu Mincho"/>
                <w:b/>
                <w:lang w:val="en-US" w:eastAsia="zh-CN"/>
              </w:rPr>
              <w:t xml:space="preserve"> in n28</w:t>
            </w:r>
            <w:r>
              <w:rPr>
                <w:rFonts w:eastAsia="Times New Roman"/>
                <w:b/>
              </w:rPr>
              <w:t xml:space="preserve"> are proposed highlighted as below:</w:t>
            </w:r>
          </w:p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Style w:val="56"/>
              <w:tblW w:w="294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4.9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eastAsia="MS Mincho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5.0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pStyle w:val="40"/>
              <w:overflowPunct/>
              <w:autoSpaceDE/>
              <w:autoSpaceDN/>
              <w:adjustRightInd/>
              <w:spacing w:before="180" w:after="120"/>
              <w:textAlignment w:val="auto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hint="eastAsia" w:ascii="Times New Roman" w:hAnsi="Times New Roman" w:eastAsia="Yu Mincho"/>
                <w:b w:val="0"/>
                <w:sz w:val="20"/>
                <w:lang w:val="en-US" w:eastAsia="zh-CN"/>
              </w:rPr>
              <w:t xml:space="preserve">Where 25RB for 15kHz SCS, 10RB for 30kHz SCS are adopted in UL allocation assumption.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R4-2001087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b/>
                <w:lang w:val="en-US" w:eastAsia="zh-CN"/>
              </w:rPr>
              <w:t>D</w:t>
            </w:r>
            <w:r>
              <w:rPr>
                <w:rFonts w:eastAsiaTheme="minorEastAsia"/>
                <w:b/>
                <w:lang w:val="en-US" w:eastAsia="zh-CN"/>
              </w:rPr>
              <w:t>iscussion and TP for Rx requirements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lang w:val="en-US" w:eastAsia="zh-CN"/>
              </w:rPr>
            </w:pPr>
            <w:r>
              <w:rPr>
                <w:rFonts w:eastAsia="Yu Mincho"/>
                <w:b/>
                <w:lang w:val="en-US" w:eastAsia="zh-CN"/>
              </w:rPr>
              <w:t>Proposal 1: To consider the impact of Delta MPR for 30MHz n28 when RAN4 evaluate the REFSENS.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b/>
                <w:lang w:val="en-US" w:eastAsia="zh-CN"/>
              </w:rPr>
              <w:t>Proposal 2: REFSENS</w:t>
            </w:r>
          </w:p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Style w:val="56"/>
              <w:tblW w:w="2946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eastAsia="zh-CN"/>
                    </w:rPr>
                    <w:t>0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eastAsia="MS Mincho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1</w:t>
                  </w:r>
                  <w:r>
                    <w:rPr>
                      <w:rFonts w:hint="eastAsia"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.0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2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R4-2001226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MediaTek Inc.</w:t>
            </w:r>
          </w:p>
        </w:tc>
        <w:tc>
          <w:tcPr>
            <w:tcW w:w="7146" w:type="dxa"/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Style w:val="56"/>
              <w:tblW w:w="294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3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-88.2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-88.3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</w:p>
          <w:p>
            <w:pPr>
              <w:keepNext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hint="eastAsia" w:eastAsia="Yu Mincho"/>
                <w:bCs/>
                <w:lang w:val="en-US" w:eastAsia="zh-CN"/>
              </w:rPr>
              <w:t>REFSEN</w:t>
            </w:r>
            <w:r>
              <w:rPr>
                <w:rFonts w:eastAsia="Yu Mincho"/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Style w:val="56"/>
              <w:tblW w:w="2947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3"/>
              <w:gridCol w:w="545"/>
              <w:gridCol w:w="679"/>
              <w:gridCol w:w="7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0" w:hRule="atLeast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-79.9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MS Mincho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-80</w:t>
                  </w: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jc w:val="center"/>
              </w:trPr>
              <w:tc>
                <w:tcPr>
                  <w:tcW w:w="973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MS Mincho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 w:val="continue"/>
                  <w:vAlign w:val="center"/>
                </w:tcPr>
                <w:p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 w:eastAsia="MS Mincho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31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2-4: Spurious emission requirements for band n28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R4-2001170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</w:t>
            </w:r>
          </w:p>
        </w:tc>
        <w:tc>
          <w:tcPr>
            <w:tcW w:w="7146" w:type="dxa"/>
          </w:tcPr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TP for TR 38.888: Remove Band 39 from the protected bands of DC_1-n28 combination. Band 39 is redundant since there is no DC_1-28 combination in China and band 39 will not be used in the region where DC_1-28 is applicable.</w:t>
            </w: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sz w:val="13"/>
                <w:szCs w:val="13"/>
              </w:rPr>
            </w:pPr>
            <w:r>
              <w:rPr>
                <w:rFonts w:eastAsia="Yu Mincho"/>
              </w:rPr>
              <w:t>Updated table 5.1.2.4-3 in TR 38.888.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R4-2000620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CATT, CBN, ZTE, Huawei</w:t>
            </w:r>
            <w:r>
              <w:rPr>
                <w:rFonts w:eastAsia="Yu Mincho"/>
              </w:rPr>
              <w:tab/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36.101: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6.6.3.2-1 and 6.6.3.2A-0.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R4-2000622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CATT, CBN, ZTE, Huawei</w:t>
            </w:r>
            <w:r>
              <w:rPr>
                <w:rFonts w:eastAsia="Yu Mincho"/>
              </w:rPr>
              <w:tab/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38.101-3: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6.5B.3.3.2-1 .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R4-2000621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CATT, CBN, ZTE, Huawei</w:t>
            </w:r>
            <w:r>
              <w:rPr>
                <w:rFonts w:eastAsia="Yu Mincho"/>
              </w:rPr>
              <w:tab/>
            </w: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38.101-1: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6.5.3.2-1 and 6.5A.3.2.3-1.</w:t>
            </w:r>
          </w:p>
          <w:p>
            <w:pPr>
              <w:pStyle w:val="149"/>
              <w:spacing w:before="60" w:after="60"/>
              <w:ind w:firstLine="40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Protected bands are added for band n28.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31" w:type="dxa"/>
            <w:gridSpan w:val="3"/>
          </w:tcPr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2-5: Big CR in TS 38.101-1 for band n28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R4-2001086</w:t>
            </w:r>
          </w:p>
        </w:tc>
        <w:tc>
          <w:tcPr>
            <w:tcW w:w="1250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Huawei, HiSilicon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7146" w:type="dxa"/>
          </w:tcPr>
          <w:p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CR with the following changes for TS 38.101-1:</w:t>
            </w:r>
          </w:p>
          <w:p>
            <w:pPr>
              <w:pStyle w:val="149"/>
              <w:spacing w:before="60" w:after="60"/>
              <w:ind w:left="360"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Updated tables 5.3.5-1, 6.2.2-0, 6.2.3.1-1, 6.2.3.13-2,  6.2.3.13-3,  6.5.3.2-1, 6.5A.3.2.3-1,  7.3.2-1, 7.3.2-3.</w:t>
            </w:r>
          </w:p>
          <w:p>
            <w:pPr>
              <w:pStyle w:val="149"/>
              <w:spacing w:before="60" w:after="60"/>
              <w:ind w:left="360" w:firstLine="0" w:firstLineChars="0"/>
              <w:rPr>
                <w:rFonts w:eastAsia="Yu Mincho"/>
              </w:rPr>
            </w:pPr>
          </w:p>
          <w:p>
            <w:pPr>
              <w:pStyle w:val="149"/>
              <w:spacing w:before="60" w:after="60"/>
              <w:ind w:firstLine="0" w:firstLineChars="0"/>
              <w:rPr>
                <w:rFonts w:eastAsia="Yu Mincho"/>
              </w:rPr>
            </w:pPr>
            <w:r>
              <w:rPr>
                <w:rFonts w:eastAsia="Yu Mincho"/>
              </w:rPr>
              <w:t>Note: MPR, AMPR, spurious emissions for UE co-existence and REFSENS are specified for 30MHz band n28.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  <w:r>
        <w:t xml:space="preserve"> </w:t>
      </w:r>
      <w:r>
        <w:rPr>
          <w:sz w:val="24"/>
          <w:szCs w:val="16"/>
        </w:rPr>
        <w:t>MPR and delta MPR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to specify MPR and delta MPR for n28 30MHz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Huawei’s 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1dB delta MPR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MPR for Band n28 30MHz: Table 6.2.2-1 from 38.101-1 + [1] dB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2-2 AMPR for NS_18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  <w:lang w:val="en-US" w:eastAsia="zh-CN"/>
        </w:rPr>
        <w:t>to specify AMPR for NS_18 with 30MHz BW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Qualcomm’s AMPR table based on R4-2000090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Huawei’s AMPR table based on R4-2001098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Summary: </w:t>
      </w:r>
    </w:p>
    <w:p>
      <w:pPr>
        <w:pStyle w:val="149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There are some slight difference for the AMPR region allocation between Qualcomm and Huawei’s proposals.</w:t>
      </w:r>
    </w:p>
    <w:p>
      <w:pPr>
        <w:pStyle w:val="149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values of A1\B1 for CP-OFDM are 4 and 4.5 respectively. Others are same.</w:t>
      </w:r>
    </w:p>
    <w:p>
      <w:pPr>
        <w:pStyle w:val="149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rFonts w:hint="eastAsia" w:eastAsiaTheme="minorEastAsia"/>
          <w:i/>
          <w:color w:val="0070C0"/>
          <w:lang w:val="en-US" w:eastAsia="zh-CN"/>
        </w:rPr>
        <w:t>Th</w:t>
      </w:r>
      <w:r>
        <w:rPr>
          <w:rFonts w:eastAsiaTheme="minorEastAsia"/>
          <w:i/>
          <w:color w:val="0070C0"/>
          <w:lang w:val="en-US" w:eastAsia="zh-CN"/>
        </w:rPr>
        <w:t>e second column in AMPR region is different. (frequency center vs Frequency range of UL transmission bandwidth configuration, MHz)</w:t>
      </w:r>
    </w:p>
    <w:p>
      <w:pPr>
        <w:spacing w:after="120"/>
        <w:rPr>
          <w:rFonts w:hint="eastAsia"/>
          <w:color w:val="0070C0"/>
          <w:szCs w:val="24"/>
          <w:lang w:val="en-US" w:eastAsia="zh-CN"/>
        </w:rPr>
      </w:pPr>
    </w:p>
    <w:p>
      <w:pPr>
        <w:pStyle w:val="4"/>
      </w:pPr>
      <w:r>
        <w:t xml:space="preserve">Sub-topic 2-3 UE </w:t>
      </w:r>
      <w:r>
        <w:rPr>
          <w:sz w:val="24"/>
          <w:szCs w:val="16"/>
        </w:rPr>
        <w:t>REFSENS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evaluate and specify REFSENS for n28 30MHz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green"/>
          <w:lang w:val="en-US" w:eastAsia="zh-CN"/>
        </w:rPr>
        <w:t>Agreement: UL configuration</w:t>
      </w:r>
    </w:p>
    <w:p>
      <w:pPr>
        <w:jc w:val="center"/>
        <w:rPr>
          <w:i/>
          <w:color w:val="0070C0"/>
          <w:lang w:val="en-US" w:eastAsia="zh-CN"/>
        </w:rPr>
      </w:pPr>
      <w:r>
        <w:rPr>
          <w:highlight w:val="green"/>
        </w:rPr>
        <w:t>Table n28 Uplink Configuration for Reference Sensitivity</w:t>
      </w:r>
    </w:p>
    <w:tbl>
      <w:tblPr>
        <w:tblStyle w:val="56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87"/>
        <w:gridCol w:w="586"/>
        <w:gridCol w:w="586"/>
        <w:gridCol w:w="586"/>
        <w:gridCol w:w="712"/>
        <w:gridCol w:w="712"/>
        <w:gridCol w:w="586"/>
        <w:gridCol w:w="604"/>
        <w:gridCol w:w="612"/>
        <w:gridCol w:w="586"/>
        <w:gridCol w:w="715"/>
        <w:gridCol w:w="586"/>
        <w:gridCol w:w="58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tblHeader/>
          <w:jc w:val="center"/>
        </w:trPr>
        <w:tc>
          <w:tcPr>
            <w:tcW w:w="99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  <w:keepNext w:val="0"/>
              <w:rPr>
                <w:lang w:val="en-GB"/>
              </w:rPr>
            </w:pPr>
            <w:r>
              <w:t>Operating band / SCS / Channel bandwidth / Duplex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Operating Band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7"/>
              <w:keepNext w:val="0"/>
            </w:pPr>
            <w:r>
              <w:t>SCS kHz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5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10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15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20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25 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30 MHz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40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50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60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80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90</w:t>
            </w:r>
          </w:p>
          <w:p>
            <w:pPr>
              <w:pStyle w:val="67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100 MHz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7"/>
              <w:keepNext w:val="0"/>
            </w:pPr>
            <w:r>
              <w:t>Duplex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lang w:eastAsia="zh-CN"/>
              </w:rPr>
              <w:t>n28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highlight w:val="green"/>
              </w:rPr>
            </w:pPr>
            <w:r>
              <w:rPr>
                <w:rFonts w:cs="Arial"/>
                <w:highlight w:val="green"/>
                <w:lang w:val="en-US"/>
              </w:rPr>
              <w:t>25</w:t>
            </w:r>
            <w:r>
              <w:rPr>
                <w:rFonts w:cs="Arial"/>
                <w:highlight w:val="green"/>
                <w:vertAlign w:val="superscript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t>FDD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MS Mincho"/>
                <w:sz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  <w:rPr>
                <w:highlight w:val="green"/>
              </w:rPr>
            </w:pPr>
            <w:r>
              <w:rPr>
                <w:rFonts w:cs="Arial"/>
                <w:szCs w:val="18"/>
                <w:highlight w:val="green"/>
              </w:rPr>
              <w:t>10</w:t>
            </w:r>
            <w:r>
              <w:rPr>
                <w:rFonts w:cs="Arial"/>
                <w:szCs w:val="18"/>
                <w:highlight w:val="green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keepNext w:val="0"/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8"/>
              <w:keepNext w:val="0"/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MS Minch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keepNext w:val="0"/>
              <w:jc w:val="center"/>
            </w:pPr>
            <w:r>
              <w:t>NOTE 1:</w:t>
            </w:r>
            <w:r>
              <w:tab/>
            </w:r>
            <w:r>
              <w:t>UL resource blocks shall be located as close as possible to the downlink operating band but confined within the transmission bandwidth configuration for the channel bandwidth (Table 5.3.2-1).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REFSENS for case 1</w:t>
      </w:r>
    </w:p>
    <w:tbl>
      <w:tblPr>
        <w:tblStyle w:val="56"/>
        <w:tblW w:w="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545"/>
        <w:gridCol w:w="723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verage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972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  <w:r>
              <w:rPr>
                <w:rFonts w:hint="eastAsia" w:ascii="Arial" w:hAnsi="Arial" w:eastAsia="MS Mincho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-88.2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-88.7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/>
                <w:highlight w:val="yellow"/>
                <w:lang w:eastAsia="zh-CN"/>
              </w:rPr>
            </w:pPr>
            <w:r>
              <w:rPr>
                <w:highlight w:val="yellow"/>
              </w:rPr>
              <w:t>-88.5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-88.3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-88.8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left="720" w:firstLine="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REFSENS for case 2</w:t>
      </w:r>
    </w:p>
    <w:tbl>
      <w:tblPr>
        <w:tblStyle w:val="56"/>
        <w:tblW w:w="5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545"/>
        <w:gridCol w:w="723"/>
        <w:gridCol w:w="777"/>
        <w:gridCol w:w="723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777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H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uawei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eastAsiaTheme="minor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hAnsi="Arial" w:eastAsiaTheme="minorEastAsia"/>
                <w:b/>
                <w:sz w:val="16"/>
                <w:szCs w:val="16"/>
                <w:lang w:eastAsia="zh-CN"/>
              </w:rPr>
              <w:t>verage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97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30MHz (dBm)</w:t>
            </w:r>
          </w:p>
        </w:tc>
        <w:tc>
          <w:tcPr>
            <w:tcW w:w="777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b/>
                <w:sz w:val="16"/>
                <w:szCs w:val="16"/>
              </w:rPr>
            </w:pPr>
            <w:r>
              <w:rPr>
                <w:rFonts w:ascii="Arial" w:hAnsi="Arial" w:eastAsia="MS Mincho"/>
                <w:b/>
                <w:sz w:val="16"/>
                <w:szCs w:val="16"/>
              </w:rPr>
              <w:t>30 MHz (dBm)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  <w:r>
              <w:rPr>
                <w:rFonts w:hint="eastAsia" w:ascii="Arial" w:hAnsi="Arial" w:eastAsia="MS Mincho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4.9</w:t>
            </w:r>
          </w:p>
        </w:tc>
        <w:tc>
          <w:tcPr>
            <w:tcW w:w="777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0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.9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-79.9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-78.5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/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hAnsi="Arial" w:eastAsia="MS Mincho"/>
                <w:sz w:val="16"/>
                <w:szCs w:val="16"/>
                <w:highlight w:val="yellow"/>
              </w:rPr>
              <w:t>-8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5.0</w:t>
            </w:r>
          </w:p>
        </w:tc>
        <w:tc>
          <w:tcPr>
            <w:tcW w:w="777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  <w:highlight w:val="yellow"/>
              </w:rPr>
            </w:pPr>
            <w:r>
              <w:rPr>
                <w:rFonts w:ascii="Arial" w:hAnsi="Arial" w:eastAsia="MS Mincho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1</w:t>
            </w:r>
            <w:r>
              <w:rPr>
                <w:rFonts w:hint="eastAsia" w:ascii="Arial" w:hAnsi="Arial"/>
                <w:sz w:val="16"/>
                <w:szCs w:val="16"/>
                <w:highlight w:val="yellow"/>
                <w:lang w:val="en-US" w:eastAsia="zh-CN"/>
              </w:rPr>
              <w:t>.0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Theme="minorEastAsia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-80</w:t>
            </w:r>
          </w:p>
        </w:tc>
        <w:tc>
          <w:tcPr>
            <w:tcW w:w="964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-78.6</w:t>
            </w: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6"/>
                <w:szCs w:val="16"/>
              </w:rPr>
            </w:pPr>
            <w:r>
              <w:rPr>
                <w:rFonts w:ascii="Arial" w:hAnsi="Arial" w:eastAsia="MS Mincho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  <w:vAlign w:val="center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777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723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  <w:tc>
          <w:tcPr>
            <w:tcW w:w="964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/>
                <w:sz w:val="16"/>
                <w:szCs w:val="16"/>
              </w:rPr>
            </w:pPr>
          </w:p>
        </w:tc>
      </w:tr>
    </w:tbl>
    <w:p>
      <w:pPr>
        <w:pStyle w:val="149"/>
        <w:overflowPunct/>
        <w:autoSpaceDE/>
        <w:autoSpaceDN/>
        <w:adjustRightInd/>
        <w:spacing w:after="120"/>
        <w:ind w:left="936" w:firstLine="0" w:firstLineChars="0"/>
        <w:textAlignment w:val="auto"/>
        <w:rPr>
          <w:rFonts w:hint="eastAsia" w:eastAsia="宋体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Huawei’s proposal: To consider the impact of Delta MPR for 30MHz n28 when RAN4 evaluate the REFSENS.</w:t>
      </w:r>
    </w:p>
    <w:p>
      <w:pPr>
        <w:spacing w:after="120"/>
        <w:ind w:left="720"/>
        <w:rPr>
          <w:rFonts w:hint="eastAsia"/>
          <w:color w:val="0070C0"/>
          <w:szCs w:val="24"/>
          <w:lang w:eastAsia="zh-CN"/>
        </w:rPr>
      </w:pPr>
    </w:p>
    <w:p>
      <w:pPr>
        <w:pStyle w:val="4"/>
      </w:pPr>
      <w:r>
        <w:t xml:space="preserve">Sub-topic 2-4 </w:t>
      </w:r>
      <w:r>
        <w:rPr>
          <w:sz w:val="24"/>
          <w:szCs w:val="16"/>
        </w:rPr>
        <w:t>Spurious emission requirements for band n28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Spurious emission requirements for band n28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>
      <w:pPr>
        <w:pStyle w:val="149"/>
        <w:numPr>
          <w:ilvl w:val="0"/>
          <w:numId w:val="6"/>
        </w:numPr>
        <w:ind w:firstLineChars="0"/>
        <w:rPr>
          <w:i/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It’s recommended that R4-2000621 can be merged into 38.101-1 big CR R4-2001086.</w:t>
      </w:r>
    </w:p>
    <w:p>
      <w:pPr>
        <w:pStyle w:val="149"/>
        <w:numPr>
          <w:ilvl w:val="0"/>
          <w:numId w:val="6"/>
        </w:numPr>
        <w:ind w:firstLineChars="0"/>
        <w:rPr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Companies are encouraged to carefully check R4-2001170 (updated TP), R4-2000620 (CR for 36.101) and R4-2000622 (CR for 38.101-3). If there is no comment, it’s recommended that these papers can be approved or agreed.</w:t>
      </w:r>
    </w:p>
    <w:p>
      <w:pPr>
        <w:pStyle w:val="4"/>
      </w:pPr>
      <w:r>
        <w:t xml:space="preserve">Sub-topic 2-5 </w:t>
      </w:r>
      <w:r>
        <w:rPr>
          <w:sz w:val="24"/>
          <w:szCs w:val="16"/>
        </w:rPr>
        <w:t>Big CR in TS 38.101-1 for band n28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UE core requirements in TS 38.101-1 for n28 30MHz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Once RAN4 makes consensus on MPR, AMPR and REFSENS for n28 30MHz, R4-2001086 or the revision of R4-2001086 which capture RAN4’s consensus can be agreed in this meeting. Companies are encouraged to carefully check and comment it.</w:t>
      </w:r>
    </w:p>
    <w:p>
      <w:pPr>
        <w:rPr>
          <w:rFonts w:hint="eastAsia"/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R4-2001088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Tx requirements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‘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’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 xml:space="preserve"> for</w:t>
            </w:r>
            <w:bookmarkStart w:id="6" w:name="_GoBack"/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 xml:space="preserve"> c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h</w:t>
            </w:r>
            <w:bookmarkEnd w:id="6"/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annel bandwidth Conditions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 xml:space="preserve">, rather than 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‘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Band n28 30MHz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’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R4-2001087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Rx requirements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[ZTE]: More information shall be captured in the TP body, such as the values from the other companies, backgrounds, etc..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R4-2001170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Updated TP to remove band 39 for DC_1_n28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R4-2000620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36.101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R4-2000622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38.101-3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R4-2000621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38.101-1 (only spurious emission requirements)</w:t>
            </w: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R4-2001086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 for 38.101-1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‘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’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 xml:space="preserve"> in second row in Table 6.2.2-0, rather than 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‘</w:t>
            </w:r>
            <w:r>
              <w:t>Band n28 30MHz</w:t>
            </w:r>
            <w:r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  <w:t>’</w:t>
            </w: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2"/>
                <w:lang w:val="en-US" w:eastAsia="zh-CN"/>
              </w:rPr>
              <w:t xml:space="preserve"> In addition, is it need to add asymmetric channel bandwidths for band n28 (clause 5.3.6) in the CR?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8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2-2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2-3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2-4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2-5</w:t>
            </w:r>
          </w:p>
        </w:tc>
        <w:tc>
          <w:tcPr>
            <w:tcW w:w="840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7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sv-SE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#3: BS part for NR_n28_BW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3-1 CR to TS 38.104 for adding 30MHz and 40MHz BS channel bandwidth in band n28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24"/>
        <w:gridCol w:w="6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3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R4-2000623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CATT, CBN, ZTE, Huawei</w:t>
            </w:r>
          </w:p>
        </w:tc>
        <w:tc>
          <w:tcPr>
            <w:tcW w:w="658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To introduce 30MHz and 40MHz BS channel bandwidth for band n28</w:t>
            </w:r>
          </w:p>
        </w:tc>
      </w:tr>
    </w:tbl>
    <w:p/>
    <w:p>
      <w:pPr>
        <w:pStyle w:val="3"/>
      </w:pPr>
      <w:r>
        <w:t>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>Summary:</w:t>
      </w:r>
    </w:p>
    <w:p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Based on RAN4’s agreement, it’s recommended that this CR can be agreed. Companies are encouraged to carefully check it.</w:t>
      </w:r>
      <w:r>
        <w:rPr>
          <w:color w:val="0070C0"/>
          <w:lang w:val="en-US" w:eastAsia="zh-CN"/>
        </w:rPr>
        <w:t xml:space="preserve"> </w:t>
      </w: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7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7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B8"/>
    <w:multiLevelType w:val="multilevel"/>
    <w:tmpl w:val="031F6BB8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C7505"/>
    <w:multiLevelType w:val="multilevel"/>
    <w:tmpl w:val="1A0C75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4">
    <w:nsid w:val="6CCB6B55"/>
    <w:multiLevelType w:val="multilevel"/>
    <w:tmpl w:val="6CCB6B5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21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21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1EF4"/>
    <w:rsid w:val="0004540C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196B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2AD"/>
    <w:rsid w:val="005017F7"/>
    <w:rsid w:val="00501FA7"/>
    <w:rsid w:val="005034DC"/>
    <w:rsid w:val="00505BFA"/>
    <w:rsid w:val="005071B4"/>
    <w:rsid w:val="00507687"/>
    <w:rsid w:val="005117A9"/>
    <w:rsid w:val="00511F57"/>
    <w:rsid w:val="00513C94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7CB9"/>
    <w:rsid w:val="00541573"/>
    <w:rsid w:val="00543454"/>
    <w:rsid w:val="0054348A"/>
    <w:rsid w:val="005625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078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505F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95"/>
    <w:rsid w:val="007A1EAA"/>
    <w:rsid w:val="007A79FD"/>
    <w:rsid w:val="007B0B9D"/>
    <w:rsid w:val="007B5A43"/>
    <w:rsid w:val="007B6D9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6CFA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0666C"/>
    <w:rsid w:val="009101E2"/>
    <w:rsid w:val="00915D73"/>
    <w:rsid w:val="00916077"/>
    <w:rsid w:val="009170A2"/>
    <w:rsid w:val="009208A6"/>
    <w:rsid w:val="00924514"/>
    <w:rsid w:val="00924E1D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4BF4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0905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1381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2EE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47896501"/>
    <w:rsid w:val="48971831"/>
    <w:rsid w:val="51DC3C65"/>
    <w:rsid w:val="58B4684A"/>
    <w:rsid w:val="71FA73F3"/>
    <w:rsid w:val="EEFF73CD"/>
    <w:rsid w:val="FFB9F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49">
    <w:name w:val="Default Paragraph Font"/>
    <w:unhideWhenUsed/>
    <w:qFormat/>
    <w:uiPriority w:val="1"/>
  </w:style>
  <w:style w:type="table" w:default="1" w:styleId="5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link w:val="129"/>
    <w:qFormat/>
    <w:uiPriority w:val="0"/>
    <w:rPr>
      <w:b/>
      <w:bCs/>
    </w:rPr>
  </w:style>
  <w:style w:type="paragraph" w:styleId="16">
    <w:name w:val="annotation text"/>
    <w:basedOn w:val="1"/>
    <w:link w:val="108"/>
    <w:qFormat/>
    <w:uiPriority w:val="99"/>
  </w:style>
  <w:style w:type="paragraph" w:styleId="17">
    <w:name w:val="toc 7"/>
    <w:basedOn w:val="18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</w:style>
  <w:style w:type="paragraph" w:styleId="30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2">
    <w:name w:val="Body Text"/>
    <w:basedOn w:val="1"/>
    <w:link w:val="123"/>
    <w:qFormat/>
    <w:uiPriority w:val="0"/>
  </w:style>
  <w:style w:type="paragraph" w:styleId="33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4">
    <w:name w:val="List Bullet 5"/>
    <w:basedOn w:val="26"/>
    <w:qFormat/>
    <w:uiPriority w:val="0"/>
    <w:pPr>
      <w:ind w:left="1702"/>
    </w:pPr>
  </w:style>
  <w:style w:type="paragraph" w:styleId="35">
    <w:name w:val="toc 8"/>
    <w:basedOn w:val="23"/>
    <w:next w:val="1"/>
    <w:qFormat/>
    <w:uiPriority w:val="0"/>
    <w:pPr>
      <w:spacing w:before="180"/>
      <w:ind w:left="2693" w:hanging="2693"/>
    </w:pPr>
    <w:rPr>
      <w:b/>
    </w:rPr>
  </w:style>
  <w:style w:type="paragraph" w:styleId="36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7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8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9">
    <w:name w:val="footer"/>
    <w:basedOn w:val="40"/>
    <w:link w:val="133"/>
    <w:qFormat/>
    <w:uiPriority w:val="0"/>
    <w:pPr>
      <w:jc w:val="center"/>
    </w:pPr>
    <w:rPr>
      <w:i/>
    </w:rPr>
  </w:style>
  <w:style w:type="paragraph" w:styleId="40">
    <w:name w:val="header"/>
    <w:link w:val="107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1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2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3">
    <w:name w:val="List 5"/>
    <w:basedOn w:val="44"/>
    <w:qFormat/>
    <w:uiPriority w:val="0"/>
    <w:pPr>
      <w:ind w:left="1702"/>
    </w:pPr>
  </w:style>
  <w:style w:type="paragraph" w:styleId="44">
    <w:name w:val="List 4"/>
    <w:basedOn w:val="12"/>
    <w:qFormat/>
    <w:uiPriority w:val="0"/>
    <w:pPr>
      <w:ind w:left="1418"/>
    </w:pPr>
  </w:style>
  <w:style w:type="paragraph" w:styleId="45">
    <w:name w:val="toc 9"/>
    <w:basedOn w:val="35"/>
    <w:next w:val="1"/>
    <w:qFormat/>
    <w:uiPriority w:val="0"/>
    <w:pPr>
      <w:ind w:left="1418" w:hanging="1418"/>
    </w:pPr>
  </w:style>
  <w:style w:type="paragraph" w:styleId="46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8">
    <w:name w:val="index 2"/>
    <w:basedOn w:val="47"/>
    <w:next w:val="1"/>
    <w:semiHidden/>
    <w:qFormat/>
    <w:uiPriority w:val="0"/>
    <w:pPr>
      <w:ind w:left="284"/>
    </w:pPr>
  </w:style>
  <w:style w:type="character" w:styleId="50">
    <w:name w:val="endnote reference"/>
    <w:qFormat/>
    <w:uiPriority w:val="0"/>
    <w:rPr>
      <w:vertAlign w:val="superscript"/>
    </w:rPr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Emphasis"/>
    <w:qFormat/>
    <w:uiPriority w:val="0"/>
    <w:rPr>
      <w:i/>
      <w:iCs/>
    </w:rPr>
  </w:style>
  <w:style w:type="character" w:styleId="53">
    <w:name w:val="Hyperlink"/>
    <w:qFormat/>
    <w:uiPriority w:val="0"/>
    <w:rPr>
      <w:color w:val="0000FF"/>
      <w:u w:val="single"/>
    </w:rPr>
  </w:style>
  <w:style w:type="character" w:styleId="54">
    <w:name w:val="annotation reference"/>
    <w:semiHidden/>
    <w:qFormat/>
    <w:uiPriority w:val="0"/>
    <w:rPr>
      <w:sz w:val="16"/>
    </w:rPr>
  </w:style>
  <w:style w:type="character" w:styleId="55">
    <w:name w:val="footnote reference"/>
    <w:semiHidden/>
    <w:qFormat/>
    <w:uiPriority w:val="0"/>
    <w:rPr>
      <w:b/>
      <w:position w:val="6"/>
      <w:sz w:val="16"/>
    </w:rPr>
  </w:style>
  <w:style w:type="table" w:styleId="57">
    <w:name w:val="Table Grid"/>
    <w:basedOn w:val="56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4"/>
    <w:qFormat/>
    <w:uiPriority w:val="0"/>
  </w:style>
  <w:style w:type="paragraph" w:customStyle="1" w:styleId="88">
    <w:name w:val="B5"/>
    <w:basedOn w:val="43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标题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标题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页眉 Char"/>
    <w:link w:val="40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批注文字 Char"/>
    <w:link w:val="16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批注框文本 Char"/>
    <w:link w:val="38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标题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题注 Char"/>
    <w:link w:val="30"/>
    <w:qFormat/>
    <w:uiPriority w:val="0"/>
    <w:rPr>
      <w:b/>
      <w:lang w:val="en-GB"/>
    </w:rPr>
  </w:style>
  <w:style w:type="character" w:customStyle="1" w:styleId="122">
    <w:name w:val="标题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正文文本 Char"/>
    <w:link w:val="32"/>
    <w:qFormat/>
    <w:uiPriority w:val="0"/>
    <w:rPr>
      <w:lang w:val="en-GB"/>
    </w:rPr>
  </w:style>
  <w:style w:type="paragraph" w:customStyle="1" w:styleId="124">
    <w:name w:val="3GPP Normal Text"/>
    <w:basedOn w:val="32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纯文本 Char"/>
    <w:link w:val="33"/>
    <w:qFormat/>
    <w:uiPriority w:val="99"/>
    <w:rPr>
      <w:rFonts w:ascii="Courier New" w:hAnsi="Courier New"/>
      <w:lang w:val="nb-NO" w:eastAsia="en-US"/>
    </w:rPr>
  </w:style>
  <w:style w:type="paragraph" w:customStyle="1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批注主题 Char1"/>
    <w:link w:val="15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40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页脚 Char"/>
    <w:link w:val="39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标题 4 Char"/>
    <w:basedOn w:val="49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标题 5 Char"/>
    <w:basedOn w:val="49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标题 6 Char"/>
    <w:basedOn w:val="49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标题 7 Char"/>
    <w:basedOn w:val="49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标题 9 Char"/>
    <w:basedOn w:val="49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正文文本缩进 2 Char"/>
    <w:basedOn w:val="49"/>
    <w:link w:val="36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尾注文本 Char"/>
    <w:basedOn w:val="49"/>
    <w:link w:val="37"/>
    <w:qFormat/>
    <w:uiPriority w:val="0"/>
    <w:rPr>
      <w:rFonts w:eastAsia="Yu Mincho"/>
      <w:lang w:val="en-GB" w:eastAsia="en-US"/>
    </w:rPr>
  </w:style>
  <w:style w:type="character" w:customStyle="1" w:styleId="144">
    <w:name w:val="脚注文本 Char"/>
    <w:basedOn w:val="49"/>
    <w:link w:val="42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customStyle="1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列出段落 Char"/>
    <w:link w:val="149"/>
    <w:qFormat/>
    <w:locked/>
    <w:uiPriority w:val="34"/>
    <w:rPr>
      <w:rFonts w:eastAsia="MS Mincho"/>
      <w:lang w:val="en-GB" w:eastAsia="en-US"/>
    </w:rPr>
  </w:style>
  <w:style w:type="character" w:customStyle="1" w:styleId="153">
    <w:name w:val="List Paragraph Char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wing\Library\Containers\com.kingsoft.wpsoffice.mac\Data\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11</Pages>
  <Words>2153</Words>
  <Characters>12275</Characters>
  <Lines>102</Lines>
  <Paragraphs>28</Paragraphs>
  <TotalTime>0</TotalTime>
  <ScaleCrop>false</ScaleCrop>
  <LinksUpToDate>false</LinksUpToDate>
  <CharactersWithSpaces>14400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2020-02-17T16:40:00Z</dcterms:created>
  <dc:creator>양윤오/책임연구원/미래기술센터 C&amp;M표준(연)5G무선통신표준Task(yoonoh.yang@lge.com)</dc:creator>
  <cp:lastModifiedBy>wubin_ZTE_rev</cp:lastModifiedBy>
  <cp:lastPrinted>2019-04-25T09:09:00Z</cp:lastPrinted>
  <dcterms:modified xsi:type="dcterms:W3CDTF">2020-02-24T03:12:32Z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(3)0z0MAif8uSXh4fl40MqrkGRakv7rlyZsfJJWArXEah0X13c93DiD2Scw2Mo81jPHbX8N+H+Z
QTZQOjjOMz/lto9sPDL8kCCifNTSGCeGpny0NmKLJ2Akvj6XfVghGGXPrW7P/zeth+V0C0tu
RZxvvoQZ8CK4TfIjhcWOsrYOal+vB1zUQ7faShMBOwcXkzLFAnDpmssCL7YVUApjAYxQzBot
bhROyG11+wJZ8FLdgj</vt:lpwstr>
  </property>
  <property fmtid="{D5CDD505-2E9C-101B-9397-08002B2CF9AE}" pid="14" name="_2015_ms_pID_7253431">
    <vt:lpwstr>Ya363Q3GeJ9VxPp5cWXvAMx6FuRJ0CT3u3dnzF6B8xVVfKem1dF5l8
HnHSGjYpXGnE36cY/UaZpPg3dHCD/C6hdpoNvFSSkSaivHwrd3DNc0qTzZjPo7buYKMA8tSq
PJeK7DYhp2zAou3LtCc7Wgmq/oouyFSwPZspq8Q9Tk4tPgiz6vz0Dw9oyV7qulnS5lhxgT+4
vuLRdnwKN+eW1VCR63ixD57TrXU1+VbTNdsx</vt:lpwstr>
  </property>
  <property fmtid="{D5CDD505-2E9C-101B-9397-08002B2CF9AE}" pid="15" name="_2015_ms_pID_7253432">
    <vt:lpwstr>Iw==</vt:lpwstr>
  </property>
  <property fmtid="{D5CDD505-2E9C-101B-9397-08002B2CF9AE}" pid="16" name="KSOProductBuildVer">
    <vt:lpwstr>2052-10.8.2.7027</vt:lpwstr>
  </property>
</Properties>
</file>