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1"/>
        <w:rPr>
          <w:rFonts w:eastAsiaTheme="minorEastAsia"/>
          <w:lang w:eastAsia="zh-CN"/>
        </w:rPr>
      </w:pPr>
      <w:r w:rsidRPr="005D7AF8">
        <w:rPr>
          <w:rFonts w:hint="eastAsia"/>
          <w:lang w:eastAsia="ja-JP"/>
        </w:rPr>
        <w:t>Introduction</w:t>
      </w:r>
    </w:p>
    <w:p w14:paraId="1A286333" w14:textId="23FA0EEB"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07680F8"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27D74EDD"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EC82D68"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14:paraId="3C3336B6" w14:textId="77777777" w:rsidR="00B4108D" w:rsidRPr="00F74380"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6B7B5C8" w14:textId="2E715424" w:rsidR="00404E55" w:rsidRPr="00404E55" w:rsidRDefault="00B4108D" w:rsidP="00404E55">
      <w:pPr>
        <w:pStyle w:val="aff8"/>
        <w:numPr>
          <w:ilvl w:val="1"/>
          <w:numId w:val="4"/>
        </w:numPr>
        <w:overflowPunct/>
        <w:autoSpaceDE/>
        <w:autoSpaceDN/>
        <w:adjustRightInd/>
        <w:spacing w:after="120"/>
        <w:ind w:firstLineChars="0"/>
        <w:textAlignment w:val="auto"/>
        <w:rPr>
          <w:szCs w:val="24"/>
          <w:lang w:eastAsia="zh-CN"/>
        </w:rPr>
      </w:pPr>
      <w:r w:rsidRPr="00F74380">
        <w:rPr>
          <w:rFonts w:eastAsia="宋体"/>
          <w:szCs w:val="24"/>
          <w:lang w:eastAsia="zh-CN"/>
        </w:rPr>
        <w:t xml:space="preserve">Option 1: </w:t>
      </w:r>
      <w:r w:rsidR="00404E55" w:rsidRPr="00404E55">
        <w:rPr>
          <w:rFonts w:eastAsia="宋体"/>
          <w:szCs w:val="24"/>
          <w:lang w:eastAsia="zh-CN"/>
        </w:rPr>
        <w:t>Duty</w:t>
      </w:r>
      <w:r w:rsidR="00404E55" w:rsidRPr="00404E55">
        <w:rPr>
          <w:rFonts w:eastAsia="宋体"/>
          <w:szCs w:val="24"/>
          <w:vertAlign w:val="subscript"/>
          <w:lang w:eastAsia="zh-CN"/>
        </w:rPr>
        <w:t>LTE</w:t>
      </w:r>
      <w:r w:rsidR="00404E55" w:rsidRPr="00404E55">
        <w:rPr>
          <w:rFonts w:eastAsia="宋体"/>
          <w:szCs w:val="24"/>
          <w:lang w:eastAsia="zh-CN"/>
        </w:rPr>
        <w:t>1=</w:t>
      </w:r>
      <w:r w:rsidR="00404E55" w:rsidRPr="00404E55">
        <w:rPr>
          <w:rFonts w:eastAsia="宋体" w:hint="eastAsia"/>
          <w:szCs w:val="24"/>
          <w:lang w:eastAsia="zh-CN"/>
        </w:rPr>
        <w:t>70</w:t>
      </w:r>
      <w:r w:rsidR="00404E55" w:rsidRPr="00404E55">
        <w:rPr>
          <w:rFonts w:eastAsia="宋体"/>
          <w:szCs w:val="24"/>
          <w:lang w:eastAsia="zh-CN"/>
        </w:rPr>
        <w:t xml:space="preserve">% </w:t>
      </w:r>
      <w:r w:rsidR="00404E55">
        <w:rPr>
          <w:rFonts w:eastAsia="宋体"/>
          <w:szCs w:val="24"/>
          <w:lang w:eastAsia="zh-CN"/>
        </w:rPr>
        <w:t>,</w:t>
      </w:r>
      <w:r w:rsidR="00404E55" w:rsidRPr="00404E55">
        <w:rPr>
          <w:rFonts w:eastAsia="宋体"/>
          <w:szCs w:val="24"/>
          <w:lang w:eastAsia="zh-CN"/>
        </w:rPr>
        <w:t xml:space="preserve"> Duty</w:t>
      </w:r>
      <w:r w:rsidR="00404E55" w:rsidRPr="00404E55">
        <w:rPr>
          <w:rFonts w:eastAsia="宋体"/>
          <w:szCs w:val="24"/>
          <w:vertAlign w:val="subscript"/>
          <w:lang w:eastAsia="zh-CN"/>
        </w:rPr>
        <w:t>LTE</w:t>
      </w:r>
      <w:r w:rsidR="00404E55" w:rsidRPr="00404E55">
        <w:rPr>
          <w:rFonts w:eastAsia="宋体"/>
          <w:szCs w:val="24"/>
          <w:lang w:eastAsia="zh-CN"/>
        </w:rPr>
        <w:t>2=</w:t>
      </w:r>
      <w:r w:rsidR="00404E55" w:rsidRPr="00404E55">
        <w:rPr>
          <w:rFonts w:eastAsia="宋体" w:hint="eastAsia"/>
          <w:szCs w:val="24"/>
          <w:lang w:eastAsia="zh-CN"/>
        </w:rPr>
        <w:t>40</w:t>
      </w:r>
      <w:r w:rsidR="00404E55" w:rsidRPr="00404E55">
        <w:rPr>
          <w:rFonts w:eastAsia="宋体"/>
          <w:szCs w:val="24"/>
          <w:lang w:eastAsia="zh-CN"/>
        </w:rPr>
        <w:t>%</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09CE733D" w:rsidR="00B4108D" w:rsidRDefault="00B4108D" w:rsidP="005B4802">
      <w:pPr>
        <w:rPr>
          <w:i/>
          <w:color w:val="0070C0"/>
          <w:lang w:eastAsia="zh-CN"/>
        </w:rPr>
      </w:pPr>
    </w:p>
    <w:p w14:paraId="022B212A" w14:textId="264404DA" w:rsidR="00404E55" w:rsidRPr="00805BE8" w:rsidRDefault="00404E55" w:rsidP="00404E55">
      <w:pPr>
        <w:pStyle w:val="3"/>
        <w:rPr>
          <w:sz w:val="24"/>
          <w:szCs w:val="16"/>
        </w:rPr>
      </w:pPr>
      <w:r w:rsidRPr="00805BE8">
        <w:rPr>
          <w:sz w:val="24"/>
          <w:szCs w:val="16"/>
        </w:rPr>
        <w:t>Sub-</w:t>
      </w:r>
      <w:r>
        <w:rPr>
          <w:sz w:val="24"/>
          <w:szCs w:val="16"/>
        </w:rPr>
        <w:t xml:space="preserve">topic 1-2 </w:t>
      </w:r>
    </w:p>
    <w:p w14:paraId="6EDA5780" w14:textId="77777777"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5BC056" w14:textId="0D98BD20"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14:paraId="5FEE8060" w14:textId="77777777" w:rsidR="00404E55" w:rsidRPr="00F74380" w:rsidRDefault="00404E55" w:rsidP="00404E55">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A32768D" w14:textId="5FB5C55E" w:rsidR="00404E55" w:rsidRDefault="00775DE1" w:rsidP="00404E55">
      <w:pPr>
        <w:pStyle w:val="aff8"/>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14:paraId="6ED222D8" w14:textId="0E905F05" w:rsidR="00C319FC" w:rsidRPr="00F74380" w:rsidRDefault="00110E05" w:rsidP="00C319FC">
      <w:pPr>
        <w:pStyle w:val="aff8"/>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14:paraId="2CFADDEF" w14:textId="6276716A" w:rsidR="00404E55" w:rsidRPr="00F74380" w:rsidRDefault="00404E55" w:rsidP="00404E55">
      <w:pPr>
        <w:pStyle w:val="aff8"/>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14:paraId="1BDAAD55" w14:textId="77777777" w:rsidR="00404E55" w:rsidRPr="00805BE8" w:rsidRDefault="00404E55" w:rsidP="00404E5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385618" w14:textId="77777777" w:rsidR="00404E55" w:rsidRPr="00805BE8" w:rsidRDefault="00404E55" w:rsidP="00404E5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2F60B6" w14:textId="00F6B029"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14:paraId="12D0BDE2" w14:textId="1F15BD55" w:rsidR="008C1C30" w:rsidRDefault="008C1C30" w:rsidP="00056996">
      <w:pPr>
        <w:pStyle w:val="aff8"/>
        <w:numPr>
          <w:ilvl w:val="0"/>
          <w:numId w:val="4"/>
        </w:numPr>
        <w:overflowPunct/>
        <w:autoSpaceDE/>
        <w:autoSpaceDN/>
        <w:adjustRightInd/>
        <w:spacing w:after="120"/>
        <w:ind w:left="720" w:firstLineChars="0"/>
        <w:textAlignment w:val="auto"/>
        <w:rPr>
          <w:b/>
          <w:u w:val="single"/>
          <w:lang w:eastAsia="ko-KR"/>
        </w:rPr>
      </w:pPr>
      <w:r w:rsidRPr="00056996">
        <w:rPr>
          <w:rFonts w:eastAsia="宋体"/>
          <w:szCs w:val="24"/>
          <w:lang w:eastAsia="zh-CN"/>
        </w:rPr>
        <w:t>Proposals</w:t>
      </w:r>
      <w:r>
        <w:rPr>
          <w:b/>
          <w:u w:val="single"/>
          <w:lang w:eastAsia="ko-KR"/>
        </w:rPr>
        <w:t xml:space="preserve"> </w:t>
      </w:r>
    </w:p>
    <w:p w14:paraId="7B80C88F" w14:textId="7CEA7063" w:rsidR="001628C3" w:rsidRPr="003140A9" w:rsidRDefault="001628C3" w:rsidP="00056996">
      <w:pPr>
        <w:pStyle w:val="aff8"/>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14:paraId="4E84B8AE" w14:textId="77777777" w:rsidR="001628C3" w:rsidRPr="006912F1" w:rsidRDefault="001628C3" w:rsidP="00056996">
      <w:pPr>
        <w:spacing w:before="120" w:after="120"/>
        <w:ind w:left="1656"/>
      </w:pPr>
      <w:bookmarkStart w:id="2" w:name="_GoBack"/>
      <w:bookmarkEnd w:id="2"/>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762B2FC0" w14:textId="54ADCA5E" w:rsidR="001628C3" w:rsidRPr="00056996" w:rsidRDefault="001628C3" w:rsidP="00056996">
      <w:pPr>
        <w:pStyle w:val="aff8"/>
        <w:overflowPunct/>
        <w:autoSpaceDE/>
        <w:autoSpaceDN/>
        <w:adjustRightInd/>
        <w:spacing w:after="120"/>
        <w:ind w:left="1656" w:firstLineChars="0" w:firstLine="0"/>
        <w:textAlignment w:val="auto"/>
        <w:rPr>
          <w:b/>
          <w:u w:val="single"/>
          <w:lang w:eastAsia="ko-KR"/>
        </w:rPr>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14:paraId="63362495" w14:textId="77777777" w:rsidR="001628C3" w:rsidRPr="00056996" w:rsidRDefault="001628C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56996">
        <w:rPr>
          <w:rFonts w:eastAsia="宋体"/>
          <w:color w:val="0070C0"/>
          <w:szCs w:val="24"/>
          <w:lang w:eastAsia="zh-CN"/>
        </w:rPr>
        <w:t>Recommended WF</w:t>
      </w:r>
    </w:p>
    <w:p w14:paraId="2F265C45" w14:textId="77777777" w:rsidR="001628C3" w:rsidRPr="00805BE8" w:rsidRDefault="001628C3" w:rsidP="001628C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0C739A9" w14:textId="51AC2828" w:rsidR="00404E55" w:rsidRPr="00805BE8" w:rsidRDefault="00404E55" w:rsidP="005B4802">
      <w:pPr>
        <w:rPr>
          <w:i/>
          <w:color w:val="0070C0"/>
          <w:lang w:eastAsia="zh-CN"/>
        </w:rPr>
      </w:pPr>
    </w:p>
    <w:p w14:paraId="66F9C9AC" w14:textId="5FFABC63" w:rsidR="00571777" w:rsidRPr="00805BE8" w:rsidRDefault="00571777" w:rsidP="00805BE8">
      <w:pPr>
        <w:pStyle w:val="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A4D73CA"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14:paraId="010E9538" w14:textId="77777777" w:rsidR="00571777" w:rsidRPr="003D7A17"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14:paraId="277F457C" w14:textId="2681097A"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1: </w:t>
      </w:r>
      <w:r w:rsidR="001D4A6A" w:rsidRPr="003D7A17">
        <w:rPr>
          <w:rFonts w:eastAsia="宋体"/>
          <w:szCs w:val="24"/>
          <w:lang w:eastAsia="zh-CN"/>
        </w:rPr>
        <w:t xml:space="preserve">IMD2: 31.8dB  ;IMD4: 19.4dB </w:t>
      </w:r>
    </w:p>
    <w:p w14:paraId="58996C1B" w14:textId="3F55679C"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5F7CC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F7CC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D78BF" w14:textId="77777777" w:rsidR="005821CF" w:rsidRDefault="005821CF">
      <w:r>
        <w:separator/>
      </w:r>
    </w:p>
  </w:endnote>
  <w:endnote w:type="continuationSeparator" w:id="0">
    <w:p w14:paraId="041339A2" w14:textId="77777777" w:rsidR="005821CF" w:rsidRDefault="0058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26C0" w14:textId="77777777" w:rsidR="005821CF" w:rsidRDefault="005821CF">
      <w:r>
        <w:separator/>
      </w:r>
    </w:p>
  </w:footnote>
  <w:footnote w:type="continuationSeparator" w:id="0">
    <w:p w14:paraId="71A534F7" w14:textId="77777777" w:rsidR="005821CF" w:rsidRDefault="00582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55C9C"/>
    <w:rsid w:val="00056996"/>
    <w:rsid w:val="0006266D"/>
    <w:rsid w:val="00065506"/>
    <w:rsid w:val="00065BF8"/>
    <w:rsid w:val="0007382E"/>
    <w:rsid w:val="000766E1"/>
    <w:rsid w:val="00077FF6"/>
    <w:rsid w:val="00080D82"/>
    <w:rsid w:val="00081692"/>
    <w:rsid w:val="00082C46"/>
    <w:rsid w:val="00085A0E"/>
    <w:rsid w:val="00087548"/>
    <w:rsid w:val="00087A2C"/>
    <w:rsid w:val="00093E7E"/>
    <w:rsid w:val="000A1830"/>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7858"/>
    <w:rsid w:val="000F5F31"/>
    <w:rsid w:val="00107927"/>
    <w:rsid w:val="00110E05"/>
    <w:rsid w:val="00110E26"/>
    <w:rsid w:val="00111321"/>
    <w:rsid w:val="00117BD6"/>
    <w:rsid w:val="001206C2"/>
    <w:rsid w:val="00121978"/>
    <w:rsid w:val="00123422"/>
    <w:rsid w:val="00124B6A"/>
    <w:rsid w:val="00136D4C"/>
    <w:rsid w:val="00142BB9"/>
    <w:rsid w:val="00144F96"/>
    <w:rsid w:val="00151EAC"/>
    <w:rsid w:val="00153528"/>
    <w:rsid w:val="00153A44"/>
    <w:rsid w:val="00154E68"/>
    <w:rsid w:val="00162548"/>
    <w:rsid w:val="001628C3"/>
    <w:rsid w:val="00172183"/>
    <w:rsid w:val="001751AB"/>
    <w:rsid w:val="00175A3F"/>
    <w:rsid w:val="00180E09"/>
    <w:rsid w:val="00183D4C"/>
    <w:rsid w:val="00183F6D"/>
    <w:rsid w:val="0018670E"/>
    <w:rsid w:val="0019219A"/>
    <w:rsid w:val="001945F1"/>
    <w:rsid w:val="00195077"/>
    <w:rsid w:val="001A033F"/>
    <w:rsid w:val="001A08AA"/>
    <w:rsid w:val="001A59CB"/>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28B9"/>
    <w:rsid w:val="00362D8F"/>
    <w:rsid w:val="00367724"/>
    <w:rsid w:val="0037694A"/>
    <w:rsid w:val="003770F6"/>
    <w:rsid w:val="00383E37"/>
    <w:rsid w:val="00393042"/>
    <w:rsid w:val="00394AD5"/>
    <w:rsid w:val="0039642D"/>
    <w:rsid w:val="003A2E40"/>
    <w:rsid w:val="003B0158"/>
    <w:rsid w:val="003B40B6"/>
    <w:rsid w:val="003B56DB"/>
    <w:rsid w:val="003B755E"/>
    <w:rsid w:val="003C0E59"/>
    <w:rsid w:val="003C228E"/>
    <w:rsid w:val="003C51AC"/>
    <w:rsid w:val="003C51E7"/>
    <w:rsid w:val="003C6893"/>
    <w:rsid w:val="003C6DE2"/>
    <w:rsid w:val="003D1EFD"/>
    <w:rsid w:val="003D28BF"/>
    <w:rsid w:val="003D4215"/>
    <w:rsid w:val="003D4C47"/>
    <w:rsid w:val="003D7719"/>
    <w:rsid w:val="003D7A17"/>
    <w:rsid w:val="003E40EE"/>
    <w:rsid w:val="003F1C1B"/>
    <w:rsid w:val="00401144"/>
    <w:rsid w:val="00404831"/>
    <w:rsid w:val="00404E55"/>
    <w:rsid w:val="00407661"/>
    <w:rsid w:val="00410314"/>
    <w:rsid w:val="00412063"/>
    <w:rsid w:val="00412EB1"/>
    <w:rsid w:val="00413DDE"/>
    <w:rsid w:val="00414118"/>
    <w:rsid w:val="00416084"/>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21CF"/>
    <w:rsid w:val="0058519C"/>
    <w:rsid w:val="0059149A"/>
    <w:rsid w:val="00594B73"/>
    <w:rsid w:val="005956EE"/>
    <w:rsid w:val="005A083E"/>
    <w:rsid w:val="005B4802"/>
    <w:rsid w:val="005C1EA6"/>
    <w:rsid w:val="005D0B99"/>
    <w:rsid w:val="005D308E"/>
    <w:rsid w:val="005D3A48"/>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C0C"/>
    <w:rsid w:val="00700755"/>
    <w:rsid w:val="0070646B"/>
    <w:rsid w:val="007130A2"/>
    <w:rsid w:val="00715463"/>
    <w:rsid w:val="00725768"/>
    <w:rsid w:val="00730655"/>
    <w:rsid w:val="00731D77"/>
    <w:rsid w:val="00732360"/>
    <w:rsid w:val="0073390A"/>
    <w:rsid w:val="00734E64"/>
    <w:rsid w:val="00736B37"/>
    <w:rsid w:val="00740A35"/>
    <w:rsid w:val="007520B4"/>
    <w:rsid w:val="00752F12"/>
    <w:rsid w:val="007655D5"/>
    <w:rsid w:val="00775DE1"/>
    <w:rsid w:val="007763C1"/>
    <w:rsid w:val="00777E82"/>
    <w:rsid w:val="00781359"/>
    <w:rsid w:val="00786921"/>
    <w:rsid w:val="0079038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1C30"/>
    <w:rsid w:val="008C280D"/>
    <w:rsid w:val="008C60E9"/>
    <w:rsid w:val="008D04F0"/>
    <w:rsid w:val="008D1B7C"/>
    <w:rsid w:val="008D6657"/>
    <w:rsid w:val="008E1F60"/>
    <w:rsid w:val="008E307E"/>
    <w:rsid w:val="008F2CC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A6D"/>
    <w:rsid w:val="00BE33AE"/>
    <w:rsid w:val="00BF046F"/>
    <w:rsid w:val="00C01D50"/>
    <w:rsid w:val="00C056DC"/>
    <w:rsid w:val="00C12385"/>
    <w:rsid w:val="00C1329B"/>
    <w:rsid w:val="00C24C05"/>
    <w:rsid w:val="00C24D2F"/>
    <w:rsid w:val="00C26222"/>
    <w:rsid w:val="00C31283"/>
    <w:rsid w:val="00C319FC"/>
    <w:rsid w:val="00C33C48"/>
    <w:rsid w:val="00C340E5"/>
    <w:rsid w:val="00C3437A"/>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3188C"/>
    <w:rsid w:val="00D34172"/>
    <w:rsid w:val="00D35F9B"/>
    <w:rsid w:val="00D36B69"/>
    <w:rsid w:val="00D408DD"/>
    <w:rsid w:val="00D45D72"/>
    <w:rsid w:val="00D520E4"/>
    <w:rsid w:val="00D53A38"/>
    <w:rsid w:val="00D575DD"/>
    <w:rsid w:val="00D57DFA"/>
    <w:rsid w:val="00D67FCF"/>
    <w:rsid w:val="00D709CE"/>
    <w:rsid w:val="00D71F73"/>
    <w:rsid w:val="00D76C8E"/>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571"/>
    <w:rsid w:val="00F618EF"/>
    <w:rsid w:val="00F65582"/>
    <w:rsid w:val="00F66E75"/>
    <w:rsid w:val="00F7438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E5CC-176E-4274-BEBA-B7B0382E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8</Pages>
  <Words>1463</Words>
  <Characters>8345</Characters>
  <Application>Microsoft Office Word</Application>
  <DocSecurity>0</DocSecurity>
  <Lines>69</Lines>
  <Paragraphs>19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14</cp:revision>
  <cp:lastPrinted>2019-04-25T01:09:00Z</cp:lastPrinted>
  <dcterms:created xsi:type="dcterms:W3CDTF">2020-02-25T09:10:00Z</dcterms:created>
  <dcterms:modified xsi:type="dcterms:W3CDTF">2020-02-25T09:20:00Z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