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CB2941">
      <w:pPr>
        <w:pStyle w:val="afe"/>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385E00">
      <w:pPr>
        <w:pStyle w:val="afe"/>
        <w:numPr>
          <w:ilvl w:val="1"/>
          <w:numId w:val="3"/>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385E00">
      <w:pPr>
        <w:pStyle w:val="afe"/>
        <w:numPr>
          <w:ilvl w:val="1"/>
          <w:numId w:val="3"/>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385E00">
      <w:pPr>
        <w:pStyle w:val="afe"/>
        <w:numPr>
          <w:ilvl w:val="1"/>
          <w:numId w:val="3"/>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385E00">
      <w:pPr>
        <w:pStyle w:val="afe"/>
        <w:numPr>
          <w:ilvl w:val="1"/>
          <w:numId w:val="3"/>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385E00">
      <w:pPr>
        <w:pStyle w:val="afe"/>
        <w:numPr>
          <w:ilvl w:val="1"/>
          <w:numId w:val="3"/>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F042B2">
      <w:pPr>
        <w:pStyle w:val="afe"/>
        <w:numPr>
          <w:ilvl w:val="1"/>
          <w:numId w:val="3"/>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642BC6">
      <w:pPr>
        <w:pStyle w:val="afe"/>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170277">
      <w:pPr>
        <w:pStyle w:val="afe"/>
        <w:numPr>
          <w:ilvl w:val="1"/>
          <w:numId w:val="3"/>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170277">
      <w:pPr>
        <w:pStyle w:val="afe"/>
        <w:numPr>
          <w:ilvl w:val="1"/>
          <w:numId w:val="3"/>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170277">
      <w:pPr>
        <w:pStyle w:val="afe"/>
        <w:numPr>
          <w:ilvl w:val="1"/>
          <w:numId w:val="3"/>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170277">
      <w:pPr>
        <w:pStyle w:val="afe"/>
        <w:numPr>
          <w:ilvl w:val="1"/>
          <w:numId w:val="3"/>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F042B2">
      <w:pPr>
        <w:pStyle w:val="afe"/>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F042B2">
      <w:pPr>
        <w:pStyle w:val="afe"/>
        <w:numPr>
          <w:ilvl w:val="1"/>
          <w:numId w:val="3"/>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F042B2">
      <w:pPr>
        <w:pStyle w:val="afe"/>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F042B2">
      <w:pPr>
        <w:pStyle w:val="afe"/>
        <w:numPr>
          <w:ilvl w:val="0"/>
          <w:numId w:val="30"/>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AF2D8F"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AF2D8F"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AF2D8F"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AF2D8F"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AF2D8F"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AF2D8F"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AF2D8F"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AF2D8F"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AF2D8F"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AF2D8F"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AF2D8F"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A34734">
            <w:pPr>
              <w:pStyle w:val="afe"/>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A34734">
            <w:pPr>
              <w:pStyle w:val="afe"/>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A34734">
            <w:pPr>
              <w:pStyle w:val="afe"/>
              <w:numPr>
                <w:ilvl w:val="0"/>
                <w:numId w:val="20"/>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A34734">
            <w:pPr>
              <w:pStyle w:val="afe"/>
              <w:numPr>
                <w:ilvl w:val="0"/>
                <w:numId w:val="20"/>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A34734">
            <w:pPr>
              <w:pStyle w:val="afe"/>
              <w:numPr>
                <w:ilvl w:val="0"/>
                <w:numId w:val="18"/>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A34734">
            <w:pPr>
              <w:pStyle w:val="afe"/>
              <w:numPr>
                <w:ilvl w:val="0"/>
                <w:numId w:val="18"/>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A34734">
            <w:pPr>
              <w:pStyle w:val="afe"/>
              <w:numPr>
                <w:ilvl w:val="1"/>
                <w:numId w:val="19"/>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A34734">
            <w:pPr>
              <w:pStyle w:val="afe"/>
              <w:numPr>
                <w:ilvl w:val="0"/>
                <w:numId w:val="21"/>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A34734">
            <w:pPr>
              <w:pStyle w:val="afe"/>
              <w:numPr>
                <w:ilvl w:val="0"/>
                <w:numId w:val="21"/>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A34734">
            <w:pPr>
              <w:pStyle w:val="afe"/>
              <w:numPr>
                <w:ilvl w:val="0"/>
                <w:numId w:val="22"/>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A34734">
            <w:pPr>
              <w:pStyle w:val="afe"/>
              <w:numPr>
                <w:ilvl w:val="0"/>
                <w:numId w:val="22"/>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A34734">
            <w:pPr>
              <w:pStyle w:val="afe"/>
              <w:numPr>
                <w:ilvl w:val="2"/>
                <w:numId w:val="22"/>
              </w:numPr>
              <w:spacing w:after="0"/>
              <w:ind w:firstLineChars="0"/>
              <w:contextualSpacing/>
              <w:rPr>
                <w:b/>
              </w:rPr>
            </w:pPr>
            <w:r>
              <w:rPr>
                <w:b/>
              </w:rPr>
              <w:t>13 dB for IMD3</w:t>
            </w:r>
          </w:p>
          <w:p w14:paraId="2A7EEA8E" w14:textId="77777777" w:rsidR="00A34734" w:rsidRDefault="00A34734" w:rsidP="00A34734">
            <w:pPr>
              <w:pStyle w:val="afe"/>
              <w:numPr>
                <w:ilvl w:val="2"/>
                <w:numId w:val="22"/>
              </w:numPr>
              <w:spacing w:after="0"/>
              <w:ind w:firstLineChars="0"/>
              <w:contextualSpacing/>
              <w:rPr>
                <w:b/>
              </w:rPr>
            </w:pPr>
            <w:r>
              <w:rPr>
                <w:b/>
              </w:rPr>
              <w:t>7 dB for IMD5</w:t>
            </w:r>
          </w:p>
          <w:p w14:paraId="61F90F7E" w14:textId="77777777" w:rsidR="00A34734" w:rsidRPr="00AD3F69" w:rsidRDefault="00A34734" w:rsidP="00A34734">
            <w:pPr>
              <w:pStyle w:val="afe"/>
              <w:numPr>
                <w:ilvl w:val="0"/>
                <w:numId w:val="22"/>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A34734">
            <w:pPr>
              <w:pStyle w:val="afe"/>
              <w:numPr>
                <w:ilvl w:val="2"/>
                <w:numId w:val="22"/>
              </w:numPr>
              <w:spacing w:after="0"/>
              <w:ind w:firstLineChars="0"/>
              <w:contextualSpacing/>
              <w:rPr>
                <w:b/>
              </w:rPr>
            </w:pPr>
            <w:r>
              <w:rPr>
                <w:b/>
              </w:rPr>
              <w:t>20 dB for IMD3</w:t>
            </w:r>
          </w:p>
          <w:p w14:paraId="2BC1CF8B" w14:textId="77777777" w:rsidR="00A34734" w:rsidRDefault="00A34734" w:rsidP="00A34734">
            <w:pPr>
              <w:pStyle w:val="afe"/>
              <w:numPr>
                <w:ilvl w:val="2"/>
                <w:numId w:val="22"/>
              </w:numPr>
              <w:spacing w:after="0"/>
              <w:ind w:firstLineChars="0"/>
              <w:contextualSpacing/>
              <w:rPr>
                <w:b/>
              </w:rPr>
            </w:pPr>
            <w:r>
              <w:rPr>
                <w:b/>
              </w:rPr>
              <w:t>13 dB for IMD5</w:t>
            </w:r>
          </w:p>
          <w:p w14:paraId="4543BECB" w14:textId="77777777" w:rsidR="00A34734" w:rsidRPr="00AD3F69" w:rsidRDefault="00A34734" w:rsidP="00A34734">
            <w:pPr>
              <w:pStyle w:val="afe"/>
              <w:numPr>
                <w:ilvl w:val="2"/>
                <w:numId w:val="22"/>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A34734">
            <w:pPr>
              <w:pStyle w:val="afe"/>
              <w:numPr>
                <w:ilvl w:val="0"/>
                <w:numId w:val="23"/>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A34734">
            <w:pPr>
              <w:pStyle w:val="afe"/>
              <w:numPr>
                <w:ilvl w:val="0"/>
                <w:numId w:val="23"/>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3950E7">
            <w:pPr>
              <w:numPr>
                <w:ilvl w:val="0"/>
                <w:numId w:val="24"/>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3950E7">
            <w:pPr>
              <w:numPr>
                <w:ilvl w:val="0"/>
                <w:numId w:val="24"/>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宋体"/>
                <w:lang w:eastAsia="zh-CN"/>
              </w:rPr>
            </w:pPr>
            <w:r>
              <w:rPr>
                <w:rFonts w:eastAsia="宋体"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宋体"/>
                <w:lang w:eastAsia="zh-CN"/>
              </w:rPr>
            </w:pPr>
            <w:r>
              <w:rPr>
                <w:rFonts w:eastAsia="宋体" w:hint="eastAsia"/>
                <w:lang w:eastAsia="zh-CN"/>
              </w:rPr>
              <w:t>Nokia</w:t>
            </w:r>
          </w:p>
        </w:tc>
        <w:tc>
          <w:tcPr>
            <w:tcW w:w="7509" w:type="dxa"/>
          </w:tcPr>
          <w:p w14:paraId="237DA6DB" w14:textId="78883A82" w:rsidR="00396E3C" w:rsidRPr="00396E3C" w:rsidRDefault="00396E3C" w:rsidP="00C83E3B">
            <w:pPr>
              <w:rPr>
                <w:rFonts w:eastAsia="宋体"/>
                <w:b/>
                <w:bCs/>
                <w:lang w:eastAsia="zh-CN"/>
              </w:rPr>
            </w:pPr>
            <w:r>
              <w:rPr>
                <w:rFonts w:eastAsia="宋体" w:hint="eastAsia"/>
                <w:b/>
                <w:bCs/>
                <w:lang w:eastAsia="zh-CN"/>
              </w:rPr>
              <w:t xml:space="preserve">Move </w:t>
            </w:r>
            <w:r>
              <w:rPr>
                <w:rFonts w:eastAsia="宋体"/>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31197">
            <w:pPr>
              <w:pStyle w:val="afe"/>
              <w:numPr>
                <w:ilvl w:val="0"/>
                <w:numId w:val="25"/>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87498">
            <w:pPr>
              <w:pStyle w:val="afe"/>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87498">
            <w:pPr>
              <w:pStyle w:val="afe"/>
              <w:numPr>
                <w:ilvl w:val="0"/>
                <w:numId w:val="25"/>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31197">
            <w:pPr>
              <w:pStyle w:val="afe"/>
              <w:numPr>
                <w:ilvl w:val="0"/>
                <w:numId w:val="25"/>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B20154">
            <w:pPr>
              <w:pStyle w:val="afe"/>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B20154">
            <w:pPr>
              <w:pStyle w:val="afe"/>
              <w:numPr>
                <w:ilvl w:val="0"/>
                <w:numId w:val="26"/>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B20154">
            <w:pPr>
              <w:pStyle w:val="afe"/>
              <w:numPr>
                <w:ilvl w:val="0"/>
                <w:numId w:val="26"/>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A0441">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12" w:name="OLE_LINK6"/>
      <w:r w:rsidRPr="00805BE8">
        <w:rPr>
          <w:rFonts w:eastAsia="宋体"/>
          <w:color w:val="0070C0"/>
          <w:szCs w:val="24"/>
          <w:lang w:eastAsia="zh-CN"/>
        </w:rPr>
        <w:t>Proposals</w:t>
      </w:r>
    </w:p>
    <w:p w14:paraId="13C6B9EA" w14:textId="2A6BB506" w:rsidR="00B4108D" w:rsidRDefault="0095658F" w:rsidP="0095658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Option 1:</w:t>
      </w:r>
      <w:r w:rsidRPr="0095658F">
        <w:rPr>
          <w:rFonts w:eastAsia="宋体"/>
          <w:color w:val="0070C0"/>
          <w:szCs w:val="24"/>
          <w:lang w:eastAsia="zh-CN"/>
        </w:rPr>
        <w:t xml:space="preserve"> </w:t>
      </w:r>
      <m:oMath>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sub>
        </m:sSub>
        <m:r>
          <m:rPr>
            <m:sty m:val="p"/>
          </m:rPr>
          <w:rPr>
            <w:rFonts w:ascii="Cambria Math" w:eastAsia="宋体" w:hAnsi="Cambria Math"/>
            <w:color w:val="0070C0"/>
            <w:szCs w:val="24"/>
            <w:lang w:eastAsia="zh-CN"/>
          </w:rPr>
          <m:t>=</m:t>
        </m:r>
        <m:func>
          <m:funcPr>
            <m:ctrlPr>
              <w:rPr>
                <w:rFonts w:ascii="Cambria Math" w:eastAsia="宋体" w:hAnsi="Cambria Math"/>
                <w:color w:val="0070C0"/>
                <w:szCs w:val="24"/>
                <w:lang w:eastAsia="zh-CN"/>
              </w:rPr>
            </m:ctrlPr>
          </m:funcPr>
          <m:fName>
            <m:limLow>
              <m:limLowPr>
                <m:ctrlPr>
                  <w:rPr>
                    <w:rFonts w:ascii="Cambria Math" w:eastAsia="宋体" w:hAnsi="Cambria Math"/>
                    <w:color w:val="0070C0"/>
                    <w:szCs w:val="24"/>
                    <w:lang w:eastAsia="zh-CN"/>
                  </w:rPr>
                </m:ctrlPr>
              </m:limLowPr>
              <m:e>
                <m:r>
                  <m:rPr>
                    <m:sty m:val="p"/>
                  </m:rPr>
                  <w:rPr>
                    <w:rFonts w:ascii="Cambria Math" w:eastAsia="宋体" w:hAnsi="Cambria Math"/>
                    <w:color w:val="0070C0"/>
                    <w:szCs w:val="24"/>
                    <w:lang w:eastAsia="zh-CN"/>
                  </w:rPr>
                  <m:t>max</m:t>
                </m:r>
              </m:e>
              <m:lim>
                <m:r>
                  <w:rPr>
                    <w:rFonts w:ascii="Cambria Math" w:eastAsia="宋体" w:hAnsi="Cambria Math"/>
                    <w:color w:val="0070C0"/>
                    <w:szCs w:val="24"/>
                    <w:lang w:eastAsia="zh-CN"/>
                  </w:rPr>
                  <m:t>k</m:t>
                </m:r>
              </m:lim>
            </m:limLow>
          </m:fName>
          <m:e>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r>
                  <m:rPr>
                    <m:sty m:val="p"/>
                  </m:rPr>
                  <w:rPr>
                    <w:rFonts w:ascii="Cambria Math" w:eastAsia="宋体" w:hAnsi="Cambria Math"/>
                    <w:color w:val="0070C0"/>
                    <w:szCs w:val="24"/>
                    <w:lang w:eastAsia="zh-CN"/>
                  </w:rPr>
                  <m:t>,</m:t>
                </m:r>
                <m:r>
                  <w:rPr>
                    <w:rFonts w:ascii="Cambria Math" w:eastAsia="宋体" w:hAnsi="Cambria Math"/>
                    <w:color w:val="0070C0"/>
                    <w:szCs w:val="24"/>
                    <w:lang w:eastAsia="zh-CN"/>
                  </w:rPr>
                  <m:t>Channel</m:t>
                </m:r>
                <m:d>
                  <m:dPr>
                    <m:ctrlPr>
                      <w:rPr>
                        <w:rFonts w:ascii="Cambria Math" w:eastAsia="宋体" w:hAnsi="Cambria Math"/>
                        <w:color w:val="0070C0"/>
                        <w:szCs w:val="24"/>
                        <w:lang w:eastAsia="zh-CN"/>
                      </w:rPr>
                    </m:ctrlPr>
                  </m:dPr>
                  <m:e>
                    <m:r>
                      <w:rPr>
                        <w:rFonts w:ascii="Cambria Math" w:eastAsia="宋体" w:hAnsi="Cambria Math"/>
                        <w:color w:val="0070C0"/>
                        <w:szCs w:val="24"/>
                        <w:lang w:eastAsia="zh-CN"/>
                      </w:rPr>
                      <m:t>k</m:t>
                    </m:r>
                  </m:e>
                </m:d>
              </m:sub>
            </m:sSub>
          </m:e>
        </m:func>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r>
          <m:rPr>
            <m:sty m:val="p"/>
          </m:rPr>
          <w:rPr>
            <w:rFonts w:ascii="Cambria Math" w:eastAsia="宋体" w:hAnsi="Cambria Math"/>
            <w:color w:val="0070C0"/>
            <w:szCs w:val="24"/>
            <w:lang w:eastAsia="zh-CN"/>
          </w:rPr>
          <m:t>)</m:t>
        </m:r>
      </m:oMath>
      <w:r w:rsidR="00CE7282" w:rsidRPr="00CE7282">
        <w:rPr>
          <w:rFonts w:eastAsia="宋体"/>
          <w:color w:val="0070C0"/>
          <w:szCs w:val="24"/>
          <w:lang w:eastAsia="zh-CN"/>
        </w:rPr>
        <w:t>), indicating that the maximum is taken across the CCs, and the included minimum guard band widths correspond to</w:t>
      </w:r>
      <m:oMath>
        <m:r>
          <m:rPr>
            <m:sty m:val="p"/>
          </m:rPr>
          <w:rPr>
            <w:rFonts w:ascii="Cambria Math" w:eastAsia="宋体" w:hAnsi="Cambria Math"/>
            <w:color w:val="0070C0"/>
            <w:szCs w:val="24"/>
            <w:lang w:eastAsia="zh-CN"/>
          </w:rPr>
          <m:t xml:space="preserve"> </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oMath>
      <w:r w:rsidR="00CE7282" w:rsidRPr="00CE7282">
        <w:rPr>
          <w:rFonts w:eastAsia="宋体"/>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May </w:t>
      </w:r>
      <w:r>
        <w:rPr>
          <w:rFonts w:eastAsia="宋体" w:hint="eastAsia"/>
          <w:color w:val="0070C0"/>
          <w:szCs w:val="24"/>
          <w:lang w:eastAsia="zh-CN"/>
        </w:rPr>
        <w:t xml:space="preserve">Adopt </w:t>
      </w:r>
      <w:r w:rsidRPr="006D36D9">
        <w:rPr>
          <w:rFonts w:eastAsia="宋体"/>
          <w:color w:val="0070C0"/>
          <w:szCs w:val="24"/>
          <w:lang w:eastAsia="zh-CN"/>
        </w:rPr>
        <w:t>F</w:t>
      </w:r>
      <w:r w:rsidRPr="006D36D9">
        <w:rPr>
          <w:rFonts w:eastAsia="宋体"/>
          <w:color w:val="0070C0"/>
          <w:szCs w:val="24"/>
          <w:vertAlign w:val="subscript"/>
          <w:lang w:eastAsia="zh-CN"/>
        </w:rPr>
        <w:t>offset,low</w:t>
      </w:r>
      <w:r w:rsidRPr="006D36D9">
        <w:rPr>
          <w:rFonts w:eastAsia="宋体"/>
          <w:color w:val="0070C0"/>
          <w:szCs w:val="24"/>
          <w:lang w:eastAsia="zh-CN"/>
        </w:rPr>
        <w:t xml:space="preserve"> and F</w:t>
      </w:r>
      <w:r w:rsidRPr="006D36D9">
        <w:rPr>
          <w:rFonts w:eastAsia="宋体"/>
          <w:color w:val="0070C0"/>
          <w:szCs w:val="24"/>
          <w:vertAlign w:val="subscript"/>
          <w:lang w:eastAsia="zh-CN"/>
        </w:rPr>
        <w:t>offset,high</w:t>
      </w:r>
      <w:r w:rsidRPr="006D36D9">
        <w:rPr>
          <w:rFonts w:eastAsia="宋体"/>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Need revision on the ambiguity part in TS 38.101, and align definition with TS 38.104</w:t>
      </w:r>
    </w:p>
    <w:p w14:paraId="49D6F8A9" w14:textId="2F51152F" w:rsidR="00B4108D" w:rsidRPr="001645F9" w:rsidRDefault="006D36D9" w:rsidP="00B4108D">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r>
      <w:r>
        <w:rPr>
          <w:rFonts w:eastAsia="宋体"/>
          <w:color w:val="0070C0"/>
          <w:szCs w:val="24"/>
          <w:lang w:eastAsia="zh-CN"/>
        </w:rPr>
        <w:t>ACLR MBW for both</w:t>
      </w:r>
      <w:r w:rsidRPr="006D36D9">
        <w:rPr>
          <w:rFonts w:eastAsia="宋体"/>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宋体"/>
          <w:color w:val="0070C0"/>
          <w:szCs w:val="24"/>
          <w:lang w:eastAsia="zh-CN"/>
        </w:rPr>
      </w:pPr>
      <w:r w:rsidRPr="006D36D9">
        <w:rPr>
          <w:rFonts w:eastAsia="宋体"/>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t>The offset frequency between the center of the wanted and adjacent channel is:</w:t>
      </w:r>
      <w:r>
        <w:rPr>
          <w:rFonts w:eastAsia="宋体"/>
          <w:color w:val="0070C0"/>
          <w:szCs w:val="24"/>
          <w:lang w:eastAsia="zh-CN"/>
        </w:rPr>
        <w:t xml:space="preserve"> </w:t>
      </w:r>
      <w:r w:rsidRPr="006D36D9">
        <w:rPr>
          <w:rFonts w:eastAsia="宋体"/>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宋体"/>
          <w:color w:val="0070C0"/>
          <w:szCs w:val="24"/>
          <w:lang w:eastAsia="zh-CN"/>
        </w:rPr>
      </w:pPr>
      <w:r>
        <w:rPr>
          <w:rFonts w:eastAsia="宋体"/>
          <w:color w:val="0070C0"/>
          <w:szCs w:val="24"/>
          <w:lang w:eastAsia="zh-CN"/>
        </w:rPr>
        <w:t>N</w:t>
      </w:r>
      <w:r w:rsidRPr="006D36D9">
        <w:rPr>
          <w:rFonts w:eastAsia="宋体"/>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lastRenderedPageBreak/>
        <w:t>Option 3:</w:t>
      </w:r>
      <w:r>
        <w:rPr>
          <w:rFonts w:eastAsia="宋体"/>
          <w:color w:val="0070C0"/>
          <w:szCs w:val="24"/>
          <w:lang w:eastAsia="zh-CN"/>
        </w:rPr>
        <w:t xml:space="preserve"> </w:t>
      </w:r>
      <w:r w:rsidR="006D36D9">
        <w:rPr>
          <w:rFonts w:eastAsia="宋体"/>
          <w:color w:val="0070C0"/>
          <w:szCs w:val="24"/>
          <w:lang w:eastAsia="zh-CN"/>
        </w:rPr>
        <w:t>other options are not precluded</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D805F5">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4DC34738"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+/-(BWchannel, low+BWchannel, high)/2</w:t>
      </w:r>
    </w:p>
    <w:p w14:paraId="4C051584"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+/-3*(BWchannel, low+BWchannel, high)/2</w:t>
      </w:r>
    </w:p>
    <w:p w14:paraId="69CBF305"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宋体"/>
          <w:color w:val="0070C0"/>
          <w:szCs w:val="24"/>
          <w:lang w:eastAsia="zh-CN"/>
        </w:rPr>
      </w:pPr>
      <w:r w:rsidRPr="00D34DC4">
        <w:rPr>
          <w:rFonts w:eastAsia="宋体"/>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D805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 xml:space="preserve">Option 2: </w:t>
      </w:r>
      <w:r w:rsidR="00D34DC4">
        <w:rPr>
          <w:rFonts w:eastAsia="宋体"/>
          <w:color w:val="0070C0"/>
          <w:szCs w:val="24"/>
          <w:lang w:eastAsia="zh-CN"/>
        </w:rPr>
        <w:t>As per agreed in WF R4-191</w:t>
      </w:r>
      <w:r w:rsidR="00EA4B01">
        <w:rPr>
          <w:rFonts w:eastAsia="宋体"/>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宋体"/>
          <w:color w:val="0070C0"/>
          <w:szCs w:val="24"/>
          <w:lang w:eastAsia="zh-CN"/>
        </w:rPr>
      </w:pPr>
    </w:p>
    <w:p w14:paraId="64DF890A" w14:textId="570D771F"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95658F">
        <w:rPr>
          <w:b/>
          <w:color w:val="0070C0"/>
          <w:u w:val="single"/>
          <w:lang w:eastAsia="ko-KR"/>
        </w:rPr>
        <w:t xml:space="preserve">73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CE7282">
      <w:pPr>
        <w:pStyle w:val="afe"/>
        <w:numPr>
          <w:ilvl w:val="1"/>
          <w:numId w:val="24"/>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D805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340C547" w:rsidR="00571777" w:rsidRPr="001645F9" w:rsidRDefault="00A45F1F" w:rsidP="00571777">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571777">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5A6937F4"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A45F1F">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3: </w:t>
      </w:r>
    </w:p>
    <w:p w14:paraId="32F7258C" w14:textId="4E682AE0" w:rsidR="004F6A14" w:rsidRDefault="004F6A14" w:rsidP="004F6A14">
      <w:pPr>
        <w:numPr>
          <w:ilvl w:val="3"/>
          <w:numId w:val="31"/>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253A3F">
      <w:pPr>
        <w:numPr>
          <w:ilvl w:val="3"/>
          <w:numId w:val="31"/>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886A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86C208" w14:textId="42EE38EE" w:rsidR="00886A7C" w:rsidRPr="001645F9" w:rsidRDefault="00A45F1F" w:rsidP="00886A7C">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886A7C">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253A3F">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lastRenderedPageBreak/>
        <w:t xml:space="preserve">Option 3: </w:t>
      </w:r>
    </w:p>
    <w:p w14:paraId="446E0E12" w14:textId="77777777" w:rsidR="00253A3F" w:rsidRPr="00253A3F" w:rsidRDefault="00253A3F" w:rsidP="00253A3F">
      <w:pPr>
        <w:numPr>
          <w:ilvl w:val="1"/>
          <w:numId w:val="33"/>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253A3F">
      <w:pPr>
        <w:numPr>
          <w:ilvl w:val="1"/>
          <w:numId w:val="36"/>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4407B4">
      <w:pPr>
        <w:numPr>
          <w:ilvl w:val="1"/>
          <w:numId w:val="38"/>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886A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768C6" w14:textId="77777777" w:rsidR="00886A7C" w:rsidRPr="00805BE8" w:rsidRDefault="00886A7C" w:rsidP="00886A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12ADA0A" w14:textId="5E2C281B" w:rsidR="001645F9" w:rsidRPr="001645F9" w:rsidRDefault="009732AB" w:rsidP="00164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645F9">
        <w:rPr>
          <w:rFonts w:eastAsia="宋体"/>
          <w:color w:val="0070C0"/>
          <w:szCs w:val="24"/>
          <w:lang w:eastAsia="zh-CN"/>
        </w:rPr>
        <w:t>classify into bandwidth class B and C with inner and outer allocation respectively</w:t>
      </w:r>
    </w:p>
    <w:p w14:paraId="69169244" w14:textId="1E1246F6" w:rsidR="009732AB" w:rsidRPr="00805BE8"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w:t>
      </w:r>
      <w:r w:rsidR="001645F9">
        <w:rPr>
          <w:rFonts w:eastAsia="宋体"/>
          <w:color w:val="0070C0"/>
          <w:szCs w:val="24"/>
          <w:lang w:eastAsia="zh-CN"/>
        </w:rPr>
        <w:t xml:space="preserve">ption 2: </w:t>
      </w:r>
      <w:r w:rsidR="002766D2">
        <w:rPr>
          <w:rFonts w:eastAsia="宋体"/>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30F6A3" w14:textId="20948504" w:rsidR="009732AB" w:rsidRDefault="0081710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EE02D08" w14:textId="77777777" w:rsidR="002766D2" w:rsidRPr="001645F9" w:rsidRDefault="009732AB"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766D2">
        <w:rPr>
          <w:rFonts w:eastAsia="宋体"/>
          <w:color w:val="0070C0"/>
          <w:szCs w:val="24"/>
          <w:lang w:eastAsia="zh-CN"/>
        </w:rPr>
        <w:t>classify into bandwidth class B and C with inner and outer allocation respectively</w:t>
      </w:r>
    </w:p>
    <w:p w14:paraId="7B0E848F" w14:textId="38C29E76" w:rsidR="009732AB" w:rsidRPr="002766D2" w:rsidRDefault="002766D2"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35C132" w14:textId="609B884B" w:rsidR="009732AB" w:rsidRDefault="0081710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2766D2">
      <w:pPr>
        <w:pStyle w:val="afe"/>
        <w:numPr>
          <w:ilvl w:val="1"/>
          <w:numId w:val="24"/>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939BA3" w14:textId="567442F7" w:rsidR="009732AB" w:rsidRPr="00805BE8"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3dB/3.5dB for CP-OFDM</w:t>
      </w:r>
    </w:p>
    <w:p w14:paraId="44C667D3" w14:textId="1E01808D" w:rsidR="009732AB"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1dB for DFT-OFDM, 3.5dB for CP-OFDM</w:t>
      </w:r>
    </w:p>
    <w:p w14:paraId="4B0BC7EC" w14:textId="1AB1D656" w:rsidR="00082F49" w:rsidRPr="00805BE8"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0dB for DFT-OFDM, 1.5dB for CP-OFDM</w:t>
      </w:r>
    </w:p>
    <w:p w14:paraId="0A89D88E"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457D53" w14:textId="77777777" w:rsidR="009732AB"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082F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5D0ECEC" w14:textId="285A5D5A" w:rsidR="00082F49" w:rsidRPr="00805BE8"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5.5dB</w:t>
      </w:r>
      <w:r w:rsidR="00C37E06">
        <w:rPr>
          <w:rFonts w:eastAsia="宋体"/>
          <w:color w:val="0070C0"/>
          <w:szCs w:val="24"/>
          <w:lang w:eastAsia="zh-CN"/>
        </w:rPr>
        <w:t>/6.5dB</w:t>
      </w:r>
      <w:r>
        <w:rPr>
          <w:rFonts w:eastAsia="宋体"/>
          <w:color w:val="0070C0"/>
          <w:szCs w:val="24"/>
          <w:lang w:eastAsia="zh-CN"/>
        </w:rPr>
        <w:t xml:space="preserve"> for DFT-OFDM, 8dB</w:t>
      </w:r>
      <w:r w:rsidR="00C37E06">
        <w:rPr>
          <w:rFonts w:eastAsia="宋体"/>
          <w:color w:val="0070C0"/>
          <w:szCs w:val="24"/>
          <w:lang w:eastAsia="zh-CN"/>
        </w:rPr>
        <w:t>/9dB</w:t>
      </w:r>
      <w:r>
        <w:rPr>
          <w:rFonts w:eastAsia="宋体"/>
          <w:color w:val="0070C0"/>
          <w:szCs w:val="24"/>
          <w:lang w:eastAsia="zh-CN"/>
        </w:rPr>
        <w:t xml:space="preserve"> for CP-OFDM</w:t>
      </w:r>
      <w:r w:rsidR="00C37E06">
        <w:rPr>
          <w:rFonts w:eastAsia="宋体"/>
          <w:color w:val="0070C0"/>
          <w:szCs w:val="24"/>
          <w:lang w:eastAsia="zh-CN"/>
        </w:rPr>
        <w:t>, limited by full RB allocation</w:t>
      </w:r>
    </w:p>
    <w:p w14:paraId="4B1E05DB" w14:textId="45905DE9"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2dB for DFT-OFDM, 4dB for CP-OFDM</w:t>
      </w:r>
    </w:p>
    <w:p w14:paraId="59D38084" w14:textId="03D0D03B"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2~6dB for DFT-OFDM, 3~6dB for CP-OFDM</w:t>
      </w:r>
      <w:r w:rsidR="00C37E06">
        <w:rPr>
          <w:rFonts w:eastAsia="宋体"/>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082F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F346F1" w14:textId="77777777"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73E6B0" w14:textId="7C593E9E" w:rsidR="009732AB" w:rsidRPr="00AF11B6" w:rsidRDefault="00AF11B6" w:rsidP="00AF11B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1.5dB/2dB for CP-OFDM</w:t>
      </w:r>
      <w:r w:rsidR="00283BD4">
        <w:rPr>
          <w:rFonts w:eastAsia="宋体"/>
          <w:color w:val="0070C0"/>
          <w:szCs w:val="24"/>
          <w:lang w:eastAsia="zh-CN"/>
        </w:rPr>
        <w:t xml:space="preserve"> , relaxation for large non-contiguous allocation is TBD</w:t>
      </w:r>
    </w:p>
    <w:p w14:paraId="3565F050" w14:textId="30416997" w:rsidR="009732AB" w:rsidRDefault="00AF11B6"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283BD4">
        <w:rPr>
          <w:rFonts w:eastAsia="宋体"/>
          <w:color w:val="0070C0"/>
          <w:szCs w:val="24"/>
          <w:lang w:eastAsia="zh-CN"/>
        </w:rPr>
        <w:t>8dB for DFT-OFDM, 9dB for CP-OFDM</w:t>
      </w:r>
    </w:p>
    <w:p w14:paraId="3EAAAAD0" w14:textId="0990AC2B" w:rsidR="00AF11B6" w:rsidRPr="00805BE8" w:rsidRDefault="00AF11B6"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bookmarkStart w:id="15" w:name="OLE_LINK10"/>
      <w:r>
        <w:rPr>
          <w:rFonts w:eastAsia="宋体"/>
          <w:color w:val="0070C0"/>
          <w:szCs w:val="24"/>
          <w:lang w:eastAsia="zh-CN"/>
        </w:rPr>
        <w:t>0dB for DFT-OFDM, 1.5dB for CP-OFDM</w:t>
      </w:r>
    </w:p>
    <w:bookmarkEnd w:id="15"/>
    <w:p w14:paraId="22C10900"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8319F8" w14:textId="77777777" w:rsidR="009732AB" w:rsidRPr="00805BE8"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AF11B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78A6BA" w14:textId="2DCE60C5" w:rsidR="00AF11B6" w:rsidRPr="008F4332" w:rsidRDefault="00AF11B6" w:rsidP="008F433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F4332">
        <w:rPr>
          <w:rFonts w:eastAsia="宋体"/>
          <w:color w:val="0070C0"/>
          <w:szCs w:val="24"/>
          <w:lang w:eastAsia="zh-CN"/>
        </w:rPr>
        <w:t xml:space="preserve">Option 1: </w:t>
      </w:r>
      <w:r w:rsidR="00A3666A" w:rsidRPr="008F4332">
        <w:rPr>
          <w:rFonts w:eastAsia="宋体"/>
          <w:color w:val="0070C0"/>
          <w:szCs w:val="24"/>
          <w:lang w:eastAsia="zh-CN"/>
        </w:rPr>
        <w:t>9dB/10dB for DFT-OFDM, 10dB/11dB for CP-OFDM</w:t>
      </w:r>
      <w:r w:rsidR="008F4332" w:rsidRPr="008F4332">
        <w:rPr>
          <w:rFonts w:eastAsia="宋体"/>
          <w:color w:val="0070C0"/>
          <w:szCs w:val="24"/>
          <w:lang w:eastAsia="zh-CN"/>
        </w:rPr>
        <w:t xml:space="preserve">, limited by 1+1 RB case which IMD fall into SEM </w:t>
      </w:r>
      <w:r w:rsidR="008F4332">
        <w:rPr>
          <w:rFonts w:eastAsia="宋体"/>
          <w:color w:val="0070C0"/>
          <w:szCs w:val="24"/>
          <w:lang w:eastAsia="zh-CN"/>
        </w:rPr>
        <w:t>part</w:t>
      </w:r>
    </w:p>
    <w:p w14:paraId="4CA10DC7" w14:textId="118F0B0B" w:rsidR="00AF11B6" w:rsidRPr="00AB72B9" w:rsidRDefault="00AF11B6" w:rsidP="00AB72B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B72B9">
        <w:rPr>
          <w:rFonts w:eastAsia="宋体"/>
          <w:color w:val="0070C0"/>
          <w:szCs w:val="24"/>
          <w:lang w:eastAsia="zh-CN"/>
        </w:rPr>
        <w:t>14dB for DFT-OFDM, 14dB for CP-OFDM</w:t>
      </w:r>
      <w:r w:rsidR="008F4332">
        <w:rPr>
          <w:rFonts w:eastAsia="宋体"/>
          <w:color w:val="0070C0"/>
          <w:szCs w:val="24"/>
          <w:lang w:eastAsia="zh-CN"/>
        </w:rPr>
        <w:t>, limited by 1+1</w:t>
      </w:r>
      <w:r w:rsidR="003B032D">
        <w:rPr>
          <w:rFonts w:eastAsia="宋体"/>
          <w:color w:val="0070C0"/>
          <w:szCs w:val="24"/>
          <w:lang w:eastAsia="zh-CN"/>
        </w:rPr>
        <w:t xml:space="preserve"> RB </w:t>
      </w:r>
      <w:bookmarkStart w:id="16" w:name="OLE_LINK12"/>
      <w:r w:rsidR="003B032D">
        <w:rPr>
          <w:rFonts w:eastAsia="宋体"/>
          <w:color w:val="0070C0"/>
          <w:szCs w:val="24"/>
          <w:lang w:eastAsia="zh-CN"/>
        </w:rPr>
        <w:t xml:space="preserve">case </w:t>
      </w:r>
      <w:bookmarkEnd w:id="16"/>
    </w:p>
    <w:p w14:paraId="4EB9D82A" w14:textId="6A136720" w:rsidR="00AF11B6" w:rsidRDefault="00AF11B6" w:rsidP="008F4332">
      <w:pPr>
        <w:pStyle w:val="afe"/>
        <w:numPr>
          <w:ilvl w:val="1"/>
          <w:numId w:val="4"/>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宋体"/>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AF11B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740C06" w14:textId="77777777" w:rsidR="00AF11B6" w:rsidRPr="00805BE8" w:rsidRDefault="00AF11B6" w:rsidP="00AF11B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4B5DFD" w14:textId="639BD442" w:rsidR="008064A2" w:rsidRPr="00805BE8" w:rsidRDefault="008064A2" w:rsidP="008064A2">
      <w:pPr>
        <w:pStyle w:val="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7958A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131720" w14:textId="35DBB3C9" w:rsidR="00886A7C" w:rsidRDefault="007958A4" w:rsidP="007958A4">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7958A4">
      <w:pPr>
        <w:pStyle w:val="afe"/>
        <w:numPr>
          <w:ilvl w:val="1"/>
          <w:numId w:val="19"/>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7958A4">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FA16C76" w14:textId="77777777" w:rsidR="007958A4" w:rsidRPr="00805BE8" w:rsidRDefault="007958A4" w:rsidP="007958A4">
      <w:pPr>
        <w:pStyle w:val="afe"/>
        <w:numPr>
          <w:ilvl w:val="1"/>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7958A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C4804" w14:textId="00507888" w:rsidR="007958A4" w:rsidRDefault="007958A4" w:rsidP="007958A4">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7958A4">
      <w:pPr>
        <w:pStyle w:val="afe"/>
        <w:numPr>
          <w:ilvl w:val="0"/>
          <w:numId w:val="44"/>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7958A4">
      <w:pPr>
        <w:pStyle w:val="afe"/>
        <w:numPr>
          <w:ilvl w:val="0"/>
          <w:numId w:val="44"/>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7958A4">
      <w:pPr>
        <w:pStyle w:val="afe"/>
        <w:numPr>
          <w:ilvl w:val="1"/>
          <w:numId w:val="19"/>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7958A4">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470DC1B" w14:textId="0A17DD3B" w:rsidR="007958A4" w:rsidRPr="00805BE8" w:rsidRDefault="007958A4" w:rsidP="007958A4">
      <w:pPr>
        <w:pStyle w:val="afe"/>
        <w:numPr>
          <w:ilvl w:val="1"/>
          <w:numId w:val="1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宋体"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8" w:name="OLE_LINK5"/>
            <w:r w:rsidRPr="00A16841">
              <w:rPr>
                <w:rFonts w:asciiTheme="minorHAnsi" w:hAnsiTheme="minorHAnsi" w:cstheme="minorHAnsi"/>
              </w:rPr>
              <w:t>Huawei, HiSilicon</w:t>
            </w:r>
            <w:bookmarkEnd w:id="18"/>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宋体" w:hAnsiTheme="minorHAnsi" w:cstheme="minorHAnsi"/>
                <w:lang w:eastAsia="zh-CN"/>
              </w:rPr>
              <w:t>E</w:t>
            </w:r>
            <w:r>
              <w:rPr>
                <w:rFonts w:asciiTheme="minorHAnsi" w:eastAsia="宋体" w:hAnsiTheme="minorHAnsi" w:cstheme="minorHAnsi" w:hint="eastAsia"/>
                <w:lang w:eastAsia="zh-CN"/>
              </w:rPr>
              <w:t xml:space="preserve">ditorial </w:t>
            </w:r>
            <w:r>
              <w:rPr>
                <w:rFonts w:asciiTheme="minorHAnsi" w:eastAsia="宋体"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3B27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D11863" w14:textId="02B24A09" w:rsidR="003B27C5" w:rsidRPr="00045592" w:rsidRDefault="003B27C5" w:rsidP="003B27C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9F6F21">
        <w:tc>
          <w:tcPr>
            <w:tcW w:w="1242" w:type="dxa"/>
          </w:tcPr>
          <w:p w14:paraId="5B13E89C"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F6F21">
        <w:tc>
          <w:tcPr>
            <w:tcW w:w="1242" w:type="dxa"/>
          </w:tcPr>
          <w:p w14:paraId="6AB412D3"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1A7688">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1A7688">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1F5810">
            <w:pPr>
              <w:pStyle w:val="afe"/>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1F5810">
            <w:pPr>
              <w:pStyle w:val="afe"/>
              <w:numPr>
                <w:ilvl w:val="0"/>
                <w:numId w:val="25"/>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1A7688">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1F5810">
            <w:pPr>
              <w:pStyle w:val="afe"/>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1F5810">
            <w:pPr>
              <w:pStyle w:val="afe"/>
              <w:numPr>
                <w:ilvl w:val="0"/>
                <w:numId w:val="26"/>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1F5810">
            <w:pPr>
              <w:pStyle w:val="afe"/>
              <w:numPr>
                <w:ilvl w:val="0"/>
                <w:numId w:val="26"/>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4961079E" w14:textId="0913E50A" w:rsidR="00053F1C" w:rsidRPr="00045592" w:rsidRDefault="004407B4"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Assume dual PA architecture due to LO and image in-gap emissions</w:t>
      </w:r>
    </w:p>
    <w:p w14:paraId="2A6E09B3" w14:textId="3B33B3DD" w:rsidR="00053F1C" w:rsidRDefault="004407B4"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as captured in R4-1915417, </w:t>
      </w:r>
      <w:r w:rsidRPr="004407B4">
        <w:rPr>
          <w:rFonts w:eastAsia="宋体"/>
          <w:color w:val="0070C0"/>
          <w:szCs w:val="24"/>
          <w:lang w:eastAsia="zh-CN"/>
        </w:rPr>
        <w:t>depends on the largest gap between 2CC and aggregated CC BW</w:t>
      </w:r>
    </w:p>
    <w:p w14:paraId="6A4CF8AA" w14:textId="25EC73D7" w:rsidR="008E484D" w:rsidRPr="00045592" w:rsidRDefault="008E484D"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report UE capability on PA architecture as for EN-DC</w:t>
      </w:r>
    </w:p>
    <w:p w14:paraId="5A76CE93"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DFC03C" w14:textId="77777777" w:rsidR="00053F1C" w:rsidRPr="00045592" w:rsidRDefault="00053F1C"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6643" w14:textId="4B747447" w:rsidR="00053F1C" w:rsidRPr="004407B4" w:rsidRDefault="004407B4" w:rsidP="004407B4">
      <w:pPr>
        <w:numPr>
          <w:ilvl w:val="0"/>
          <w:numId w:val="40"/>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w:t>
      </w:r>
      <w:r w:rsidR="004407B4">
        <w:rPr>
          <w:rFonts w:eastAsia="宋体"/>
          <w:color w:val="0070C0"/>
          <w:szCs w:val="24"/>
          <w:lang w:eastAsia="zh-CN"/>
        </w:rPr>
        <w:t xml:space="preserve">ption 2: </w:t>
      </w:r>
    </w:p>
    <w:p w14:paraId="0D597700"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370601" w14:textId="54465B7C" w:rsidR="00053F1C" w:rsidRPr="00045592" w:rsidRDefault="00E544D8"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19" w:name="OLE_LINK17"/>
      <w:r w:rsidRPr="00045592">
        <w:rPr>
          <w:rFonts w:eastAsia="宋体"/>
          <w:color w:val="0070C0"/>
          <w:szCs w:val="24"/>
          <w:lang w:eastAsia="zh-CN"/>
        </w:rPr>
        <w:t>Proposals</w:t>
      </w:r>
    </w:p>
    <w:p w14:paraId="1997573E" w14:textId="77777777" w:rsidR="00E544D8" w:rsidRDefault="00E544D8" w:rsidP="00A25148">
      <w:pPr>
        <w:numPr>
          <w:ilvl w:val="1"/>
          <w:numId w:val="4"/>
        </w:numPr>
        <w:spacing w:after="120"/>
        <w:ind w:left="1440"/>
        <w:rPr>
          <w:color w:val="0070C0"/>
          <w:szCs w:val="24"/>
          <w:lang w:eastAsia="zh-CN"/>
        </w:rPr>
      </w:pPr>
      <w:r w:rsidRPr="00E544D8">
        <w:rPr>
          <w:color w:val="0070C0"/>
          <w:szCs w:val="24"/>
          <w:lang w:eastAsia="zh-CN"/>
        </w:rPr>
        <w:t xml:space="preserve">Option 1: </w:t>
      </w:r>
    </w:p>
    <w:bookmarkEnd w:id="19"/>
    <w:p w14:paraId="00772C02"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544D8">
      <w:pPr>
        <w:numPr>
          <w:ilvl w:val="1"/>
          <w:numId w:val="4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A25148">
      <w:pPr>
        <w:numPr>
          <w:ilvl w:val="1"/>
          <w:numId w:val="4"/>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20" w:name="OLE_LINK18"/>
      <w:r w:rsidRPr="00045592">
        <w:rPr>
          <w:rFonts w:eastAsia="宋体"/>
          <w:color w:val="0070C0"/>
          <w:szCs w:val="24"/>
          <w:lang w:eastAsia="zh-CN"/>
        </w:rPr>
        <w:t>Recommended WF</w:t>
      </w:r>
    </w:p>
    <w:p w14:paraId="24CC77F9" w14:textId="77777777" w:rsidR="00E544D8" w:rsidRDefault="00E544D8" w:rsidP="00E544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1"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1"/>
    <w:p w14:paraId="71DB3669" w14:textId="77777777" w:rsidR="00BB41F2" w:rsidRPr="00045592" w:rsidRDefault="00BB41F2" w:rsidP="00BB41F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C35149" w14:textId="1633B288" w:rsidR="00BB41F2" w:rsidRDefault="00BB41F2" w:rsidP="005D5D6E">
      <w:pPr>
        <w:numPr>
          <w:ilvl w:val="1"/>
          <w:numId w:val="4"/>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2" w:name="OLE_LINK25"/>
      <w:r w:rsidR="001F5810">
        <w:rPr>
          <w:color w:val="0070C0"/>
          <w:szCs w:val="24"/>
          <w:lang w:eastAsia="zh-CN"/>
        </w:rPr>
        <w:t xml:space="preserve">CR </w:t>
      </w:r>
      <w:r w:rsidR="005D5D6E" w:rsidRPr="005D5D6E">
        <w:rPr>
          <w:color w:val="0070C0"/>
          <w:szCs w:val="24"/>
          <w:lang w:eastAsia="zh-CN"/>
        </w:rPr>
        <w:t>R4-2001773/R4-2001774</w:t>
      </w:r>
      <w:bookmarkEnd w:id="22"/>
      <w:r w:rsidR="00F5789E">
        <w:rPr>
          <w:color w:val="0070C0"/>
          <w:szCs w:val="24"/>
          <w:lang w:eastAsia="zh-CN"/>
        </w:rPr>
        <w:t>, complete all RF requirement other than MPR for intra-band NC CA in this meeting</w:t>
      </w:r>
    </w:p>
    <w:p w14:paraId="7F6D110A" w14:textId="62B1C98F" w:rsidR="00F5789E" w:rsidRDefault="00F5789E" w:rsidP="005D5D6E">
      <w:pPr>
        <w:numPr>
          <w:ilvl w:val="1"/>
          <w:numId w:val="4"/>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5D5D6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AA31A" w14:textId="2B6E38AA" w:rsidR="005D5D6E" w:rsidRDefault="005D5D6E" w:rsidP="005D5D6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r w:rsidR="00F5789E">
        <w:rPr>
          <w:rFonts w:eastAsia="宋体"/>
          <w:color w:val="0070C0"/>
          <w:szCs w:val="24"/>
          <w:lang w:eastAsia="zh-CN"/>
        </w:rPr>
        <w:t>Option 1</w:t>
      </w:r>
    </w:p>
    <w:bookmarkEnd w:id="20"/>
    <w:p w14:paraId="3B226462" w14:textId="2620E8F1" w:rsidR="00E544D8" w:rsidRPr="00805BE8" w:rsidRDefault="00E544D8" w:rsidP="00E544D8">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53BDC9" w14:textId="77777777"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23" w:name="OLE_LINK21"/>
      <w:r w:rsidRPr="00045592">
        <w:rPr>
          <w:rFonts w:eastAsia="宋体"/>
          <w:color w:val="0070C0"/>
          <w:szCs w:val="24"/>
          <w:lang w:eastAsia="zh-CN"/>
        </w:rPr>
        <w:t>Recommended WF</w:t>
      </w:r>
    </w:p>
    <w:p w14:paraId="5ECB732F" w14:textId="49886E55" w:rsidR="00E544D8" w:rsidRPr="00045592" w:rsidRDefault="00FF0A09" w:rsidP="00E544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bookmarkEnd w:id="23"/>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807BC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A014E9" w14:textId="77777777" w:rsidR="00807BCB" w:rsidRDefault="00807BCB" w:rsidP="00807BCB">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807BCB">
      <w:pPr>
        <w:pStyle w:val="afe"/>
        <w:numPr>
          <w:ilvl w:val="1"/>
          <w:numId w:val="19"/>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807BCB">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5EE2763" w14:textId="08538092" w:rsidR="00053F1C" w:rsidRPr="00807BCB" w:rsidRDefault="00807BCB" w:rsidP="00053F1C">
      <w:pPr>
        <w:pStyle w:val="afe"/>
        <w:numPr>
          <w:ilvl w:val="1"/>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53F1C" w14:paraId="43C922A9" w14:textId="77777777" w:rsidTr="00A45F1F">
        <w:tc>
          <w:tcPr>
            <w:tcW w:w="1242" w:type="dxa"/>
          </w:tcPr>
          <w:p w14:paraId="00A8402B"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B26492" w14:textId="77777777" w:rsidR="00053F1C" w:rsidRPr="00045592" w:rsidRDefault="00053F1C" w:rsidP="00A45F1F">
            <w:pPr>
              <w:spacing w:after="120"/>
              <w:rPr>
                <w:rFonts w:eastAsiaTheme="minorEastAsia"/>
                <w:b/>
                <w:bCs/>
                <w:color w:val="0070C0"/>
                <w:lang w:val="en-US" w:eastAsia="zh-CN"/>
              </w:rPr>
            </w:pPr>
            <w:r>
              <w:rPr>
                <w:rFonts w:eastAsiaTheme="minorEastAsia"/>
                <w:b/>
                <w:bCs/>
                <w:color w:val="0070C0"/>
                <w:lang w:val="en-US" w:eastAsia="zh-CN"/>
              </w:rPr>
              <w:t>Comments</w:t>
            </w:r>
          </w:p>
        </w:tc>
      </w:tr>
      <w:tr w:rsidR="00053F1C" w14:paraId="5FF571AE" w14:textId="77777777" w:rsidTr="00A45F1F">
        <w:tc>
          <w:tcPr>
            <w:tcW w:w="1242" w:type="dxa"/>
          </w:tcPr>
          <w:p w14:paraId="164388BC"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E157E2"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AF54CCC"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F9003D5"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EFAE10"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Others:</w:t>
            </w:r>
          </w:p>
        </w:tc>
      </w:tr>
    </w:tbl>
    <w:p w14:paraId="66170031" w14:textId="77777777"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lastRenderedPageBreak/>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371240">
            <w:pPr>
              <w:pStyle w:val="afe"/>
              <w:numPr>
                <w:ilvl w:val="0"/>
                <w:numId w:val="28"/>
              </w:numPr>
              <w:ind w:left="284" w:firstLineChars="0" w:firstLine="0"/>
              <w:contextualSpacing/>
              <w:rPr>
                <w:b/>
              </w:rPr>
            </w:pPr>
            <w:r w:rsidRPr="003B21D7">
              <w:rPr>
                <w:b/>
              </w:rPr>
              <w:t>20 MHz Channel Bandwidth,</w:t>
            </w:r>
          </w:p>
          <w:p w14:paraId="27722DFB" w14:textId="77777777" w:rsidR="00371240" w:rsidRPr="003B21D7" w:rsidRDefault="00371240" w:rsidP="00371240">
            <w:pPr>
              <w:pStyle w:val="afe"/>
              <w:numPr>
                <w:ilvl w:val="0"/>
                <w:numId w:val="28"/>
              </w:numPr>
              <w:ind w:left="284" w:firstLineChars="0" w:firstLine="0"/>
              <w:contextualSpacing/>
              <w:rPr>
                <w:b/>
              </w:rPr>
            </w:pPr>
            <w:r w:rsidRPr="003B21D7">
              <w:rPr>
                <w:b/>
              </w:rPr>
              <w:t>Highest supported modulation scheme,</w:t>
            </w:r>
          </w:p>
          <w:p w14:paraId="625ABEF0" w14:textId="77777777" w:rsidR="00371240" w:rsidRPr="003B21D7" w:rsidRDefault="00371240" w:rsidP="00371240">
            <w:pPr>
              <w:pStyle w:val="afe"/>
              <w:numPr>
                <w:ilvl w:val="0"/>
                <w:numId w:val="28"/>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371240">
            <w:pPr>
              <w:pStyle w:val="afe"/>
              <w:numPr>
                <w:ilvl w:val="0"/>
                <w:numId w:val="28"/>
              </w:numPr>
              <w:ind w:left="284" w:firstLineChars="0" w:firstLine="0"/>
              <w:contextualSpacing/>
              <w:rPr>
                <w:b/>
              </w:rPr>
            </w:pPr>
            <w:r w:rsidRPr="003B21D7">
              <w:rPr>
                <w:b/>
              </w:rPr>
              <w:t>Initial PUSCH RB allocation is 1 RB,</w:t>
            </w:r>
          </w:p>
          <w:p w14:paraId="367A0084" w14:textId="77777777" w:rsidR="00371240" w:rsidRPr="003B21D7" w:rsidRDefault="00371240" w:rsidP="00371240">
            <w:pPr>
              <w:pStyle w:val="afe"/>
              <w:numPr>
                <w:ilvl w:val="0"/>
                <w:numId w:val="28"/>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371240">
            <w:pPr>
              <w:pStyle w:val="afe"/>
              <w:numPr>
                <w:ilvl w:val="0"/>
                <w:numId w:val="28"/>
              </w:numPr>
              <w:ind w:left="284" w:firstLineChars="0" w:firstLine="0"/>
              <w:contextualSpacing/>
              <w:rPr>
                <w:b/>
              </w:rPr>
            </w:pPr>
            <w:r w:rsidRPr="003B21D7">
              <w:rPr>
                <w:b/>
              </w:rPr>
              <w:t>Slot type: 14 OFDM symbols / slot,</w:t>
            </w:r>
          </w:p>
          <w:p w14:paraId="22AABD78" w14:textId="77777777" w:rsidR="00371240" w:rsidRPr="003B21D7" w:rsidRDefault="00371240" w:rsidP="00371240">
            <w:pPr>
              <w:pStyle w:val="afe"/>
              <w:numPr>
                <w:ilvl w:val="0"/>
                <w:numId w:val="28"/>
              </w:numPr>
              <w:ind w:left="284" w:firstLineChars="0" w:firstLine="0"/>
              <w:contextualSpacing/>
              <w:rPr>
                <w:b/>
              </w:rPr>
            </w:pPr>
            <w:r w:rsidRPr="003B21D7">
              <w:rPr>
                <w:b/>
              </w:rPr>
              <w:t xml:space="preserve">PUSCH mapping type A </w:t>
            </w:r>
          </w:p>
          <w:p w14:paraId="0B335BE5" w14:textId="77777777" w:rsidR="00371240" w:rsidRPr="003B21D7" w:rsidRDefault="00371240" w:rsidP="00371240">
            <w:pPr>
              <w:pStyle w:val="afe"/>
              <w:numPr>
                <w:ilvl w:val="0"/>
                <w:numId w:val="28"/>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371240">
            <w:pPr>
              <w:pStyle w:val="afe"/>
              <w:numPr>
                <w:ilvl w:val="0"/>
                <w:numId w:val="28"/>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371240">
            <w:pPr>
              <w:pStyle w:val="afe"/>
              <w:numPr>
                <w:ilvl w:val="0"/>
                <w:numId w:val="28"/>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4FCBF5" w14:textId="79A06EB7" w:rsidR="00C561C7" w:rsidRPr="00045592" w:rsidRDefault="00967DC3"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55EA9">
        <w:rPr>
          <w:rFonts w:eastAsia="宋体"/>
          <w:color w:val="0070C0"/>
          <w:szCs w:val="24"/>
          <w:lang w:eastAsia="zh-CN"/>
        </w:rPr>
        <w:t>no</w:t>
      </w:r>
    </w:p>
    <w:p w14:paraId="1D505CCF" w14:textId="1AC46B61" w:rsidR="00C561C7" w:rsidRPr="00045592" w:rsidRDefault="00967DC3"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00D55EA9">
        <w:rPr>
          <w:rFonts w:eastAsia="宋体"/>
          <w:color w:val="0070C0"/>
          <w:szCs w:val="24"/>
          <w:lang w:eastAsia="zh-CN"/>
        </w:rPr>
        <w:t>yes</w:t>
      </w:r>
    </w:p>
    <w:p w14:paraId="2F052CC5"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3448D" w14:textId="1119D151" w:rsidR="00C561C7" w:rsidRDefault="00D55EA9"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40C44C" w14:textId="14077A3E"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yes</w:t>
      </w:r>
    </w:p>
    <w:p w14:paraId="667CC679"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BD70F55" w14:textId="7777777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1A8F3D" w14:textId="0864511A"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BD477C">
        <w:rPr>
          <w:b/>
          <w:i/>
          <w:lang w:val="en-US"/>
        </w:rPr>
        <w:t xml:space="preserve"> </w:t>
      </w:r>
      <w:r w:rsidRPr="00BD477C">
        <w:rPr>
          <w:rFonts w:eastAsia="宋体"/>
          <w:color w:val="0070C0"/>
          <w:szCs w:val="24"/>
          <w:lang w:eastAsia="zh-CN"/>
        </w:rPr>
        <w:t>RAN4 agrees to lead a new WI in Rel-17 on defining EVM measurement processing procedure especially for one symbol RMS EVM</w:t>
      </w:r>
      <w:r>
        <w:rPr>
          <w:rFonts w:eastAsia="宋体"/>
          <w:color w:val="0070C0"/>
          <w:szCs w:val="24"/>
          <w:lang w:eastAsia="zh-CN"/>
        </w:rPr>
        <w:t>.</w:t>
      </w:r>
    </w:p>
    <w:p w14:paraId="67F607ED" w14:textId="5CAFB940"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477C">
        <w:rPr>
          <w:rFonts w:eastAsia="宋体" w:hint="eastAsia"/>
          <w:color w:val="0070C0"/>
          <w:szCs w:val="24"/>
          <w:lang w:eastAsia="zh-CN"/>
        </w:rPr>
        <w:t xml:space="preserve">Create Annex F.8 (new) </w:t>
      </w:r>
      <w:r w:rsidRPr="00BD477C">
        <w:rPr>
          <w:rFonts w:eastAsia="宋体"/>
          <w:color w:val="0070C0"/>
          <w:szCs w:val="24"/>
          <w:lang w:eastAsia="zh-CN"/>
        </w:rPr>
        <w:t>“Averaged EVM including symbols with transient period”</w:t>
      </w:r>
      <w:r w:rsidRPr="00BD477C">
        <w:rPr>
          <w:rFonts w:eastAsia="宋体"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09384A" w14:textId="1022653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ECEEC7" w14:textId="71BA6470" w:rsidR="00BD477C"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D477C">
        <w:rPr>
          <w:rFonts w:eastAsia="宋体"/>
          <w:color w:val="0070C0"/>
          <w:szCs w:val="24"/>
          <w:lang w:eastAsia="zh-CN"/>
        </w:rPr>
        <w:t xml:space="preserve">Option 1: </w:t>
      </w:r>
      <w:r w:rsidR="00323757">
        <w:rPr>
          <w:rFonts w:eastAsia="宋体"/>
          <w:color w:val="0070C0"/>
          <w:szCs w:val="24"/>
          <w:lang w:eastAsia="zh-CN"/>
        </w:rPr>
        <w:t xml:space="preserve">no, </w:t>
      </w:r>
      <w:r w:rsidR="00323757" w:rsidRPr="00323757">
        <w:rPr>
          <w:rFonts w:eastAsia="宋体"/>
          <w:color w:val="0070C0"/>
          <w:szCs w:val="24"/>
          <w:lang w:eastAsia="zh-CN"/>
        </w:rPr>
        <w:t>the worst case for the on-on power change in FR1 is up to 55dB</w:t>
      </w:r>
      <w:r w:rsidR="00323757">
        <w:rPr>
          <w:rFonts w:eastAsia="宋体"/>
          <w:color w:val="0070C0"/>
          <w:szCs w:val="24"/>
          <w:lang w:eastAsia="zh-CN"/>
        </w:rPr>
        <w:t>. Comments from TE company are welcome</w:t>
      </w:r>
    </w:p>
    <w:p w14:paraId="3C69D13B" w14:textId="16AC1673" w:rsidR="00323757" w:rsidRPr="00BD477C"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BD477C">
        <w:rPr>
          <w:rFonts w:eastAsia="宋体"/>
          <w:color w:val="0070C0"/>
          <w:szCs w:val="24"/>
          <w:lang w:eastAsia="zh-CN"/>
        </w:rPr>
        <w:t xml:space="preserve">: </w:t>
      </w:r>
      <w:r>
        <w:rPr>
          <w:rFonts w:eastAsia="宋体"/>
          <w:color w:val="0070C0"/>
          <w:szCs w:val="24"/>
          <w:lang w:eastAsia="zh-CN"/>
        </w:rPr>
        <w:t>20dB is enough</w:t>
      </w:r>
    </w:p>
    <w:p w14:paraId="38291D85"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5E59DA" w14:textId="77777777" w:rsidR="00323757" w:rsidRPr="00045592"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FCD022" w14:textId="1FE64E5B" w:rsidR="00323757"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23757">
        <w:rPr>
          <w:rFonts w:eastAsia="宋体"/>
          <w:color w:val="0070C0"/>
          <w:szCs w:val="24"/>
          <w:lang w:eastAsia="zh-CN"/>
        </w:rPr>
        <w:t>Option 1:</w:t>
      </w:r>
      <w:r>
        <w:rPr>
          <w:rFonts w:eastAsia="宋体"/>
          <w:color w:val="0070C0"/>
          <w:szCs w:val="24"/>
          <w:lang w:eastAsia="zh-CN"/>
        </w:rPr>
        <w:t xml:space="preserve"> currently we cannot ensure the UE always position transient period symmetrically in the boundary.</w:t>
      </w:r>
    </w:p>
    <w:p w14:paraId="5C3638BC" w14:textId="03CF0F6F" w:rsidR="00B81E70" w:rsidRDefault="00B81E70"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81E70">
        <w:rPr>
          <w:rFonts w:eastAsia="宋体"/>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B81E7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B81E70">
        <w:rPr>
          <w:rFonts w:eastAsia="宋体"/>
          <w:color w:val="0070C0"/>
          <w:szCs w:val="24"/>
          <w:lang w:eastAsia="zh-CN"/>
        </w:rPr>
        <w:t>3</w:t>
      </w:r>
      <w:r>
        <w:rPr>
          <w:rFonts w:eastAsia="宋体"/>
          <w:color w:val="0070C0"/>
          <w:szCs w:val="24"/>
          <w:lang w:eastAsia="zh-CN"/>
        </w:rPr>
        <w:t xml:space="preserve">: </w:t>
      </w:r>
      <w:r w:rsidR="00B81E70">
        <w:rPr>
          <w:rFonts w:eastAsia="宋体"/>
          <w:color w:val="0070C0"/>
          <w:szCs w:val="24"/>
          <w:lang w:eastAsia="zh-CN"/>
        </w:rPr>
        <w:t xml:space="preserve"> d</w:t>
      </w:r>
      <w:r w:rsidR="00B81E70" w:rsidRPr="00B81E70">
        <w:rPr>
          <w:rFonts w:eastAsia="宋体"/>
          <w:color w:val="0070C0"/>
          <w:szCs w:val="24"/>
          <w:lang w:eastAsia="zh-CN"/>
        </w:rPr>
        <w:t>etecting ‘tp’ with Timing Advance Violating the EVM Exclusion Period using EVM=min(EVM_l,EVM_h) for CP-OFDM.</w:t>
      </w:r>
    </w:p>
    <w:p w14:paraId="17B6CCA4"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9E8820" w14:textId="3005E9A4" w:rsidR="00323757" w:rsidRDefault="007945C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7945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406BE" w14:textId="44E1558B" w:rsidR="007945C7" w:rsidRPr="007945C7" w:rsidRDefault="007945C7" w:rsidP="007945C7">
      <w:pPr>
        <w:pStyle w:val="afe"/>
        <w:numPr>
          <w:ilvl w:val="1"/>
          <w:numId w:val="4"/>
        </w:numPr>
        <w:overflowPunct/>
        <w:autoSpaceDE/>
        <w:autoSpaceDN/>
        <w:adjustRightInd/>
        <w:spacing w:after="120"/>
        <w:ind w:left="1440" w:firstLineChars="0"/>
        <w:textAlignment w:val="auto"/>
        <w:rPr>
          <w:b/>
          <w:i/>
          <w:lang w:val="x-none"/>
        </w:rPr>
      </w:pPr>
      <w:r w:rsidRPr="007945C7">
        <w:rPr>
          <w:rFonts w:eastAsia="宋体"/>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7945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D02C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77A0F1" w14:textId="1143F595" w:rsidR="00D02C2E" w:rsidRDefault="00D02C2E" w:rsidP="00D02C2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715B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2E90E0" w14:textId="1F9B7FE5" w:rsidR="00715BA3" w:rsidRDefault="00715BA3"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81E70">
        <w:rPr>
          <w:rFonts w:eastAsia="宋体"/>
          <w:color w:val="0070C0"/>
          <w:szCs w:val="24"/>
          <w:lang w:eastAsia="zh-CN"/>
        </w:rPr>
        <w:t>yes</w:t>
      </w:r>
    </w:p>
    <w:p w14:paraId="3255C60C" w14:textId="6AA2C892" w:rsidR="00B81E70" w:rsidRPr="00715BA3" w:rsidRDefault="00B81E70"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no, </w:t>
      </w:r>
      <w:r w:rsidRPr="00B81E70">
        <w:rPr>
          <w:rFonts w:eastAsia="宋体"/>
          <w:color w:val="0070C0"/>
          <w:szCs w:val="24"/>
          <w:lang w:eastAsia="zh-CN"/>
        </w:rPr>
        <w:t>the RMS EVM test method which used for LTE</w:t>
      </w:r>
      <w:r>
        <w:rPr>
          <w:rFonts w:eastAsia="宋体"/>
          <w:color w:val="0070C0"/>
          <w:szCs w:val="24"/>
          <w:lang w:eastAsia="zh-CN"/>
        </w:rPr>
        <w:t xml:space="preserve"> is not serving for transient period</w:t>
      </w:r>
    </w:p>
    <w:p w14:paraId="2458A8AA" w14:textId="77777777" w:rsidR="00715BA3" w:rsidRPr="00045592" w:rsidRDefault="00715BA3" w:rsidP="00715B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4B4B1C" w14:textId="7C51BD49" w:rsidR="00715BA3" w:rsidRDefault="00B81E70"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67686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AEA4D6" w14:textId="662AB75F" w:rsidR="00676865" w:rsidRPr="00045592" w:rsidRDefault="00967DC3"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93FE5">
        <w:rPr>
          <w:rFonts w:eastAsia="宋体"/>
          <w:color w:val="0070C0"/>
          <w:szCs w:val="24"/>
          <w:lang w:eastAsia="zh-CN"/>
        </w:rPr>
        <w:t>For TDD, DDSUUDDSUU and/or</w:t>
      </w:r>
      <w:bookmarkStart w:id="24" w:name="_GoBack"/>
      <w:bookmarkEnd w:id="24"/>
      <w:r w:rsidR="00C93FE5">
        <w:rPr>
          <w:rFonts w:eastAsia="宋体"/>
          <w:color w:val="0070C0"/>
          <w:szCs w:val="24"/>
          <w:lang w:eastAsia="zh-CN"/>
        </w:rPr>
        <w:t xml:space="preserve"> </w:t>
      </w:r>
      <w:r w:rsidR="007E0A00">
        <w:rPr>
          <w:rFonts w:eastAsia="宋体"/>
          <w:color w:val="0070C0"/>
          <w:szCs w:val="24"/>
          <w:lang w:eastAsia="zh-CN"/>
        </w:rPr>
        <w:t xml:space="preserve"> DDDDDDSUUU</w:t>
      </w:r>
    </w:p>
    <w:p w14:paraId="2DF670D2" w14:textId="3863A4A0" w:rsidR="00676865" w:rsidRPr="00045592" w:rsidRDefault="00967DC3"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62530247" w14:textId="77777777" w:rsidR="00676865" w:rsidRPr="00045592" w:rsidRDefault="00676865" w:rsidP="0067686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B3D67" w14:textId="77777777" w:rsidR="00676865" w:rsidRDefault="00676865"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7E0A0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94FC6E" w14:textId="192AE64F" w:rsidR="007E0A00" w:rsidRPr="00045592"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7E0A00">
        <w:rPr>
          <w:rFonts w:eastAsia="宋体"/>
          <w:color w:val="0070C0"/>
          <w:szCs w:val="24"/>
          <w:lang w:eastAsia="zh-CN"/>
        </w:rPr>
        <w:t>Calculate EVM which includes symbols in which only rising or falling edges of transient occur.</w:t>
      </w:r>
    </w:p>
    <w:p w14:paraId="1AA4BF69" w14:textId="1DBA2F74" w:rsidR="007E0A00"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7E0A00">
        <w:rPr>
          <w:rFonts w:eastAsia="宋体"/>
          <w:color w:val="0070C0"/>
          <w:szCs w:val="24"/>
          <w:lang w:eastAsia="zh-CN"/>
        </w:rPr>
        <w:t>Calculate EVM which includes symbols in which both rising and falling edges of transient occur.</w:t>
      </w:r>
    </w:p>
    <w:p w14:paraId="3D4FE281" w14:textId="77777777" w:rsidR="007E0A00" w:rsidRPr="00045592" w:rsidRDefault="007E0A00" w:rsidP="007E0A0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B15404" w14:textId="77777777" w:rsidR="007E0A00"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2D6E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B7AFC2C" w14:textId="09928160" w:rsidR="002D6E79" w:rsidRPr="00045592" w:rsidRDefault="000460C3"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0460C3">
        <w:rPr>
          <w:rFonts w:eastAsia="宋体"/>
          <w:color w:val="0070C0"/>
          <w:szCs w:val="24"/>
          <w:lang w:eastAsia="zh-CN"/>
        </w:rPr>
        <w:t>[5%] and [15%] for 256QAM and 64QAM</w:t>
      </w:r>
    </w:p>
    <w:p w14:paraId="7828EED6" w14:textId="316903F3" w:rsidR="002D6E79" w:rsidRDefault="002D6E79"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460C3">
        <w:rPr>
          <w:rFonts w:eastAsia="宋体"/>
          <w:color w:val="0070C0"/>
          <w:szCs w:val="24"/>
          <w:lang w:eastAsia="zh-CN"/>
        </w:rPr>
        <w:t xml:space="preserve">: </w:t>
      </w:r>
    </w:p>
    <w:p w14:paraId="24C957AC" w14:textId="43218074" w:rsidR="000460C3" w:rsidRPr="000460C3" w:rsidRDefault="000460C3" w:rsidP="000460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 xml:space="preserve">3: </w:t>
      </w:r>
    </w:p>
    <w:p w14:paraId="555F7330" w14:textId="77777777" w:rsidR="002D6E79" w:rsidRPr="00045592" w:rsidRDefault="002D6E79" w:rsidP="002D6E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2E48F" w14:textId="77777777" w:rsidR="002D6E79" w:rsidRPr="00045592" w:rsidRDefault="002D6E79"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49278A"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 TBA</w:t>
      </w:r>
    </w:p>
    <w:p w14:paraId="3B7EA137"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3FB8AC8"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407DF4A"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561C7" w14:paraId="114BACF1" w14:textId="77777777" w:rsidTr="00A45F1F">
        <w:tc>
          <w:tcPr>
            <w:tcW w:w="1242" w:type="dxa"/>
          </w:tcPr>
          <w:p w14:paraId="61C3EDF4"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48C9C0F" w14:textId="77777777" w:rsidR="00C561C7" w:rsidRPr="00045592" w:rsidRDefault="00C561C7" w:rsidP="00A45F1F">
            <w:pPr>
              <w:spacing w:after="120"/>
              <w:rPr>
                <w:rFonts w:eastAsiaTheme="minorEastAsia"/>
                <w:b/>
                <w:bCs/>
                <w:color w:val="0070C0"/>
                <w:lang w:val="en-US" w:eastAsia="zh-CN"/>
              </w:rPr>
            </w:pPr>
            <w:r>
              <w:rPr>
                <w:rFonts w:eastAsiaTheme="minorEastAsia"/>
                <w:b/>
                <w:bCs/>
                <w:color w:val="0070C0"/>
                <w:lang w:val="en-US" w:eastAsia="zh-CN"/>
              </w:rPr>
              <w:t>Comments</w:t>
            </w:r>
          </w:p>
        </w:tc>
      </w:tr>
      <w:tr w:rsidR="00C561C7" w14:paraId="10E5E42B" w14:textId="77777777" w:rsidTr="00A45F1F">
        <w:tc>
          <w:tcPr>
            <w:tcW w:w="1242" w:type="dxa"/>
          </w:tcPr>
          <w:p w14:paraId="1F364396"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BA782"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2E61426"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F9FBB44"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DDFE1C9"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Others:</w:t>
            </w:r>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5350" w14:textId="77777777" w:rsidR="006C2BA1" w:rsidRDefault="006C2BA1">
      <w:r>
        <w:separator/>
      </w:r>
    </w:p>
  </w:endnote>
  <w:endnote w:type="continuationSeparator" w:id="0">
    <w:p w14:paraId="3DA503B2" w14:textId="77777777" w:rsidR="006C2BA1" w:rsidRDefault="006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683E" w14:textId="77777777" w:rsidR="006C2BA1" w:rsidRDefault="006C2BA1">
      <w:r>
        <w:separator/>
      </w:r>
    </w:p>
  </w:footnote>
  <w:footnote w:type="continuationSeparator" w:id="0">
    <w:p w14:paraId="1E1FB36E" w14:textId="77777777" w:rsidR="006C2BA1" w:rsidRDefault="006C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B13A5C"/>
    <w:multiLevelType w:val="hybridMultilevel"/>
    <w:tmpl w:val="234ECB24"/>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C2733"/>
    <w:multiLevelType w:val="hybridMultilevel"/>
    <w:tmpl w:val="315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26D4"/>
    <w:multiLevelType w:val="hybridMultilevel"/>
    <w:tmpl w:val="7BBEB904"/>
    <w:lvl w:ilvl="0" w:tplc="08090001">
      <w:start w:val="1"/>
      <w:numFmt w:val="bullet"/>
      <w:lvlText w:val=""/>
      <w:lvlJc w:val="left"/>
      <w:pPr>
        <w:ind w:left="936" w:hanging="360"/>
      </w:pPr>
      <w:rPr>
        <w:rFonts w:ascii="Symbol" w:hAnsi="Symbol" w:hint="default"/>
      </w:rPr>
    </w:lvl>
    <w:lvl w:ilvl="1" w:tplc="69F2ECAA">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300D11C2"/>
    <w:multiLevelType w:val="hybridMultilevel"/>
    <w:tmpl w:val="084C8A3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5F4F23"/>
    <w:multiLevelType w:val="hybridMultilevel"/>
    <w:tmpl w:val="810E919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6B77"/>
    <w:multiLevelType w:val="hybridMultilevel"/>
    <w:tmpl w:val="0AA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A9"/>
    <w:multiLevelType w:val="hybridMultilevel"/>
    <w:tmpl w:val="FB244668"/>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8564655"/>
    <w:multiLevelType w:val="hybridMultilevel"/>
    <w:tmpl w:val="C99E640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48E07DE2"/>
    <w:multiLevelType w:val="hybridMultilevel"/>
    <w:tmpl w:val="58B8106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0" w15:restartNumberingAfterBreak="0">
    <w:nsid w:val="4F6D3DF8"/>
    <w:multiLevelType w:val="hybridMultilevel"/>
    <w:tmpl w:val="06CE87FA"/>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1"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483A3D"/>
    <w:multiLevelType w:val="hybridMultilevel"/>
    <w:tmpl w:val="F52E9A66"/>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7" w15:restartNumberingAfterBreak="0">
    <w:nsid w:val="5AA3725E"/>
    <w:multiLevelType w:val="hybridMultilevel"/>
    <w:tmpl w:val="B2C4A8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9" w15:restartNumberingAfterBreak="0">
    <w:nsid w:val="5F417A53"/>
    <w:multiLevelType w:val="hybridMultilevel"/>
    <w:tmpl w:val="2BBC12C0"/>
    <w:lvl w:ilvl="0" w:tplc="D72A03C6">
      <w:start w:val="1"/>
      <w:numFmt w:val="bullet"/>
      <w:lvlText w:val="•"/>
      <w:lvlJc w:val="left"/>
      <w:pPr>
        <w:tabs>
          <w:tab w:val="num" w:pos="720"/>
        </w:tabs>
        <w:ind w:left="720" w:hanging="360"/>
      </w:pPr>
      <w:rPr>
        <w:rFonts w:ascii="Arial" w:hAnsi="Arial" w:hint="default"/>
      </w:rPr>
    </w:lvl>
    <w:lvl w:ilvl="1" w:tplc="32BCDE18" w:tentative="1">
      <w:start w:val="1"/>
      <w:numFmt w:val="bullet"/>
      <w:lvlText w:val="•"/>
      <w:lvlJc w:val="left"/>
      <w:pPr>
        <w:tabs>
          <w:tab w:val="num" w:pos="1440"/>
        </w:tabs>
        <w:ind w:left="1440" w:hanging="360"/>
      </w:pPr>
      <w:rPr>
        <w:rFonts w:ascii="Arial" w:hAnsi="Arial" w:hint="default"/>
      </w:rPr>
    </w:lvl>
    <w:lvl w:ilvl="2" w:tplc="00B8FE74" w:tentative="1">
      <w:start w:val="1"/>
      <w:numFmt w:val="bullet"/>
      <w:lvlText w:val="•"/>
      <w:lvlJc w:val="left"/>
      <w:pPr>
        <w:tabs>
          <w:tab w:val="num" w:pos="2160"/>
        </w:tabs>
        <w:ind w:left="2160" w:hanging="360"/>
      </w:pPr>
      <w:rPr>
        <w:rFonts w:ascii="Arial" w:hAnsi="Arial" w:hint="default"/>
      </w:rPr>
    </w:lvl>
    <w:lvl w:ilvl="3" w:tplc="5BCAD31A" w:tentative="1">
      <w:start w:val="1"/>
      <w:numFmt w:val="bullet"/>
      <w:lvlText w:val="•"/>
      <w:lvlJc w:val="left"/>
      <w:pPr>
        <w:tabs>
          <w:tab w:val="num" w:pos="2880"/>
        </w:tabs>
        <w:ind w:left="2880" w:hanging="360"/>
      </w:pPr>
      <w:rPr>
        <w:rFonts w:ascii="Arial" w:hAnsi="Arial" w:hint="default"/>
      </w:rPr>
    </w:lvl>
    <w:lvl w:ilvl="4" w:tplc="2F285E1E" w:tentative="1">
      <w:start w:val="1"/>
      <w:numFmt w:val="bullet"/>
      <w:lvlText w:val="•"/>
      <w:lvlJc w:val="left"/>
      <w:pPr>
        <w:tabs>
          <w:tab w:val="num" w:pos="3600"/>
        </w:tabs>
        <w:ind w:left="3600" w:hanging="360"/>
      </w:pPr>
      <w:rPr>
        <w:rFonts w:ascii="Arial" w:hAnsi="Arial" w:hint="default"/>
      </w:rPr>
    </w:lvl>
    <w:lvl w:ilvl="5" w:tplc="36AE3E74" w:tentative="1">
      <w:start w:val="1"/>
      <w:numFmt w:val="bullet"/>
      <w:lvlText w:val="•"/>
      <w:lvlJc w:val="left"/>
      <w:pPr>
        <w:tabs>
          <w:tab w:val="num" w:pos="4320"/>
        </w:tabs>
        <w:ind w:left="4320" w:hanging="360"/>
      </w:pPr>
      <w:rPr>
        <w:rFonts w:ascii="Arial" w:hAnsi="Arial" w:hint="default"/>
      </w:rPr>
    </w:lvl>
    <w:lvl w:ilvl="6" w:tplc="55ACF984" w:tentative="1">
      <w:start w:val="1"/>
      <w:numFmt w:val="bullet"/>
      <w:lvlText w:val="•"/>
      <w:lvlJc w:val="left"/>
      <w:pPr>
        <w:tabs>
          <w:tab w:val="num" w:pos="5040"/>
        </w:tabs>
        <w:ind w:left="5040" w:hanging="360"/>
      </w:pPr>
      <w:rPr>
        <w:rFonts w:ascii="Arial" w:hAnsi="Arial" w:hint="default"/>
      </w:rPr>
    </w:lvl>
    <w:lvl w:ilvl="7" w:tplc="E0327232" w:tentative="1">
      <w:start w:val="1"/>
      <w:numFmt w:val="bullet"/>
      <w:lvlText w:val="•"/>
      <w:lvlJc w:val="left"/>
      <w:pPr>
        <w:tabs>
          <w:tab w:val="num" w:pos="5760"/>
        </w:tabs>
        <w:ind w:left="5760" w:hanging="360"/>
      </w:pPr>
      <w:rPr>
        <w:rFonts w:ascii="Arial" w:hAnsi="Arial" w:hint="default"/>
      </w:rPr>
    </w:lvl>
    <w:lvl w:ilvl="8" w:tplc="426238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7683B"/>
    <w:multiLevelType w:val="hybridMultilevel"/>
    <w:tmpl w:val="E14A7CA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32"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C3486C"/>
    <w:multiLevelType w:val="hybridMultilevel"/>
    <w:tmpl w:val="E9A4E464"/>
    <w:lvl w:ilvl="0" w:tplc="C084FA5E">
      <w:start w:val="10"/>
      <w:numFmt w:val="bullet"/>
      <w:lvlText w:val=""/>
      <w:lvlJc w:val="left"/>
      <w:pPr>
        <w:ind w:left="420" w:hanging="420"/>
      </w:pPr>
      <w:rPr>
        <w:rFonts w:ascii="Symbol" w:eastAsia="宋体" w:hAnsi="Symbol" w:cs="Times New Roman" w:hint="default"/>
      </w:rPr>
    </w:lvl>
    <w:lvl w:ilvl="1" w:tplc="C084FA5E">
      <w:start w:val="10"/>
      <w:numFmt w:val="bullet"/>
      <w:lvlText w:val=""/>
      <w:lvlJc w:val="left"/>
      <w:pPr>
        <w:ind w:left="840" w:hanging="420"/>
      </w:pPr>
      <w:rPr>
        <w:rFonts w:ascii="Symbol" w:eastAsia="宋体"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B14C8"/>
    <w:multiLevelType w:val="hybridMultilevel"/>
    <w:tmpl w:val="CBA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37"/>
  </w:num>
  <w:num w:numId="4">
    <w:abstractNumId w:val="2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4"/>
  </w:num>
  <w:num w:numId="18">
    <w:abstractNumId w:val="3"/>
  </w:num>
  <w:num w:numId="19">
    <w:abstractNumId w:val="34"/>
  </w:num>
  <w:num w:numId="20">
    <w:abstractNumId w:val="21"/>
  </w:num>
  <w:num w:numId="21">
    <w:abstractNumId w:val="14"/>
  </w:num>
  <w:num w:numId="22">
    <w:abstractNumId w:val="36"/>
  </w:num>
  <w:num w:numId="23">
    <w:abstractNumId w:val="30"/>
  </w:num>
  <w:num w:numId="24">
    <w:abstractNumId w:val="33"/>
  </w:num>
  <w:num w:numId="25">
    <w:abstractNumId w:val="16"/>
  </w:num>
  <w:num w:numId="26">
    <w:abstractNumId w:val="2"/>
  </w:num>
  <w:num w:numId="27">
    <w:abstractNumId w:val="29"/>
  </w:num>
  <w:num w:numId="28">
    <w:abstractNumId w:val="8"/>
  </w:num>
  <w:num w:numId="29">
    <w:abstractNumId w:val="32"/>
  </w:num>
  <w:num w:numId="30">
    <w:abstractNumId w:val="28"/>
  </w:num>
  <w:num w:numId="31">
    <w:abstractNumId w:val="38"/>
  </w:num>
  <w:num w:numId="32">
    <w:abstractNumId w:val="35"/>
  </w:num>
  <w:num w:numId="33">
    <w:abstractNumId w:val="24"/>
  </w:num>
  <w:num w:numId="34">
    <w:abstractNumId w:val="18"/>
  </w:num>
  <w:num w:numId="35">
    <w:abstractNumId w:val="9"/>
  </w:num>
  <w:num w:numId="36">
    <w:abstractNumId w:val="7"/>
  </w:num>
  <w:num w:numId="37">
    <w:abstractNumId w:val="27"/>
  </w:num>
  <w:num w:numId="38">
    <w:abstractNumId w:val="22"/>
  </w:num>
  <w:num w:numId="39">
    <w:abstractNumId w:val="13"/>
  </w:num>
  <w:num w:numId="40">
    <w:abstractNumId w:val="23"/>
  </w:num>
  <w:num w:numId="41">
    <w:abstractNumId w:val="15"/>
  </w:num>
  <w:num w:numId="42">
    <w:abstractNumId w:val="0"/>
  </w:num>
  <w:num w:numId="43">
    <w:abstractNumId w:val="5"/>
  </w:num>
  <w:num w:numId="44">
    <w:abstractNumId w:val="10"/>
  </w:num>
  <w:num w:numId="45">
    <w:abstractNumId w:val="6"/>
  </w:num>
  <w:num w:numId="46">
    <w:abstractNumId w:val="19"/>
  </w:num>
  <w:num w:numId="47">
    <w:abstractNumId w:val="26"/>
  </w:num>
  <w:num w:numId="48">
    <w:abstractNumId w:val="20"/>
  </w:num>
  <w:num w:numId="49">
    <w:abstractNumId w:val="11"/>
  </w:num>
  <w:num w:numId="5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5BE8"/>
    <w:rsid w:val="008064A2"/>
    <w:rsid w:val="00807BCB"/>
    <w:rsid w:val="00815DA9"/>
    <w:rsid w:val="00816078"/>
    <w:rsid w:val="00817109"/>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4332"/>
    <w:rsid w:val="008F4C17"/>
    <w:rsid w:val="008F4DD1"/>
    <w:rsid w:val="008F6056"/>
    <w:rsid w:val="00902C07"/>
    <w:rsid w:val="00905804"/>
    <w:rsid w:val="009101E2"/>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2B9"/>
    <w:rsid w:val="00AC27DB"/>
    <w:rsid w:val="00AC6D6B"/>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C2500"/>
    <w:rsid w:val="00DC6F2B"/>
    <w:rsid w:val="00DC77DC"/>
    <w:rsid w:val="00DD0453"/>
    <w:rsid w:val="00DD0C2C"/>
    <w:rsid w:val="00DD19DE"/>
    <w:rsid w:val="00DD28BC"/>
    <w:rsid w:val="00DE1D93"/>
    <w:rsid w:val="00DE31F0"/>
    <w:rsid w:val="00DE3D1C"/>
    <w:rsid w:val="00DE4D85"/>
    <w:rsid w:val="00E011A7"/>
    <w:rsid w:val="00E0227D"/>
    <w:rsid w:val="00E04B84"/>
    <w:rsid w:val="00E06466"/>
    <w:rsid w:val="00E06FDA"/>
    <w:rsid w:val="00E160A5"/>
    <w:rsid w:val="00E1713D"/>
    <w:rsid w:val="00E20A43"/>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styleId="aff">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7AB-D890-4920-B0E9-93F55D99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409</TotalTime>
  <Pages>25</Pages>
  <Words>6004</Words>
  <Characters>34225</Characters>
  <Application>Microsoft Office Word</Application>
  <DocSecurity>0</DocSecurity>
  <Lines>285</Lines>
  <Paragraphs>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40149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Zhangqian (Zq)</cp:lastModifiedBy>
  <cp:revision>66</cp:revision>
  <cp:lastPrinted>2019-04-25T01:09:00Z</cp:lastPrinted>
  <dcterms:created xsi:type="dcterms:W3CDTF">2020-02-20T11:27:00Z</dcterms:created>
  <dcterms:modified xsi:type="dcterms:W3CDTF">2020-02-21T11:19:00Z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