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231" w:rsidRPr="002D2977" w:rsidRDefault="00DF0231" w:rsidP="00DF0231">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w:t>
      </w:r>
      <w:r w:rsidR="00F0497C">
        <w:rPr>
          <w:rFonts w:cs="Arial"/>
          <w:noProof w:val="0"/>
          <w:sz w:val="24"/>
          <w:szCs w:val="24"/>
        </w:rPr>
        <w:t>3</w:t>
      </w:r>
      <w:r w:rsidRPr="002D2977">
        <w:rPr>
          <w:rFonts w:cs="Arial"/>
          <w:noProof w:val="0"/>
          <w:sz w:val="24"/>
          <w:szCs w:val="24"/>
        </w:rPr>
        <w:tab/>
      </w:r>
      <w:r w:rsidR="00B86997" w:rsidRPr="00B86997">
        <w:rPr>
          <w:rFonts w:cs="Arial"/>
          <w:noProof w:val="0"/>
          <w:sz w:val="24"/>
          <w:szCs w:val="24"/>
        </w:rPr>
        <w:t>R4-1914888</w:t>
      </w:r>
      <w:bookmarkStart w:id="0" w:name="_GoBack"/>
      <w:bookmarkEnd w:id="0"/>
    </w:p>
    <w:p w:rsidR="00A1597D" w:rsidRPr="00BD05EF" w:rsidRDefault="00F0497C" w:rsidP="00A1597D">
      <w:pPr>
        <w:pStyle w:val="3GPPHeader"/>
        <w:rPr>
          <w:lang w:val="en-US"/>
        </w:rPr>
      </w:pPr>
      <w:bookmarkStart w:id="1" w:name="OLE_LINK3"/>
      <w:bookmarkStart w:id="2" w:name="OLE_LINK4"/>
      <w:r w:rsidRPr="00F0497C">
        <w:rPr>
          <w:lang w:val="en-US"/>
        </w:rPr>
        <w:t>RENO</w:t>
      </w:r>
      <w:r w:rsidR="00A1597D" w:rsidRPr="00BD05EF">
        <w:rPr>
          <w:lang w:val="en-US"/>
        </w:rPr>
        <w:t xml:space="preserve">, </w:t>
      </w:r>
      <w:r>
        <w:rPr>
          <w:lang w:val="en-US"/>
        </w:rPr>
        <w:t>USA</w:t>
      </w:r>
      <w:r w:rsidR="00A1597D" w:rsidRPr="00BD05EF">
        <w:rPr>
          <w:lang w:val="en-US"/>
        </w:rPr>
        <w:t xml:space="preserve">, </w:t>
      </w:r>
      <w:r w:rsidR="00A1597D">
        <w:rPr>
          <w:lang w:val="en-US"/>
        </w:rPr>
        <w:t>October</w:t>
      </w:r>
      <w:r w:rsidR="00A1597D" w:rsidRPr="00BD05EF">
        <w:rPr>
          <w:lang w:val="en-US"/>
        </w:rPr>
        <w:t xml:space="preserve"> </w:t>
      </w:r>
      <w:r w:rsidR="00A1597D">
        <w:rPr>
          <w:lang w:val="en-US"/>
        </w:rPr>
        <w:t>1</w:t>
      </w:r>
      <w:r>
        <w:rPr>
          <w:lang w:val="en-US"/>
        </w:rPr>
        <w:t>8</w:t>
      </w:r>
      <w:r w:rsidR="00A1597D" w:rsidRPr="00BD05EF">
        <w:rPr>
          <w:lang w:val="en-US"/>
        </w:rPr>
        <w:t xml:space="preserve"> – </w:t>
      </w:r>
      <w:r>
        <w:rPr>
          <w:lang w:val="en-US"/>
        </w:rPr>
        <w:t>22</w:t>
      </w:r>
      <w:r w:rsidR="00A1597D" w:rsidRPr="00BD05EF">
        <w:rPr>
          <w:lang w:val="en-US"/>
        </w:rPr>
        <w:t>, 2019</w:t>
      </w:r>
    </w:p>
    <w:bookmarkEnd w:id="1"/>
    <w:bookmarkEnd w:id="2"/>
    <w:p w:rsidR="00DF0231" w:rsidRPr="002D2977"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6F72C0">
        <w:rPr>
          <w:rFonts w:ascii="Arial" w:hAnsi="Arial"/>
          <w:sz w:val="24"/>
          <w:lang w:val="en-US"/>
        </w:rPr>
        <w:t>8.11.3.3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AF3732">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61C19">
        <w:rPr>
          <w:rFonts w:ascii="Arial" w:hAnsi="Arial" w:cs="Arial"/>
          <w:sz w:val="24"/>
          <w:lang w:val="en-US" w:eastAsia="zh-CN"/>
        </w:rPr>
        <w:t>Discussion on the non-anchor RRM measurement requirements</w:t>
      </w:r>
      <w:r w:rsidR="00681BAE">
        <w:rPr>
          <w:rFonts w:ascii="Arial" w:hAnsi="Arial" w:cs="Arial"/>
          <w:sz w:val="24"/>
          <w:lang w:val="en-US" w:eastAsia="zh-CN"/>
        </w:rPr>
        <w:t xml:space="preserve"> </w:t>
      </w:r>
      <w:r w:rsidR="00681BAE" w:rsidRPr="00681BAE">
        <w:rPr>
          <w:rFonts w:ascii="Arial" w:hAnsi="Arial" w:cs="Arial"/>
          <w:sz w:val="24"/>
          <w:lang w:val="en-US" w:eastAsia="zh-CN"/>
        </w:rPr>
        <w:t>Rel-16 NB IoT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861C19" w:rsidRDefault="00DF0231" w:rsidP="00DF0231">
      <w:pPr>
        <w:rPr>
          <w:rFonts w:eastAsiaTheme="minorEastAsia"/>
          <w:lang w:val="en-US" w:eastAsia="zh-CN"/>
        </w:rPr>
      </w:pPr>
      <w:r w:rsidRPr="002D2977">
        <w:rPr>
          <w:rFonts w:eastAsiaTheme="minorEastAsia"/>
          <w:lang w:val="en-US" w:eastAsia="zh-CN"/>
        </w:rPr>
        <w:t>In last meeting RAN4 92</w:t>
      </w:r>
      <w:r w:rsidR="00356FB6">
        <w:rPr>
          <w:rFonts w:eastAsiaTheme="minorEastAsia"/>
          <w:lang w:val="en-US" w:eastAsia="zh-CN"/>
        </w:rPr>
        <w:t>bis</w:t>
      </w:r>
      <w:r w:rsidRPr="002D2977">
        <w:rPr>
          <w:rFonts w:eastAsiaTheme="minorEastAsia"/>
          <w:lang w:val="en-US" w:eastAsia="zh-CN"/>
        </w:rPr>
        <w:t xml:space="preserve">, </w:t>
      </w:r>
      <w:r w:rsidR="00861C19">
        <w:rPr>
          <w:lang w:eastAsia="zh-CN"/>
        </w:rPr>
        <w:t>the RRM measurement on the non-anchor carriers for R16 NB-</w:t>
      </w:r>
      <w:proofErr w:type="spellStart"/>
      <w:r w:rsidR="00861C19">
        <w:rPr>
          <w:lang w:eastAsia="zh-CN"/>
        </w:rPr>
        <w:t>IoT</w:t>
      </w:r>
      <w:proofErr w:type="spellEnd"/>
      <w:r w:rsidR="00861C19">
        <w:rPr>
          <w:lang w:eastAsia="zh-CN"/>
        </w:rPr>
        <w:t xml:space="preserve"> enhancements are discussed, and a way forward was agreed in [1].</w:t>
      </w:r>
    </w:p>
    <w:p w:rsidR="00861C19"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861C19">
        <w:rPr>
          <w:rFonts w:eastAsiaTheme="minorEastAsia"/>
          <w:lang w:val="en-US" w:eastAsia="zh-CN"/>
        </w:rPr>
        <w:t xml:space="preserve">remaining issues of RRM measurement on the non-anchor carriers. </w:t>
      </w:r>
      <w:r w:rsidR="00861C19">
        <w:rPr>
          <w:rFonts w:eastAsia="宋体"/>
          <w:lang w:eastAsia="zh-CN"/>
        </w:rPr>
        <w:t>A parallel CR is to implement the requirements for NRS based RRM measurement on non-anchor carriers in [2], along with the previous agreements.</w:t>
      </w:r>
    </w:p>
    <w:p w:rsidR="00DF0231" w:rsidRPr="002D2977" w:rsidRDefault="00DF0231" w:rsidP="00DF0231">
      <w:pPr>
        <w:pStyle w:val="1"/>
        <w:numPr>
          <w:ilvl w:val="0"/>
          <w:numId w:val="1"/>
        </w:numPr>
        <w:rPr>
          <w:lang w:val="en-US"/>
        </w:rPr>
      </w:pPr>
      <w:r w:rsidRPr="002D2977">
        <w:rPr>
          <w:lang w:val="en-US"/>
        </w:rPr>
        <w:t>Discussion</w:t>
      </w:r>
    </w:p>
    <w:p w:rsidR="005A39D5" w:rsidRDefault="00FA74CB" w:rsidP="001E0FCF">
      <w:pPr>
        <w:rPr>
          <w:rFonts w:eastAsia="宋体"/>
          <w:lang w:val="en-US" w:eastAsia="zh-CN"/>
        </w:rPr>
      </w:pPr>
      <w:r>
        <w:rPr>
          <w:rFonts w:eastAsia="宋体"/>
          <w:lang w:val="en-US" w:eastAsia="zh-CN"/>
        </w:rPr>
        <w:t>We have introduced the NRS on the non-anchor carrier, the main benefit from RAN4 perspective is that the UE can utilize the NRS for serving cell RRM measurement on the non-anchor carrier, when the following conditions are met:</w:t>
      </w:r>
    </w:p>
    <w:tbl>
      <w:tblPr>
        <w:tblStyle w:val="a7"/>
        <w:tblW w:w="0" w:type="auto"/>
        <w:tblLook w:val="04A0" w:firstRow="1" w:lastRow="0" w:firstColumn="1" w:lastColumn="0" w:noHBand="0" w:noVBand="1"/>
      </w:tblPr>
      <w:tblGrid>
        <w:gridCol w:w="9562"/>
      </w:tblGrid>
      <w:tr w:rsidR="00FA74CB" w:rsidTr="00FA74CB">
        <w:tc>
          <w:tcPr>
            <w:tcW w:w="9562" w:type="dxa"/>
          </w:tcPr>
          <w:p w:rsidR="000C48E0" w:rsidRPr="00FA74CB" w:rsidRDefault="00D44477" w:rsidP="00FA74CB">
            <w:pPr>
              <w:pStyle w:val="a6"/>
              <w:numPr>
                <w:ilvl w:val="0"/>
                <w:numId w:val="6"/>
              </w:numPr>
              <w:ind w:firstLineChars="0"/>
              <w:rPr>
                <w:rFonts w:eastAsiaTheme="minorEastAsia" w:cs="v4.2.0"/>
                <w:lang w:val="en-US" w:eastAsia="zh-CN"/>
              </w:rPr>
            </w:pPr>
            <w:r w:rsidRPr="00FA74CB">
              <w:rPr>
                <w:rFonts w:eastAsiaTheme="minorEastAsia" w:cs="v4.2.0"/>
                <w:lang w:eastAsia="zh-CN"/>
              </w:rPr>
              <w:t>the relaxed cell monitoring criteria defined in TS 36.306 are met, and</w:t>
            </w:r>
          </w:p>
          <w:p w:rsidR="000C48E0" w:rsidRPr="00FA74CB" w:rsidRDefault="00D44477" w:rsidP="00FA74CB">
            <w:pPr>
              <w:pStyle w:val="a6"/>
              <w:numPr>
                <w:ilvl w:val="0"/>
                <w:numId w:val="6"/>
              </w:numPr>
              <w:ind w:firstLineChars="0"/>
              <w:rPr>
                <w:rFonts w:eastAsiaTheme="minorEastAsia" w:cs="v4.2.0"/>
                <w:lang w:val="en-US" w:eastAsia="zh-CN"/>
              </w:rPr>
            </w:pPr>
            <w:r w:rsidRPr="00FA74CB">
              <w:rPr>
                <w:rFonts w:eastAsiaTheme="minorEastAsia" w:cs="v4.2.0"/>
                <w:lang w:eastAsia="zh-CN"/>
              </w:rPr>
              <w:t>transmit power difference of the signals/channels between anchor- and non-anchor carriers is known to the UE, and</w:t>
            </w:r>
          </w:p>
          <w:p w:rsidR="00FA74CB" w:rsidRPr="00FA74CB" w:rsidRDefault="00D44477" w:rsidP="00FA74CB">
            <w:pPr>
              <w:pStyle w:val="a6"/>
              <w:numPr>
                <w:ilvl w:val="0"/>
                <w:numId w:val="6"/>
              </w:numPr>
              <w:ind w:firstLineChars="0"/>
              <w:rPr>
                <w:rFonts w:eastAsiaTheme="minorEastAsia" w:cs="v4.2.0"/>
                <w:b/>
                <w:lang w:val="en-US" w:eastAsia="zh-CN"/>
              </w:rPr>
            </w:pPr>
            <w:r w:rsidRPr="00FA74CB">
              <w:rPr>
                <w:rFonts w:eastAsiaTheme="minorEastAsia" w:cs="v4.2.0"/>
                <w:lang w:eastAsia="zh-CN"/>
              </w:rPr>
              <w:t xml:space="preserve">UE is not configured with any positioning measurements and there are sufficient number of NRS </w:t>
            </w:r>
            <w:proofErr w:type="spellStart"/>
            <w:r w:rsidRPr="00FA74CB">
              <w:rPr>
                <w:rFonts w:eastAsiaTheme="minorEastAsia" w:cs="v4.2.0"/>
                <w:lang w:eastAsia="zh-CN"/>
              </w:rPr>
              <w:t>subframes</w:t>
            </w:r>
            <w:proofErr w:type="spellEnd"/>
            <w:r w:rsidRPr="00FA74CB">
              <w:rPr>
                <w:rFonts w:eastAsiaTheme="minorEastAsia" w:cs="v4.2.0"/>
                <w:lang w:eastAsia="zh-CN"/>
              </w:rPr>
              <w:t xml:space="preserve"> available for measurements as being discussed in RAN1</w:t>
            </w:r>
          </w:p>
        </w:tc>
      </w:tr>
    </w:tbl>
    <w:p w:rsidR="00FA74CB" w:rsidRDefault="00FA74CB" w:rsidP="001E0FCF">
      <w:pPr>
        <w:rPr>
          <w:rFonts w:eastAsiaTheme="minorEastAsia" w:cs="v4.2.0"/>
          <w:b/>
          <w:lang w:val="x-none" w:eastAsia="zh-CN"/>
        </w:rPr>
      </w:pPr>
    </w:p>
    <w:p w:rsidR="00FA74CB" w:rsidRDefault="00626745" w:rsidP="001E0FCF">
      <w:pPr>
        <w:rPr>
          <w:rFonts w:eastAsia="宋体"/>
          <w:lang w:val="en-US" w:eastAsia="zh-CN"/>
        </w:rPr>
      </w:pPr>
      <w:r>
        <w:rPr>
          <w:rFonts w:eastAsia="宋体"/>
          <w:lang w:val="en-US" w:eastAsia="zh-CN"/>
        </w:rPr>
        <w:t xml:space="preserve">As we are introducing the measurement requirements for non-anchor carriers, another import issue from last RAN4 meeting is how to cope with the measurement results from different carriers. When the UE is configured to conduct the RRM measurement on the non-anchor carrier when the conditions are met, there are large chance that UE still has to retune to the anchor carrier to do synchronization occasionally. In this way, the measurement results could be collected from different carriers. How to filter the results from different carriers is an important problem has to be solved. </w:t>
      </w:r>
      <w:r w:rsidR="00DF6E92">
        <w:rPr>
          <w:rFonts w:eastAsia="宋体"/>
          <w:lang w:val="en-US" w:eastAsia="zh-CN"/>
        </w:rPr>
        <w:t>From RAN4 perspective, there are two options to deal with the samples from different carriers.</w:t>
      </w:r>
    </w:p>
    <w:p w:rsidR="00DF6E92" w:rsidRDefault="00DF6E92" w:rsidP="001E0FCF">
      <w:pPr>
        <w:rPr>
          <w:rFonts w:eastAsia="宋体"/>
          <w:lang w:val="en-US" w:eastAsia="zh-CN"/>
        </w:rPr>
      </w:pPr>
      <w:r>
        <w:rPr>
          <w:rFonts w:eastAsia="宋体"/>
          <w:lang w:val="en-US" w:eastAsia="zh-CN"/>
        </w:rPr>
        <w:t>Option 1: The US is allowed to translate the non-anchor NRSRP sample results by the corresponding offset.</w:t>
      </w:r>
    </w:p>
    <w:p w:rsidR="00DF6E92" w:rsidRDefault="00DF6E92" w:rsidP="001E0FCF">
      <w:pPr>
        <w:rPr>
          <w:rFonts w:eastAsia="宋体"/>
          <w:lang w:val="en-US" w:eastAsia="zh-CN"/>
        </w:rPr>
      </w:pPr>
      <w:r>
        <w:rPr>
          <w:rFonts w:eastAsia="宋体"/>
          <w:lang w:val="en-US" w:eastAsia="zh-CN"/>
        </w:rPr>
        <w:t>Option 2: UE should only filter the samples from the same carrier.</w:t>
      </w:r>
    </w:p>
    <w:p w:rsidR="00DF6E92" w:rsidRPr="0033466C" w:rsidRDefault="00DF6E92" w:rsidP="001E0FCF">
      <w:pPr>
        <w:rPr>
          <w:rFonts w:eastAsia="宋体"/>
          <w:b/>
          <w:lang w:val="en-US" w:eastAsia="zh-CN"/>
        </w:rPr>
      </w:pPr>
      <w:r w:rsidRPr="0033466C">
        <w:rPr>
          <w:rFonts w:eastAsia="宋体"/>
          <w:b/>
          <w:lang w:val="en-US" w:eastAsia="zh-CN"/>
        </w:rPr>
        <w:t>Proposal 1</w:t>
      </w:r>
      <w:r w:rsidRPr="0033466C">
        <w:rPr>
          <w:rFonts w:eastAsia="宋体" w:hint="eastAsia"/>
          <w:b/>
          <w:lang w:val="en-US" w:eastAsia="zh-CN"/>
        </w:rPr>
        <w:t>：</w:t>
      </w:r>
      <w:r w:rsidRPr="0033466C">
        <w:rPr>
          <w:rFonts w:eastAsia="宋体" w:hint="eastAsia"/>
          <w:b/>
          <w:lang w:val="en-US" w:eastAsia="zh-CN"/>
        </w:rPr>
        <w:t>R</w:t>
      </w:r>
      <w:r w:rsidRPr="0033466C">
        <w:rPr>
          <w:rFonts w:eastAsia="宋体"/>
          <w:b/>
          <w:lang w:val="en-US" w:eastAsia="zh-CN"/>
        </w:rPr>
        <w:t xml:space="preserve">AN4 should make decision on filtering the results from different carriers from the below two options </w:t>
      </w:r>
    </w:p>
    <w:p w:rsidR="00DF6E92" w:rsidRPr="0033466C" w:rsidRDefault="00DF6E92" w:rsidP="00DF6E92">
      <w:pPr>
        <w:pStyle w:val="a6"/>
        <w:numPr>
          <w:ilvl w:val="0"/>
          <w:numId w:val="7"/>
        </w:numPr>
        <w:ind w:firstLineChars="0"/>
        <w:rPr>
          <w:rFonts w:eastAsia="宋体"/>
          <w:b/>
          <w:lang w:val="en-US" w:eastAsia="zh-CN"/>
        </w:rPr>
      </w:pPr>
      <w:r w:rsidRPr="0033466C">
        <w:rPr>
          <w:rFonts w:eastAsia="宋体"/>
          <w:b/>
          <w:lang w:val="en-US" w:eastAsia="zh-CN"/>
        </w:rPr>
        <w:t>Option 1: The US is allowed to translate the non-anchor NRSRP sample results by the corresponding offset.</w:t>
      </w:r>
    </w:p>
    <w:p w:rsidR="00DF6E92" w:rsidRPr="0033466C" w:rsidRDefault="00DF6E92" w:rsidP="00DF6E92">
      <w:pPr>
        <w:pStyle w:val="a6"/>
        <w:numPr>
          <w:ilvl w:val="0"/>
          <w:numId w:val="7"/>
        </w:numPr>
        <w:ind w:firstLineChars="0"/>
        <w:rPr>
          <w:rFonts w:eastAsia="宋体"/>
          <w:b/>
          <w:lang w:val="en-US" w:eastAsia="zh-CN"/>
        </w:rPr>
      </w:pPr>
      <w:r w:rsidRPr="0033466C">
        <w:rPr>
          <w:rFonts w:eastAsia="宋体"/>
          <w:b/>
          <w:lang w:val="en-US" w:eastAsia="zh-CN"/>
        </w:rPr>
        <w:t>Option 2: UE should only filter the samples from the same carrier.</w:t>
      </w:r>
    </w:p>
    <w:p w:rsidR="00DF6E92" w:rsidRPr="00DF6E92" w:rsidRDefault="00DF6E92" w:rsidP="00DF6E92">
      <w:pPr>
        <w:rPr>
          <w:rFonts w:eastAsia="宋体"/>
          <w:lang w:val="en-US" w:eastAsia="zh-CN"/>
        </w:rPr>
      </w:pPr>
      <w:r>
        <w:rPr>
          <w:rFonts w:eastAsia="宋体"/>
          <w:lang w:val="en-US" w:eastAsia="zh-CN"/>
        </w:rPr>
        <w:t>Accordingly, we propose for</w:t>
      </w:r>
      <w:r w:rsidRPr="00DF6E92">
        <w:rPr>
          <w:rFonts w:eastAsia="宋体"/>
          <w:lang w:val="en-US" w:eastAsia="zh-CN"/>
        </w:rPr>
        <w:t xml:space="preserve"> the UE is allowed to trigger mobility or/and relaxed monitoring when any results indicate violations of the criteria.</w:t>
      </w:r>
    </w:p>
    <w:p w:rsidR="00DF6E92" w:rsidRPr="0033466C" w:rsidRDefault="00DF6E92" w:rsidP="00DF6E92">
      <w:pPr>
        <w:rPr>
          <w:rFonts w:eastAsia="宋体"/>
          <w:b/>
          <w:lang w:val="en-US" w:eastAsia="zh-CN"/>
        </w:rPr>
      </w:pPr>
      <w:r w:rsidRPr="0033466C">
        <w:rPr>
          <w:rFonts w:eastAsia="宋体"/>
          <w:b/>
          <w:lang w:val="en-US" w:eastAsia="zh-CN"/>
        </w:rPr>
        <w:lastRenderedPageBreak/>
        <w:t>Proposal 2: Any filtered results, either from anchor or non-anchor carrier, can trigger neighbor cell measurement and/or relaxed monitoring abortion.</w:t>
      </w:r>
    </w:p>
    <w:p w:rsidR="00DF6E92" w:rsidRDefault="00DF6E92" w:rsidP="00DF6E92">
      <w:pPr>
        <w:rPr>
          <w:rFonts w:eastAsia="宋体"/>
          <w:lang w:val="en-US" w:eastAsia="zh-CN"/>
        </w:rPr>
      </w:pPr>
      <w:r>
        <w:rPr>
          <w:rFonts w:eastAsia="宋体"/>
          <w:lang w:val="en-US" w:eastAsia="zh-CN"/>
        </w:rPr>
        <w:t>There is still one thing to be considered. Since the UE could obtain the measurement results from different carriers, it is possible that for samples to be filtered, they are spaced by too long a period between them. Under this case, it is not fair for the performance to be guaranteed so that we also propose,</w:t>
      </w:r>
    </w:p>
    <w:p w:rsidR="00DF6E92" w:rsidRDefault="00DF6E92" w:rsidP="00DF6E92">
      <w:pPr>
        <w:rPr>
          <w:rFonts w:eastAsia="宋体"/>
          <w:b/>
          <w:lang w:val="en-US" w:eastAsia="zh-CN"/>
        </w:rPr>
      </w:pPr>
      <w:r>
        <w:rPr>
          <w:rFonts w:eastAsia="宋体"/>
          <w:b/>
          <w:lang w:val="en-US" w:eastAsia="zh-CN"/>
        </w:rPr>
        <w:t xml:space="preserve">Proposal 3: A threshold should be used so that if the two </w:t>
      </w:r>
      <w:r w:rsidR="00E95EC9">
        <w:rPr>
          <w:rFonts w:eastAsia="宋体"/>
          <w:b/>
          <w:lang w:val="en-US" w:eastAsia="zh-CN"/>
        </w:rPr>
        <w:t xml:space="preserve">samples of measured RSRP </w:t>
      </w:r>
      <w:r>
        <w:rPr>
          <w:rFonts w:eastAsia="宋体"/>
          <w:b/>
          <w:lang w:val="en-US" w:eastAsia="zh-CN"/>
        </w:rPr>
        <w:t>are spaced by a period longer than the threshold the results do not count.</w:t>
      </w:r>
    </w:p>
    <w:p w:rsidR="00DF6E92" w:rsidRPr="00DF6E92" w:rsidRDefault="00DF6E92" w:rsidP="00DF6E92">
      <w:pPr>
        <w:rPr>
          <w:rFonts w:eastAsia="宋体"/>
          <w:lang w:val="en-US" w:eastAsia="zh-CN"/>
        </w:rPr>
      </w:pPr>
    </w:p>
    <w:p w:rsidR="00DF0231" w:rsidRPr="002D2977" w:rsidRDefault="00DF0231" w:rsidP="00DF0231">
      <w:pPr>
        <w:pStyle w:val="1"/>
        <w:numPr>
          <w:ilvl w:val="0"/>
          <w:numId w:val="1"/>
        </w:numPr>
        <w:rPr>
          <w:lang w:val="en-US"/>
        </w:rPr>
      </w:pPr>
      <w:r w:rsidRPr="002D2977">
        <w:rPr>
          <w:lang w:val="en-US"/>
        </w:rPr>
        <w:t>Conclusions</w:t>
      </w:r>
    </w:p>
    <w:p w:rsidR="0033466C" w:rsidRPr="0033466C" w:rsidRDefault="0033466C" w:rsidP="0033466C">
      <w:pPr>
        <w:rPr>
          <w:rFonts w:eastAsia="宋体"/>
          <w:b/>
          <w:lang w:val="en-US" w:eastAsia="zh-CN"/>
        </w:rPr>
      </w:pPr>
      <w:r w:rsidRPr="0033466C">
        <w:rPr>
          <w:rFonts w:eastAsia="宋体"/>
          <w:b/>
          <w:lang w:val="en-US" w:eastAsia="zh-CN"/>
        </w:rPr>
        <w:t>Proposal 1</w:t>
      </w:r>
      <w:r w:rsidRPr="0033466C">
        <w:rPr>
          <w:rFonts w:eastAsia="宋体" w:hint="eastAsia"/>
          <w:b/>
          <w:lang w:val="en-US" w:eastAsia="zh-CN"/>
        </w:rPr>
        <w:t>：</w:t>
      </w:r>
      <w:r w:rsidRPr="0033466C">
        <w:rPr>
          <w:rFonts w:eastAsia="宋体" w:hint="eastAsia"/>
          <w:b/>
          <w:lang w:val="en-US" w:eastAsia="zh-CN"/>
        </w:rPr>
        <w:t>R</w:t>
      </w:r>
      <w:r w:rsidRPr="0033466C">
        <w:rPr>
          <w:rFonts w:eastAsia="宋体"/>
          <w:b/>
          <w:lang w:val="en-US" w:eastAsia="zh-CN"/>
        </w:rPr>
        <w:t xml:space="preserve">AN4 should make decision on filtering the results from different carriers from the below two options </w:t>
      </w:r>
    </w:p>
    <w:p w:rsidR="0033466C" w:rsidRPr="0033466C" w:rsidRDefault="0033466C" w:rsidP="0033466C">
      <w:pPr>
        <w:pStyle w:val="a6"/>
        <w:numPr>
          <w:ilvl w:val="0"/>
          <w:numId w:val="7"/>
        </w:numPr>
        <w:ind w:firstLineChars="0"/>
        <w:rPr>
          <w:rFonts w:eastAsia="宋体"/>
          <w:b/>
          <w:lang w:val="en-US" w:eastAsia="zh-CN"/>
        </w:rPr>
      </w:pPr>
      <w:r w:rsidRPr="0033466C">
        <w:rPr>
          <w:rFonts w:eastAsia="宋体"/>
          <w:b/>
          <w:lang w:val="en-US" w:eastAsia="zh-CN"/>
        </w:rPr>
        <w:t>Option 1: The US is allowed to translate the non-anchor NRSRP sample results by the corresponding offset.</w:t>
      </w:r>
    </w:p>
    <w:p w:rsidR="0033466C" w:rsidRPr="0033466C" w:rsidRDefault="0033466C" w:rsidP="0033466C">
      <w:pPr>
        <w:pStyle w:val="a6"/>
        <w:numPr>
          <w:ilvl w:val="0"/>
          <w:numId w:val="7"/>
        </w:numPr>
        <w:ind w:firstLineChars="0"/>
        <w:rPr>
          <w:rFonts w:eastAsia="宋体"/>
          <w:b/>
          <w:lang w:val="en-US" w:eastAsia="zh-CN"/>
        </w:rPr>
      </w:pPr>
      <w:r w:rsidRPr="0033466C">
        <w:rPr>
          <w:rFonts w:eastAsia="宋体"/>
          <w:b/>
          <w:lang w:val="en-US" w:eastAsia="zh-CN"/>
        </w:rPr>
        <w:t>Option 2: UE should only filter the samples from the same carrier.</w:t>
      </w:r>
    </w:p>
    <w:p w:rsidR="0033466C" w:rsidRPr="0033466C" w:rsidRDefault="0033466C" w:rsidP="0033466C">
      <w:pPr>
        <w:rPr>
          <w:rFonts w:eastAsia="宋体"/>
          <w:b/>
          <w:lang w:val="en-US" w:eastAsia="zh-CN"/>
        </w:rPr>
      </w:pPr>
      <w:r w:rsidRPr="0033466C">
        <w:rPr>
          <w:rFonts w:eastAsia="宋体"/>
          <w:b/>
          <w:lang w:val="en-US" w:eastAsia="zh-CN"/>
        </w:rPr>
        <w:t>Proposal 2: Any filtered results, either from anchor or non-anchor carrier, can trigger neighbor cell measurement and/or relaxed monitoring abortion.</w:t>
      </w:r>
    </w:p>
    <w:p w:rsidR="0033466C" w:rsidRDefault="0033466C" w:rsidP="0033466C">
      <w:pPr>
        <w:rPr>
          <w:rFonts w:eastAsia="宋体"/>
          <w:b/>
          <w:lang w:val="en-US" w:eastAsia="zh-CN"/>
        </w:rPr>
      </w:pPr>
      <w:r>
        <w:rPr>
          <w:rFonts w:eastAsia="宋体"/>
          <w:b/>
          <w:lang w:val="en-US" w:eastAsia="zh-CN"/>
        </w:rPr>
        <w:t>Proposal 3: A threshold should be used so that if the two samp</w:t>
      </w:r>
      <w:r w:rsidR="00E95EC9">
        <w:rPr>
          <w:rFonts w:eastAsia="宋体"/>
          <w:b/>
          <w:lang w:val="en-US" w:eastAsia="zh-CN"/>
        </w:rPr>
        <w:t>les of measured RSRP</w:t>
      </w:r>
      <w:r>
        <w:rPr>
          <w:rFonts w:eastAsia="宋体"/>
          <w:b/>
          <w:lang w:val="en-US" w:eastAsia="zh-CN"/>
        </w:rPr>
        <w:t xml:space="preserve"> are spaced by a period longer than the threshold the results do not count.</w:t>
      </w:r>
    </w:p>
    <w:p w:rsidR="00F076D1" w:rsidRPr="002D2977" w:rsidRDefault="00F076D1" w:rsidP="00DF0231">
      <w:pPr>
        <w:rPr>
          <w:b/>
          <w:bCs/>
          <w:lang w:val="en-US"/>
        </w:rPr>
      </w:pPr>
    </w:p>
    <w:p w:rsidR="00DF0231" w:rsidRPr="002D2977" w:rsidRDefault="00DF0231" w:rsidP="00DF0231">
      <w:pPr>
        <w:pStyle w:val="1"/>
        <w:tabs>
          <w:tab w:val="clear" w:pos="432"/>
        </w:tabs>
        <w:ind w:left="0" w:firstLine="0"/>
        <w:rPr>
          <w:lang w:val="en-US"/>
        </w:rPr>
      </w:pPr>
      <w:r w:rsidRPr="002D2977">
        <w:rPr>
          <w:lang w:val="en-US"/>
        </w:rPr>
        <w:t>References</w:t>
      </w:r>
    </w:p>
    <w:p w:rsidR="00DF0231" w:rsidRPr="002D2977" w:rsidRDefault="00DF0231" w:rsidP="00DF0231">
      <w:pPr>
        <w:rPr>
          <w:lang w:val="en-US"/>
        </w:rPr>
      </w:pPr>
      <w:r w:rsidRPr="002D2977">
        <w:rPr>
          <w:lang w:val="en-US"/>
        </w:rPr>
        <w:t xml:space="preserve">[1] </w:t>
      </w:r>
      <w:r w:rsidR="00861C19">
        <w:rPr>
          <w:lang w:val="en-US"/>
        </w:rPr>
        <w:t xml:space="preserve">R4-1912783 </w:t>
      </w:r>
      <w:r w:rsidR="00861C19" w:rsidRPr="00861C19">
        <w:rPr>
          <w:lang w:val="en-US"/>
        </w:rPr>
        <w:t>Way forward on RRM requirements of R16 enhancement for NB-</w:t>
      </w:r>
      <w:proofErr w:type="spellStart"/>
      <w:r w:rsidR="00861C19" w:rsidRPr="00861C19">
        <w:rPr>
          <w:lang w:val="en-US"/>
        </w:rPr>
        <w:t>IoT</w:t>
      </w:r>
      <w:proofErr w:type="spellEnd"/>
      <w:r w:rsidR="00861C19">
        <w:rPr>
          <w:lang w:val="en-US"/>
        </w:rPr>
        <w:t>, Huawei</w:t>
      </w:r>
    </w:p>
    <w:p w:rsidR="00DF0231" w:rsidRPr="00AF3732" w:rsidRDefault="00AF3732" w:rsidP="00DF0231">
      <w:pPr>
        <w:rPr>
          <w:rFonts w:eastAsiaTheme="minorEastAsia"/>
          <w:lang w:val="en-US" w:eastAsia="zh-CN"/>
        </w:rPr>
      </w:pPr>
      <w:r>
        <w:rPr>
          <w:rFonts w:eastAsiaTheme="minorEastAsia" w:hint="eastAsia"/>
          <w:lang w:val="en-US" w:eastAsia="zh-CN"/>
        </w:rPr>
        <w:t>[</w:t>
      </w:r>
      <w:r w:rsidR="00861C19">
        <w:rPr>
          <w:rFonts w:eastAsiaTheme="minorEastAsia"/>
          <w:lang w:val="en-US" w:eastAsia="zh-CN"/>
        </w:rPr>
        <w:t>2]</w:t>
      </w:r>
    </w:p>
    <w:p w:rsidR="007D0DF7" w:rsidRPr="001E0FCF" w:rsidRDefault="007D0DF7">
      <w:pPr>
        <w:rPr>
          <w:rFonts w:eastAsiaTheme="minorEastAsia"/>
          <w:lang w:val="en-US" w:eastAsia="zh-CN"/>
        </w:rPr>
      </w:pPr>
    </w:p>
    <w:sectPr w:rsidR="007D0DF7" w:rsidRPr="001E0FCF"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1BE" w:rsidRDefault="004561BE">
      <w:pPr>
        <w:spacing w:after="0"/>
      </w:pPr>
      <w:r>
        <w:separator/>
      </w:r>
    </w:p>
  </w:endnote>
  <w:endnote w:type="continuationSeparator" w:id="0">
    <w:p w:rsidR="004561BE" w:rsidRDefault="004561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598" w:rsidRDefault="0070159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701598" w:rsidRDefault="007015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598" w:rsidRDefault="0070159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86997">
      <w:rPr>
        <w:rStyle w:val="a5"/>
      </w:rPr>
      <w:t>2</w:t>
    </w:r>
    <w:r>
      <w:rPr>
        <w:rStyle w:val="a5"/>
      </w:rPr>
      <w:fldChar w:fldCharType="end"/>
    </w:r>
  </w:p>
  <w:p w:rsidR="00701598" w:rsidRDefault="0070159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1BE" w:rsidRDefault="004561BE">
      <w:pPr>
        <w:spacing w:after="0"/>
      </w:pPr>
      <w:r>
        <w:separator/>
      </w:r>
    </w:p>
  </w:footnote>
  <w:footnote w:type="continuationSeparator" w:id="0">
    <w:p w:rsidR="004561BE" w:rsidRDefault="004561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C2B4AAE"/>
    <w:multiLevelType w:val="hybridMultilevel"/>
    <w:tmpl w:val="B2B8DEA0"/>
    <w:lvl w:ilvl="0" w:tplc="0B42402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C659B6"/>
    <w:multiLevelType w:val="hybridMultilevel"/>
    <w:tmpl w:val="D1706214"/>
    <w:lvl w:ilvl="0" w:tplc="FD1E1D9E">
      <w:start w:val="1"/>
      <w:numFmt w:val="bullet"/>
      <w:lvlText w:val="–"/>
      <w:lvlJc w:val="left"/>
      <w:pPr>
        <w:tabs>
          <w:tab w:val="num" w:pos="720"/>
        </w:tabs>
        <w:ind w:left="720" w:hanging="360"/>
      </w:pPr>
      <w:rPr>
        <w:rFonts w:ascii="Arial" w:hAnsi="Arial" w:hint="default"/>
      </w:rPr>
    </w:lvl>
    <w:lvl w:ilvl="1" w:tplc="AAE6CBCE">
      <w:start w:val="1"/>
      <w:numFmt w:val="bullet"/>
      <w:lvlText w:val="–"/>
      <w:lvlJc w:val="left"/>
      <w:pPr>
        <w:tabs>
          <w:tab w:val="num" w:pos="1440"/>
        </w:tabs>
        <w:ind w:left="1440" w:hanging="360"/>
      </w:pPr>
      <w:rPr>
        <w:rFonts w:ascii="Arial" w:hAnsi="Arial" w:hint="default"/>
      </w:rPr>
    </w:lvl>
    <w:lvl w:ilvl="2" w:tplc="21D41492" w:tentative="1">
      <w:start w:val="1"/>
      <w:numFmt w:val="bullet"/>
      <w:lvlText w:val="–"/>
      <w:lvlJc w:val="left"/>
      <w:pPr>
        <w:tabs>
          <w:tab w:val="num" w:pos="2160"/>
        </w:tabs>
        <w:ind w:left="2160" w:hanging="360"/>
      </w:pPr>
      <w:rPr>
        <w:rFonts w:ascii="Arial" w:hAnsi="Arial" w:hint="default"/>
      </w:rPr>
    </w:lvl>
    <w:lvl w:ilvl="3" w:tplc="854AE7FC" w:tentative="1">
      <w:start w:val="1"/>
      <w:numFmt w:val="bullet"/>
      <w:lvlText w:val="–"/>
      <w:lvlJc w:val="left"/>
      <w:pPr>
        <w:tabs>
          <w:tab w:val="num" w:pos="2880"/>
        </w:tabs>
        <w:ind w:left="2880" w:hanging="360"/>
      </w:pPr>
      <w:rPr>
        <w:rFonts w:ascii="Arial" w:hAnsi="Arial" w:hint="default"/>
      </w:rPr>
    </w:lvl>
    <w:lvl w:ilvl="4" w:tplc="675244B2" w:tentative="1">
      <w:start w:val="1"/>
      <w:numFmt w:val="bullet"/>
      <w:lvlText w:val="–"/>
      <w:lvlJc w:val="left"/>
      <w:pPr>
        <w:tabs>
          <w:tab w:val="num" w:pos="3600"/>
        </w:tabs>
        <w:ind w:left="3600" w:hanging="360"/>
      </w:pPr>
      <w:rPr>
        <w:rFonts w:ascii="Arial" w:hAnsi="Arial" w:hint="default"/>
      </w:rPr>
    </w:lvl>
    <w:lvl w:ilvl="5" w:tplc="D79ADEE0" w:tentative="1">
      <w:start w:val="1"/>
      <w:numFmt w:val="bullet"/>
      <w:lvlText w:val="–"/>
      <w:lvlJc w:val="left"/>
      <w:pPr>
        <w:tabs>
          <w:tab w:val="num" w:pos="4320"/>
        </w:tabs>
        <w:ind w:left="4320" w:hanging="360"/>
      </w:pPr>
      <w:rPr>
        <w:rFonts w:ascii="Arial" w:hAnsi="Arial" w:hint="default"/>
      </w:rPr>
    </w:lvl>
    <w:lvl w:ilvl="6" w:tplc="CA768834" w:tentative="1">
      <w:start w:val="1"/>
      <w:numFmt w:val="bullet"/>
      <w:lvlText w:val="–"/>
      <w:lvlJc w:val="left"/>
      <w:pPr>
        <w:tabs>
          <w:tab w:val="num" w:pos="5040"/>
        </w:tabs>
        <w:ind w:left="5040" w:hanging="360"/>
      </w:pPr>
      <w:rPr>
        <w:rFonts w:ascii="Arial" w:hAnsi="Arial" w:hint="default"/>
      </w:rPr>
    </w:lvl>
    <w:lvl w:ilvl="7" w:tplc="D08078D0" w:tentative="1">
      <w:start w:val="1"/>
      <w:numFmt w:val="bullet"/>
      <w:lvlText w:val="–"/>
      <w:lvlJc w:val="left"/>
      <w:pPr>
        <w:tabs>
          <w:tab w:val="num" w:pos="5760"/>
        </w:tabs>
        <w:ind w:left="5760" w:hanging="360"/>
      </w:pPr>
      <w:rPr>
        <w:rFonts w:ascii="Arial" w:hAnsi="Arial" w:hint="default"/>
      </w:rPr>
    </w:lvl>
    <w:lvl w:ilvl="8" w:tplc="4A5897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EFF5AD8"/>
    <w:multiLevelType w:val="hybridMultilevel"/>
    <w:tmpl w:val="B3EC055E"/>
    <w:lvl w:ilvl="0" w:tplc="68AA9DC4">
      <w:start w:val="1"/>
      <w:numFmt w:val="bullet"/>
      <w:lvlText w:val="•"/>
      <w:lvlJc w:val="left"/>
      <w:pPr>
        <w:tabs>
          <w:tab w:val="num" w:pos="720"/>
        </w:tabs>
        <w:ind w:left="720" w:hanging="360"/>
      </w:pPr>
      <w:rPr>
        <w:rFonts w:ascii="Arial" w:hAnsi="Arial" w:hint="default"/>
      </w:rPr>
    </w:lvl>
    <w:lvl w:ilvl="1" w:tplc="193A1B7E">
      <w:start w:val="1"/>
      <w:numFmt w:val="bullet"/>
      <w:lvlText w:val="•"/>
      <w:lvlJc w:val="left"/>
      <w:pPr>
        <w:tabs>
          <w:tab w:val="num" w:pos="1440"/>
        </w:tabs>
        <w:ind w:left="1440" w:hanging="360"/>
      </w:pPr>
      <w:rPr>
        <w:rFonts w:ascii="Arial" w:hAnsi="Arial" w:hint="default"/>
      </w:rPr>
    </w:lvl>
    <w:lvl w:ilvl="2" w:tplc="019290AE">
      <w:numFmt w:val="bullet"/>
      <w:lvlText w:val="•"/>
      <w:lvlJc w:val="left"/>
      <w:pPr>
        <w:tabs>
          <w:tab w:val="num" w:pos="2160"/>
        </w:tabs>
        <w:ind w:left="2160" w:hanging="360"/>
      </w:pPr>
      <w:rPr>
        <w:rFonts w:ascii="Arial" w:hAnsi="Arial" w:hint="default"/>
      </w:rPr>
    </w:lvl>
    <w:lvl w:ilvl="3" w:tplc="F8CE7BDC" w:tentative="1">
      <w:start w:val="1"/>
      <w:numFmt w:val="bullet"/>
      <w:lvlText w:val="•"/>
      <w:lvlJc w:val="left"/>
      <w:pPr>
        <w:tabs>
          <w:tab w:val="num" w:pos="2880"/>
        </w:tabs>
        <w:ind w:left="2880" w:hanging="360"/>
      </w:pPr>
      <w:rPr>
        <w:rFonts w:ascii="Arial" w:hAnsi="Arial" w:hint="default"/>
      </w:rPr>
    </w:lvl>
    <w:lvl w:ilvl="4" w:tplc="19BEE9E8" w:tentative="1">
      <w:start w:val="1"/>
      <w:numFmt w:val="bullet"/>
      <w:lvlText w:val="•"/>
      <w:lvlJc w:val="left"/>
      <w:pPr>
        <w:tabs>
          <w:tab w:val="num" w:pos="3600"/>
        </w:tabs>
        <w:ind w:left="3600" w:hanging="360"/>
      </w:pPr>
      <w:rPr>
        <w:rFonts w:ascii="Arial" w:hAnsi="Arial" w:hint="default"/>
      </w:rPr>
    </w:lvl>
    <w:lvl w:ilvl="5" w:tplc="F2066386" w:tentative="1">
      <w:start w:val="1"/>
      <w:numFmt w:val="bullet"/>
      <w:lvlText w:val="•"/>
      <w:lvlJc w:val="left"/>
      <w:pPr>
        <w:tabs>
          <w:tab w:val="num" w:pos="4320"/>
        </w:tabs>
        <w:ind w:left="4320" w:hanging="360"/>
      </w:pPr>
      <w:rPr>
        <w:rFonts w:ascii="Arial" w:hAnsi="Arial" w:hint="default"/>
      </w:rPr>
    </w:lvl>
    <w:lvl w:ilvl="6" w:tplc="63507EE8" w:tentative="1">
      <w:start w:val="1"/>
      <w:numFmt w:val="bullet"/>
      <w:lvlText w:val="•"/>
      <w:lvlJc w:val="left"/>
      <w:pPr>
        <w:tabs>
          <w:tab w:val="num" w:pos="5040"/>
        </w:tabs>
        <w:ind w:left="5040" w:hanging="360"/>
      </w:pPr>
      <w:rPr>
        <w:rFonts w:ascii="Arial" w:hAnsi="Arial" w:hint="default"/>
      </w:rPr>
    </w:lvl>
    <w:lvl w:ilvl="7" w:tplc="1F184A4A" w:tentative="1">
      <w:start w:val="1"/>
      <w:numFmt w:val="bullet"/>
      <w:lvlText w:val="•"/>
      <w:lvlJc w:val="left"/>
      <w:pPr>
        <w:tabs>
          <w:tab w:val="num" w:pos="5760"/>
        </w:tabs>
        <w:ind w:left="5760" w:hanging="360"/>
      </w:pPr>
      <w:rPr>
        <w:rFonts w:ascii="Arial" w:hAnsi="Arial" w:hint="default"/>
      </w:rPr>
    </w:lvl>
    <w:lvl w:ilvl="8" w:tplc="49F0D0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53D3BEC"/>
    <w:multiLevelType w:val="hybridMultilevel"/>
    <w:tmpl w:val="325AF42E"/>
    <w:lvl w:ilvl="0" w:tplc="0B42402E">
      <w:start w:val="8"/>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3"/>
  </w:num>
  <w:num w:numId="2">
    <w:abstractNumId w:val="0"/>
  </w:num>
  <w:num w:numId="3">
    <w:abstractNumId w:val="4"/>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5CC5"/>
    <w:rsid w:val="00063E08"/>
    <w:rsid w:val="000C48E0"/>
    <w:rsid w:val="000D2930"/>
    <w:rsid w:val="001A5F53"/>
    <w:rsid w:val="001E0FCF"/>
    <w:rsid w:val="00207516"/>
    <w:rsid w:val="002221AC"/>
    <w:rsid w:val="002328DD"/>
    <w:rsid w:val="00254F38"/>
    <w:rsid w:val="002B6715"/>
    <w:rsid w:val="002E668C"/>
    <w:rsid w:val="00310794"/>
    <w:rsid w:val="0033466C"/>
    <w:rsid w:val="00356FB6"/>
    <w:rsid w:val="00430F24"/>
    <w:rsid w:val="00435EBD"/>
    <w:rsid w:val="004561BE"/>
    <w:rsid w:val="00466D02"/>
    <w:rsid w:val="00477263"/>
    <w:rsid w:val="004A7CF2"/>
    <w:rsid w:val="005060FE"/>
    <w:rsid w:val="005A39D5"/>
    <w:rsid w:val="00626745"/>
    <w:rsid w:val="00681BAE"/>
    <w:rsid w:val="006F72C0"/>
    <w:rsid w:val="00701598"/>
    <w:rsid w:val="00772FB9"/>
    <w:rsid w:val="007D0DF7"/>
    <w:rsid w:val="007D3409"/>
    <w:rsid w:val="00804945"/>
    <w:rsid w:val="00861C19"/>
    <w:rsid w:val="00873C1C"/>
    <w:rsid w:val="00892EAE"/>
    <w:rsid w:val="008A1C4E"/>
    <w:rsid w:val="00914A03"/>
    <w:rsid w:val="009968CF"/>
    <w:rsid w:val="009C7D5E"/>
    <w:rsid w:val="009D2942"/>
    <w:rsid w:val="009E6763"/>
    <w:rsid w:val="009E6DC8"/>
    <w:rsid w:val="00A1597D"/>
    <w:rsid w:val="00A21375"/>
    <w:rsid w:val="00A22790"/>
    <w:rsid w:val="00AD69AA"/>
    <w:rsid w:val="00AF3732"/>
    <w:rsid w:val="00AF5966"/>
    <w:rsid w:val="00B86997"/>
    <w:rsid w:val="00BE1FD4"/>
    <w:rsid w:val="00C50A0A"/>
    <w:rsid w:val="00CA1729"/>
    <w:rsid w:val="00CE0DA0"/>
    <w:rsid w:val="00D44477"/>
    <w:rsid w:val="00DA5F31"/>
    <w:rsid w:val="00DF0231"/>
    <w:rsid w:val="00DF6E92"/>
    <w:rsid w:val="00E95EC9"/>
    <w:rsid w:val="00F0497C"/>
    <w:rsid w:val="00F076D1"/>
    <w:rsid w:val="00F303F4"/>
    <w:rsid w:val="00F70564"/>
    <w:rsid w:val="00FA4943"/>
    <w:rsid w:val="00FA74CB"/>
    <w:rsid w:val="00FC0F9D"/>
    <w:rsid w:val="00FC3492"/>
    <w:rsid w:val="00FD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66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basedOn w:val="a"/>
    <w:uiPriority w:val="34"/>
    <w:qFormat/>
    <w:rsid w:val="007D3409"/>
    <w:pPr>
      <w:ind w:firstLineChars="200" w:firstLine="420"/>
    </w:pPr>
  </w:style>
  <w:style w:type="table" w:styleId="a7">
    <w:name w:val="Table Grid"/>
    <w:basedOn w:val="a1"/>
    <w:uiPriority w:val="39"/>
    <w:rsid w:val="00AF3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5532">
      <w:bodyDiv w:val="1"/>
      <w:marLeft w:val="0"/>
      <w:marRight w:val="0"/>
      <w:marTop w:val="0"/>
      <w:marBottom w:val="0"/>
      <w:divBdr>
        <w:top w:val="none" w:sz="0" w:space="0" w:color="auto"/>
        <w:left w:val="none" w:sz="0" w:space="0" w:color="auto"/>
        <w:bottom w:val="none" w:sz="0" w:space="0" w:color="auto"/>
        <w:right w:val="none" w:sz="0" w:space="0" w:color="auto"/>
      </w:divBdr>
    </w:div>
    <w:div w:id="445389251">
      <w:bodyDiv w:val="1"/>
      <w:marLeft w:val="0"/>
      <w:marRight w:val="0"/>
      <w:marTop w:val="0"/>
      <w:marBottom w:val="0"/>
      <w:divBdr>
        <w:top w:val="none" w:sz="0" w:space="0" w:color="auto"/>
        <w:left w:val="none" w:sz="0" w:space="0" w:color="auto"/>
        <w:bottom w:val="none" w:sz="0" w:space="0" w:color="auto"/>
        <w:right w:val="none" w:sz="0" w:space="0" w:color="auto"/>
      </w:divBdr>
      <w:divsChild>
        <w:div w:id="951783100">
          <w:marLeft w:val="1080"/>
          <w:marRight w:val="0"/>
          <w:marTop w:val="100"/>
          <w:marBottom w:val="0"/>
          <w:divBdr>
            <w:top w:val="none" w:sz="0" w:space="0" w:color="auto"/>
            <w:left w:val="none" w:sz="0" w:space="0" w:color="auto"/>
            <w:bottom w:val="none" w:sz="0" w:space="0" w:color="auto"/>
            <w:right w:val="none" w:sz="0" w:space="0" w:color="auto"/>
          </w:divBdr>
        </w:div>
        <w:div w:id="458718439">
          <w:marLeft w:val="1800"/>
          <w:marRight w:val="0"/>
          <w:marTop w:val="100"/>
          <w:marBottom w:val="0"/>
          <w:divBdr>
            <w:top w:val="none" w:sz="0" w:space="0" w:color="auto"/>
            <w:left w:val="none" w:sz="0" w:space="0" w:color="auto"/>
            <w:bottom w:val="none" w:sz="0" w:space="0" w:color="auto"/>
            <w:right w:val="none" w:sz="0" w:space="0" w:color="auto"/>
          </w:divBdr>
        </w:div>
        <w:div w:id="1050149195">
          <w:marLeft w:val="1800"/>
          <w:marRight w:val="0"/>
          <w:marTop w:val="100"/>
          <w:marBottom w:val="0"/>
          <w:divBdr>
            <w:top w:val="none" w:sz="0" w:space="0" w:color="auto"/>
            <w:left w:val="none" w:sz="0" w:space="0" w:color="auto"/>
            <w:bottom w:val="none" w:sz="0" w:space="0" w:color="auto"/>
            <w:right w:val="none" w:sz="0" w:space="0" w:color="auto"/>
          </w:divBdr>
        </w:div>
      </w:divsChild>
    </w:div>
    <w:div w:id="848912390">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102335140">
      <w:bodyDiv w:val="1"/>
      <w:marLeft w:val="0"/>
      <w:marRight w:val="0"/>
      <w:marTop w:val="0"/>
      <w:marBottom w:val="0"/>
      <w:divBdr>
        <w:top w:val="none" w:sz="0" w:space="0" w:color="auto"/>
        <w:left w:val="none" w:sz="0" w:space="0" w:color="auto"/>
        <w:bottom w:val="none" w:sz="0" w:space="0" w:color="auto"/>
        <w:right w:val="none" w:sz="0" w:space="0" w:color="auto"/>
      </w:divBdr>
    </w:div>
    <w:div w:id="1534075072">
      <w:bodyDiv w:val="1"/>
      <w:marLeft w:val="0"/>
      <w:marRight w:val="0"/>
      <w:marTop w:val="0"/>
      <w:marBottom w:val="0"/>
      <w:divBdr>
        <w:top w:val="none" w:sz="0" w:space="0" w:color="auto"/>
        <w:left w:val="none" w:sz="0" w:space="0" w:color="auto"/>
        <w:bottom w:val="none" w:sz="0" w:space="0" w:color="auto"/>
        <w:right w:val="none" w:sz="0" w:space="0" w:color="auto"/>
      </w:divBdr>
    </w:div>
    <w:div w:id="1538737629">
      <w:bodyDiv w:val="1"/>
      <w:marLeft w:val="0"/>
      <w:marRight w:val="0"/>
      <w:marTop w:val="0"/>
      <w:marBottom w:val="0"/>
      <w:divBdr>
        <w:top w:val="none" w:sz="0" w:space="0" w:color="auto"/>
        <w:left w:val="none" w:sz="0" w:space="0" w:color="auto"/>
        <w:bottom w:val="none" w:sz="0" w:space="0" w:color="auto"/>
        <w:right w:val="none" w:sz="0" w:space="0" w:color="auto"/>
      </w:divBdr>
      <w:divsChild>
        <w:div w:id="488835600">
          <w:marLeft w:val="1166"/>
          <w:marRight w:val="0"/>
          <w:marTop w:val="77"/>
          <w:marBottom w:val="0"/>
          <w:divBdr>
            <w:top w:val="none" w:sz="0" w:space="0" w:color="auto"/>
            <w:left w:val="none" w:sz="0" w:space="0" w:color="auto"/>
            <w:bottom w:val="none" w:sz="0" w:space="0" w:color="auto"/>
            <w:right w:val="none" w:sz="0" w:space="0" w:color="auto"/>
          </w:divBdr>
        </w:div>
        <w:div w:id="1646474846">
          <w:marLeft w:val="1166"/>
          <w:marRight w:val="0"/>
          <w:marTop w:val="77"/>
          <w:marBottom w:val="0"/>
          <w:divBdr>
            <w:top w:val="none" w:sz="0" w:space="0" w:color="auto"/>
            <w:left w:val="none" w:sz="0" w:space="0" w:color="auto"/>
            <w:bottom w:val="none" w:sz="0" w:space="0" w:color="auto"/>
            <w:right w:val="none" w:sz="0" w:space="0" w:color="auto"/>
          </w:divBdr>
        </w:div>
        <w:div w:id="1955021107">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323</TotalTime>
  <Pages>2</Pages>
  <Words>571</Words>
  <Characters>3261</Characters>
  <Application>Microsoft Office Word</Application>
  <DocSecurity>0</DocSecurity>
  <Lines>27</Lines>
  <Paragraphs>7</Paragraphs>
  <ScaleCrop>false</ScaleCrop>
  <Company>HUAWEI</Company>
  <LinksUpToDate>false</LinksUpToDate>
  <CharactersWithSpaces>3825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31</cp:revision>
  <dcterms:created xsi:type="dcterms:W3CDTF">2019-09-18T02:52:00Z</dcterms:created>
  <dcterms:modified xsi:type="dcterms:W3CDTF">2019-11-08T16:28:00Z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(3)Gsu/qiWEhMM1LI9PhZ6+pCJ8xUVG+eP2HvbzykL3Le80J0IOpObOzh35YQfXAxCFVT52n1Mg
C9pqGicDy4kdQfyTHsMmbaW2jichDndJ6rK0DIDMps/UgyfBmUI+aHpK2EvfIODLOngmvJz7
KaTKyTQmHXTcsDI8U1Om51zTDeXRX51lPf6WqJV2k7PPW4VlvckHFd1Dl2pBokWufmm0nT81
7nZhwLGSZKnkS2lhrx</vt:lpwstr>
  </property>
  <property fmtid="{D5CDD505-2E9C-101B-9397-08002B2CF9AE}" pid="3" name="_2015_ms_pID_7253431">
    <vt:lpwstr>q8Yhr80StV2SDBwZi2gK5Xgv76xK9zvq2ARN6Utr80G43sGwKdE4kY
/GK6u21UpNWTwZjrZjUuyXc4FhQpBWHhxzO8DfCqRPugGYqK/iysFtrF4yheFrFjJcFELAy2
J1LqLQhMRn4QcGRvxhTSRUom/uRs0DAnOibCKl14ZERHFg9pWZJtYi+lMVO5J6m0DfwBe6e4
pPs7u+OxrMC1MyZhE3HT6HIDHQQmuXqou60Z</vt:lpwstr>
  </property>
  <property fmtid="{D5CDD505-2E9C-101B-9397-08002B2CF9AE}" pid="4" name="_2015_ms_pID_7253432">
    <vt:lpwstr>ww==</vt:lpwstr>
  </property>
</Properties>
</file>