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AF5A50" w:rsidRPr="00AF5A50">
        <w:rPr>
          <w:rFonts w:cs="Arial"/>
          <w:noProof w:val="0"/>
          <w:sz w:val="24"/>
          <w:szCs w:val="24"/>
        </w:rPr>
        <w:t>R4-1914874</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D5836">
        <w:rPr>
          <w:rFonts w:ascii="Arial" w:hAnsi="Arial"/>
          <w:sz w:val="24"/>
          <w:lang w:val="en-US"/>
        </w:rPr>
        <w:t>9.1.4.7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AF373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F3732" w:rsidRPr="007E6A34">
        <w:rPr>
          <w:rFonts w:ascii="Arial" w:hAnsi="Arial"/>
          <w:sz w:val="24"/>
          <w:lang w:val="en-US"/>
        </w:rPr>
        <w:t xml:space="preserve">Discussion on </w:t>
      </w:r>
      <w:r w:rsidR="00AF3732">
        <w:rPr>
          <w:rFonts w:ascii="Arial" w:hAnsi="Arial"/>
          <w:sz w:val="24"/>
          <w:lang w:val="en-US"/>
        </w:rPr>
        <w:t>Active BWP switching</w:t>
      </w:r>
      <w:r w:rsidR="00AF3732" w:rsidRPr="007E6A34">
        <w:rPr>
          <w:rFonts w:ascii="Arial" w:hAnsi="Arial"/>
          <w:sz w:val="24"/>
          <w:lang w:val="en-US"/>
        </w:rPr>
        <w:t xml:space="preserve"> requirements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w:t>
      </w:r>
      <w:r w:rsidR="00356FB6">
        <w:rPr>
          <w:rFonts w:eastAsiaTheme="minorEastAsia"/>
          <w:lang w:val="en-US" w:eastAsia="zh-CN"/>
        </w:rPr>
        <w:t>bis</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AF3732" w:rsidRPr="00AF3732">
        <w:rPr>
          <w:rFonts w:eastAsiaTheme="minorEastAsia"/>
          <w:lang w:val="en-US" w:eastAsia="zh-CN"/>
        </w:rPr>
        <w:t>Active BWP switching requirements</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w:t>
      </w:r>
      <w:r w:rsidR="00AF3732" w:rsidRPr="00AF3732">
        <w:rPr>
          <w:rFonts w:eastAsiaTheme="minorEastAsia"/>
          <w:lang w:val="en-US" w:eastAsia="zh-CN"/>
        </w:rPr>
        <w:t xml:space="preserve">Active BWP switching requirements </w:t>
      </w:r>
      <w:r w:rsidRPr="002D2977">
        <w:rPr>
          <w:rFonts w:eastAsiaTheme="minorEastAsia"/>
          <w:lang w:val="en-US" w:eastAsia="zh-CN"/>
        </w:rPr>
        <w:t>in NR-U based on the discussion in the last meeting.</w:t>
      </w:r>
    </w:p>
    <w:p w:rsidR="00DF0231" w:rsidRPr="002D2977" w:rsidRDefault="00DF0231" w:rsidP="00DF0231">
      <w:pPr>
        <w:pStyle w:val="1"/>
        <w:numPr>
          <w:ilvl w:val="0"/>
          <w:numId w:val="1"/>
        </w:numPr>
        <w:rPr>
          <w:lang w:val="en-US"/>
        </w:rPr>
      </w:pPr>
      <w:r w:rsidRPr="002D2977">
        <w:rPr>
          <w:lang w:val="en-US"/>
        </w:rPr>
        <w:t>Discussion</w:t>
      </w:r>
    </w:p>
    <w:p w:rsidR="00AF3732" w:rsidRDefault="00AF3732" w:rsidP="00AF3732">
      <w:pPr>
        <w:rPr>
          <w:lang w:val="en-US" w:eastAsia="zh-CN"/>
        </w:rPr>
      </w:pPr>
      <w:r>
        <w:rPr>
          <w:rFonts w:eastAsiaTheme="minorEastAsia" w:hint="eastAsia"/>
          <w:lang w:val="en-US" w:eastAsia="zh-CN"/>
        </w:rPr>
        <w:t>T</w:t>
      </w:r>
      <w:r>
        <w:rPr>
          <w:rFonts w:eastAsiaTheme="minorEastAsia"/>
          <w:lang w:val="en-US" w:eastAsia="zh-CN"/>
        </w:rPr>
        <w:t xml:space="preserve">he existing requirements of active BWP switching in [2] is defined for DCI-based, timer-based and RRC based BWP switching. The requirement of the </w:t>
      </w:r>
      <w:r w:rsidRPr="00BE78B0">
        <w:rPr>
          <w:lang w:val="en-US" w:eastAsia="zh-CN"/>
        </w:rPr>
        <w:t>DCI and timer based BWP switch delay</w:t>
      </w:r>
      <w:r>
        <w:rPr>
          <w:lang w:val="en-US" w:eastAsia="zh-CN"/>
        </w:rPr>
        <w:t xml:space="preserve"> are defined as:</w:t>
      </w:r>
    </w:p>
    <w:p w:rsidR="00AF3732" w:rsidRDefault="00AF3732" w:rsidP="00AF3732">
      <w:pPr>
        <w:rPr>
          <w:lang w:val="en-US" w:eastAsia="zh-CN"/>
        </w:rPr>
      </w:pPr>
      <w:r>
        <w:rPr>
          <w:lang w:val="en-US" w:eastAsia="zh-CN"/>
        </w:rPr>
        <w:t>“</w:t>
      </w: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r>
        <w:rPr>
          <w:lang w:val="en-US" w:eastAsia="zh-CN"/>
        </w:rPr>
        <w:t>”</w:t>
      </w:r>
    </w:p>
    <w:p w:rsidR="00AF3732" w:rsidRDefault="00AF3732" w:rsidP="00AF3732">
      <w:pPr>
        <w:rPr>
          <w:rFonts w:eastAsiaTheme="minorEastAsia"/>
          <w:lang w:val="en-US" w:eastAsia="zh-CN"/>
        </w:rPr>
      </w:pPr>
      <w:r>
        <w:rPr>
          <w:rFonts w:eastAsiaTheme="minorEastAsia" w:hint="eastAsia"/>
          <w:lang w:val="en-US" w:eastAsia="zh-CN"/>
        </w:rPr>
        <w:t>A</w:t>
      </w:r>
      <w:r>
        <w:rPr>
          <w:rFonts w:eastAsiaTheme="minorEastAsia"/>
          <w:lang w:val="en-US" w:eastAsia="zh-CN"/>
        </w:rPr>
        <w:t>s for the RRC-based BWP switching, the corresponding requirements are defined as:</w:t>
      </w:r>
    </w:p>
    <w:p w:rsidR="00AF3732" w:rsidRDefault="00AF3732" w:rsidP="00AF3732">
      <w:pPr>
        <w:rPr>
          <w:rFonts w:eastAsiaTheme="minorEastAsia"/>
          <w:lang w:val="en-US" w:eastAsia="zh-CN"/>
        </w:rPr>
      </w:pPr>
      <w:r>
        <w:rPr>
          <w:rFonts w:eastAsiaTheme="minorEastAsia"/>
          <w:lang w:val="en-US" w:eastAsia="zh-CN"/>
        </w:rPr>
        <w:t>“</w:t>
      </w: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slot</w:t>
      </w:r>
      <m:oMath>
        <m:r>
          <m:rPr>
            <m:sty m:val="p"/>
          </m:rPr>
          <w:rPr>
            <w:rFonts w:ascii="Cambria Math" w:hAnsi="Cambria Math"/>
            <w:lang w:val="en-US" w:eastAsia="zh-CN"/>
          </w:rPr>
          <m:t xml:space="preserve"> 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eastAsiaTheme="minorEastAsia"/>
          <w:lang w:val="en-US" w:eastAsia="zh-CN"/>
        </w:rPr>
        <w:t>”</w:t>
      </w:r>
    </w:p>
    <w:p w:rsidR="00AF3732" w:rsidRDefault="00AF3732" w:rsidP="00AF3732">
      <w:pPr>
        <w:rPr>
          <w:rFonts w:eastAsiaTheme="minorEastAsia"/>
          <w:lang w:val="en-US" w:eastAsia="zh-CN"/>
        </w:rPr>
      </w:pPr>
      <w:r>
        <w:rPr>
          <w:rFonts w:eastAsiaTheme="minorEastAsia" w:hint="eastAsia"/>
          <w:lang w:val="en-US" w:eastAsia="zh-CN"/>
        </w:rPr>
        <w:t>I</w:t>
      </w:r>
      <w:r>
        <w:rPr>
          <w:rFonts w:eastAsiaTheme="minorEastAsia"/>
          <w:lang w:val="en-US" w:eastAsia="zh-CN"/>
        </w:rPr>
        <w:t>t can be observed from that the RRM requirement of the BWP switching (DCI-based, Timer-based and RRC-based) does not depend on LBT. Therefore, no new requirement for NR-U active BWP switching delay is needed.</w:t>
      </w:r>
    </w:p>
    <w:p w:rsidR="00AF3732" w:rsidRDefault="00AF3732" w:rsidP="00AF3732">
      <w:pPr>
        <w:rPr>
          <w:rFonts w:eastAsiaTheme="minorEastAsia"/>
          <w:b/>
          <w:lang w:val="en-US" w:eastAsia="zh-CN"/>
        </w:rPr>
      </w:pPr>
      <w:r>
        <w:rPr>
          <w:rFonts w:eastAsiaTheme="minorEastAsia"/>
          <w:b/>
          <w:lang w:val="en-US" w:eastAsia="zh-CN"/>
        </w:rPr>
        <w:t>Observation</w:t>
      </w:r>
      <w:r w:rsidRPr="00171E3F">
        <w:rPr>
          <w:rFonts w:eastAsiaTheme="minorEastAsia"/>
          <w:b/>
          <w:lang w:val="en-US" w:eastAsia="zh-CN"/>
        </w:rPr>
        <w:t xml:space="preserve"> 1: The RRM requirement of the active BWP switching does not depend on LBT. </w:t>
      </w:r>
    </w:p>
    <w:p w:rsidR="009E6DC8" w:rsidRDefault="00AF3732" w:rsidP="009E676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s discussed in the last RAN 4 meeting, UE behavior is FFS after the BWP switching.</w:t>
      </w:r>
    </w:p>
    <w:tbl>
      <w:tblPr>
        <w:tblStyle w:val="a7"/>
        <w:tblW w:w="0" w:type="auto"/>
        <w:tblLook w:val="04A0" w:firstRow="1" w:lastRow="0" w:firstColumn="1" w:lastColumn="0" w:noHBand="0" w:noVBand="1"/>
      </w:tblPr>
      <w:tblGrid>
        <w:gridCol w:w="9562"/>
      </w:tblGrid>
      <w:tr w:rsidR="00AF3732" w:rsidTr="00AF3732">
        <w:tc>
          <w:tcPr>
            <w:tcW w:w="9562" w:type="dxa"/>
          </w:tcPr>
          <w:p w:rsidR="00015CC5" w:rsidRPr="00AF3732" w:rsidRDefault="00772FB9" w:rsidP="00AF3732">
            <w:pPr>
              <w:numPr>
                <w:ilvl w:val="1"/>
                <w:numId w:val="3"/>
              </w:numPr>
              <w:jc w:val="both"/>
              <w:rPr>
                <w:rFonts w:eastAsiaTheme="minorEastAsia"/>
                <w:lang w:val="en-US" w:eastAsia="zh-CN"/>
              </w:rPr>
            </w:pPr>
            <w:r w:rsidRPr="00AF3732">
              <w:rPr>
                <w:rFonts w:eastAsiaTheme="minorEastAsia"/>
                <w:lang w:val="en-US" w:eastAsia="zh-CN"/>
              </w:rPr>
              <w:t xml:space="preserve">UE behavior is FFS with respect to </w:t>
            </w:r>
            <w:proofErr w:type="spellStart"/>
            <w:r w:rsidRPr="00AF3732">
              <w:rPr>
                <w:rFonts w:eastAsiaTheme="minorEastAsia"/>
                <w:lang w:val="en-US" w:eastAsia="zh-CN"/>
              </w:rPr>
              <w:t>T</w:t>
            </w:r>
            <w:r w:rsidRPr="00AF3732">
              <w:rPr>
                <w:rFonts w:eastAsiaTheme="minorEastAsia"/>
                <w:vertAlign w:val="subscript"/>
                <w:lang w:val="en-US" w:eastAsia="zh-CN"/>
              </w:rPr>
              <w:t>DL,max</w:t>
            </w:r>
            <w:proofErr w:type="spellEnd"/>
            <w:r w:rsidRPr="00AF3732">
              <w:rPr>
                <w:rFonts w:eastAsiaTheme="minorEastAsia"/>
                <w:vertAlign w:val="subscript"/>
                <w:lang w:val="en-US" w:eastAsia="zh-CN"/>
              </w:rPr>
              <w:t xml:space="preserve"> </w:t>
            </w:r>
            <w:r w:rsidRPr="00AF3732">
              <w:rPr>
                <w:rFonts w:eastAsiaTheme="minorEastAsia"/>
                <w:lang w:val="en-US" w:eastAsia="zh-CN"/>
              </w:rPr>
              <w:t xml:space="preserve"> and </w:t>
            </w:r>
            <w:proofErr w:type="spellStart"/>
            <w:r w:rsidRPr="00AF3732">
              <w:rPr>
                <w:rFonts w:eastAsiaTheme="minorEastAsia"/>
                <w:lang w:val="en-US" w:eastAsia="zh-CN"/>
              </w:rPr>
              <w:t>T</w:t>
            </w:r>
            <w:r w:rsidRPr="00AF3732">
              <w:rPr>
                <w:rFonts w:eastAsiaTheme="minorEastAsia"/>
                <w:vertAlign w:val="subscript"/>
                <w:lang w:val="en-US" w:eastAsia="zh-CN"/>
              </w:rPr>
              <w:t>UL,max</w:t>
            </w:r>
            <w:proofErr w:type="spellEnd"/>
          </w:p>
          <w:p w:rsidR="00015CC5" w:rsidRPr="00AF3732" w:rsidRDefault="00772FB9" w:rsidP="00AF3732">
            <w:pPr>
              <w:numPr>
                <w:ilvl w:val="2"/>
                <w:numId w:val="3"/>
              </w:numPr>
              <w:jc w:val="both"/>
              <w:rPr>
                <w:rFonts w:eastAsiaTheme="minorEastAsia"/>
                <w:lang w:val="en-US" w:eastAsia="zh-CN"/>
              </w:rPr>
            </w:pPr>
            <w:proofErr w:type="spellStart"/>
            <w:r w:rsidRPr="00AF3732">
              <w:rPr>
                <w:rFonts w:eastAsiaTheme="minorEastAsia"/>
                <w:lang w:val="en-US" w:eastAsia="zh-CN"/>
              </w:rPr>
              <w:t>T</w:t>
            </w:r>
            <w:r w:rsidRPr="00AF3732">
              <w:rPr>
                <w:rFonts w:eastAsiaTheme="minorEastAsia"/>
                <w:vertAlign w:val="subscript"/>
                <w:lang w:val="en-US" w:eastAsia="zh-CN"/>
              </w:rPr>
              <w:t>DL,max</w:t>
            </w:r>
            <w:proofErr w:type="spellEnd"/>
            <w:r w:rsidRPr="00AF3732">
              <w:rPr>
                <w:rFonts w:eastAsiaTheme="minorEastAsia"/>
                <w:vertAlign w:val="subscript"/>
                <w:lang w:val="en-US" w:eastAsia="zh-CN"/>
              </w:rPr>
              <w:t xml:space="preserve"> </w:t>
            </w:r>
            <w:r w:rsidRPr="00AF3732">
              <w:rPr>
                <w:rFonts w:eastAsiaTheme="minorEastAsia"/>
                <w:lang w:val="en-US" w:eastAsia="zh-CN"/>
              </w:rPr>
              <w:t xml:space="preserve"> is the maximum allowed duration over which the DL signal/channel is unavailable at the UE (“DL signal/channel” is TBD) after the UE has completed the DL BWP switching</w:t>
            </w:r>
          </w:p>
          <w:p w:rsidR="00AF3732" w:rsidRPr="00AF3732" w:rsidRDefault="00772FB9" w:rsidP="009E6763">
            <w:pPr>
              <w:numPr>
                <w:ilvl w:val="2"/>
                <w:numId w:val="3"/>
              </w:numPr>
              <w:jc w:val="both"/>
              <w:rPr>
                <w:rFonts w:eastAsiaTheme="minorEastAsia"/>
                <w:lang w:val="en-US" w:eastAsia="zh-CN"/>
              </w:rPr>
            </w:pPr>
            <w:proofErr w:type="spellStart"/>
            <w:r w:rsidRPr="00AF3732">
              <w:rPr>
                <w:rFonts w:eastAsiaTheme="minorEastAsia"/>
                <w:lang w:val="en-US" w:eastAsia="zh-CN"/>
              </w:rPr>
              <w:t>T</w:t>
            </w:r>
            <w:r w:rsidRPr="00AF3732">
              <w:rPr>
                <w:rFonts w:eastAsiaTheme="minorEastAsia"/>
                <w:vertAlign w:val="subscript"/>
                <w:lang w:val="en-US" w:eastAsia="zh-CN"/>
              </w:rPr>
              <w:t>UL,max</w:t>
            </w:r>
            <w:proofErr w:type="spellEnd"/>
            <w:r w:rsidRPr="00AF3732">
              <w:rPr>
                <w:rFonts w:eastAsiaTheme="minorEastAsia"/>
                <w:lang w:val="en-US" w:eastAsia="zh-CN"/>
              </w:rPr>
              <w:t xml:space="preserve"> is the maximum allowed duration over which the UE was not able to transmit the UL signal/channel due to UL LBT (“UL signal/channel” is TBD) after the UE has completed the UL BWP switching</w:t>
            </w:r>
          </w:p>
        </w:tc>
      </w:tr>
    </w:tbl>
    <w:p w:rsidR="00AF3732" w:rsidRPr="00AF3732" w:rsidRDefault="00AF3732" w:rsidP="009E6763">
      <w:pPr>
        <w:jc w:val="both"/>
        <w:rPr>
          <w:rFonts w:eastAsiaTheme="minorEastAsia"/>
          <w:lang w:val="en-US" w:eastAsia="zh-CN"/>
        </w:rPr>
      </w:pPr>
    </w:p>
    <w:p w:rsidR="00AF3732" w:rsidRDefault="00AF3732" w:rsidP="00AF3732">
      <w:pPr>
        <w:rPr>
          <w:rFonts w:eastAsiaTheme="minorEastAsia"/>
          <w:lang w:val="en-US" w:eastAsia="zh-CN"/>
        </w:rPr>
      </w:pPr>
      <w:r>
        <w:rPr>
          <w:rFonts w:eastAsiaTheme="minorEastAsia"/>
          <w:lang w:val="en-US" w:eastAsia="zh-CN"/>
        </w:rPr>
        <w:t>From RAN 4 perspective, the requirement is to limit the delay and interrupting during the active BWP switching, thus the time due to the LBT failure for reception or transmission when the BWP switching has been completed should not be taken in to account. Therefore, there is no need to extend the corresponding delay requirement of active BWP switching in NR-U scenarios.</w:t>
      </w:r>
    </w:p>
    <w:p w:rsidR="00AF3732" w:rsidRPr="001F0FAE" w:rsidRDefault="00AF3732" w:rsidP="00AF3732">
      <w:pPr>
        <w:rPr>
          <w:rFonts w:eastAsiaTheme="minorEastAsia"/>
          <w:b/>
          <w:lang w:val="en-US" w:eastAsia="zh-CN"/>
        </w:rPr>
      </w:pPr>
      <w:r w:rsidRPr="001F0FAE">
        <w:rPr>
          <w:rFonts w:eastAsiaTheme="minorEastAsia"/>
          <w:b/>
          <w:lang w:val="en-US" w:eastAsia="zh-CN"/>
        </w:rPr>
        <w:lastRenderedPageBreak/>
        <w:t>Observation 2: The time delay due to LBT failure for reception or transmission after the BWP switching should not be taken in to account in the active BWP switching delay.</w:t>
      </w:r>
    </w:p>
    <w:p w:rsidR="00AF3732" w:rsidRDefault="00AF3732" w:rsidP="00AF3732">
      <w:pPr>
        <w:rPr>
          <w:rFonts w:eastAsiaTheme="minorEastAsia"/>
          <w:b/>
          <w:lang w:val="en-US" w:eastAsia="zh-CN"/>
        </w:rPr>
      </w:pPr>
      <w:r w:rsidRPr="001F0FAE">
        <w:rPr>
          <w:rFonts w:eastAsiaTheme="minorEastAsia"/>
          <w:b/>
          <w:lang w:val="en-US" w:eastAsia="zh-CN"/>
        </w:rPr>
        <w:t xml:space="preserve">Proposal </w:t>
      </w:r>
      <w:r w:rsidR="00A21375">
        <w:rPr>
          <w:rFonts w:eastAsiaTheme="minorEastAsia"/>
          <w:b/>
          <w:lang w:val="en-US" w:eastAsia="zh-CN"/>
        </w:rPr>
        <w:t>1</w:t>
      </w:r>
      <w:r w:rsidRPr="001F0FAE">
        <w:rPr>
          <w:rFonts w:eastAsiaTheme="minorEastAsia"/>
          <w:b/>
          <w:lang w:val="en-US" w:eastAsia="zh-CN"/>
        </w:rPr>
        <w:t xml:space="preserve">: There is need to extend the corresponding delay requirement of active BWP switching in NR-U scenarios. </w:t>
      </w:r>
    </w:p>
    <w:p w:rsidR="00DA5F31" w:rsidRPr="001E0FCF" w:rsidRDefault="001E0FCF" w:rsidP="00AF3732">
      <w:pPr>
        <w:rPr>
          <w:rFonts w:eastAsiaTheme="minorEastAsia"/>
          <w:lang w:val="en-US" w:eastAsia="zh-CN"/>
        </w:rPr>
      </w:pPr>
      <w:r w:rsidRPr="001E0FCF">
        <w:rPr>
          <w:rFonts w:eastAsiaTheme="minorEastAsia" w:hint="eastAsia"/>
          <w:lang w:val="en-US" w:eastAsia="zh-CN"/>
        </w:rPr>
        <w:t>A</w:t>
      </w:r>
      <w:r w:rsidRPr="001E0FCF">
        <w:rPr>
          <w:rFonts w:eastAsiaTheme="minorEastAsia"/>
          <w:lang w:val="en-US" w:eastAsia="zh-CN"/>
        </w:rPr>
        <w:t xml:space="preserve"> new mechanism to handle the consistent UL LBT failure are introduced in RAN2. UE will switches to another BWP and initiates RACH upon declaration of consistent LBT failure. The progress from RAN2 are shown below:</w:t>
      </w:r>
    </w:p>
    <w:tbl>
      <w:tblPr>
        <w:tblStyle w:val="a7"/>
        <w:tblW w:w="0" w:type="auto"/>
        <w:tblLook w:val="04A0" w:firstRow="1" w:lastRow="0" w:firstColumn="1" w:lastColumn="0" w:noHBand="0" w:noVBand="1"/>
      </w:tblPr>
      <w:tblGrid>
        <w:gridCol w:w="9562"/>
      </w:tblGrid>
      <w:tr w:rsidR="001E0FCF" w:rsidTr="001E0FCF">
        <w:tc>
          <w:tcPr>
            <w:tcW w:w="9562" w:type="dxa"/>
          </w:tcPr>
          <w:p w:rsidR="001E0FCF" w:rsidRPr="00372DF4" w:rsidRDefault="001E0FCF" w:rsidP="001E0FCF">
            <w:pPr>
              <w:rPr>
                <w:u w:val="single"/>
                <w:lang w:eastAsia="ja-JP"/>
              </w:rPr>
            </w:pPr>
            <w:r w:rsidRPr="00372DF4">
              <w:rPr>
                <w:highlight w:val="green"/>
                <w:u w:val="single"/>
                <w:lang w:eastAsia="ja-JP"/>
              </w:rPr>
              <w:t>Agreements in RAN2 #107bis</w:t>
            </w:r>
          </w:p>
          <w:p w:rsidR="001E0FCF" w:rsidRPr="00372DF4" w:rsidRDefault="001E0FCF" w:rsidP="001E0FCF">
            <w:pPr>
              <w:widowControl w:val="0"/>
              <w:numPr>
                <w:ilvl w:val="0"/>
                <w:numId w:val="4"/>
              </w:numPr>
              <w:tabs>
                <w:tab w:val="left" w:pos="1622"/>
              </w:tabs>
              <w:spacing w:after="0"/>
              <w:rPr>
                <w:rFonts w:ascii="Arial" w:eastAsia="Yu Gothic" w:hAnsi="Arial" w:cs="Calibri"/>
                <w:i/>
                <w:kern w:val="2"/>
                <w:lang w:val="x-none" w:eastAsia="x-none"/>
              </w:rPr>
            </w:pPr>
            <w:r w:rsidRPr="00372DF4">
              <w:rPr>
                <w:rFonts w:ascii="Arial" w:eastAsia="Yu Gothic" w:hAnsi="Arial" w:cs="Calibri"/>
                <w:kern w:val="2"/>
                <w:lang w:val="x-none" w:eastAsia="x-none"/>
              </w:rPr>
              <w:t xml:space="preserve">MAC relies on reception of a notification of UL LBT failure from the physical layer to detect a consistent UL LBT failure.  </w:t>
            </w:r>
          </w:p>
          <w:p w:rsidR="001E0FCF" w:rsidRPr="00372DF4" w:rsidRDefault="001E0FCF" w:rsidP="001E0FCF">
            <w:pPr>
              <w:widowControl w:val="0"/>
              <w:numPr>
                <w:ilvl w:val="0"/>
                <w:numId w:val="4"/>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switches to another BWP and initiates RACH upon declaration of consistent LBT failure on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w:t>
            </w:r>
            <w:r w:rsidRPr="00372DF4">
              <w:rPr>
                <w:rFonts w:ascii="Arial" w:eastAsia="Yu Gothic" w:hAnsi="Arial" w:cs="Calibri"/>
                <w:i/>
                <w:kern w:val="2"/>
                <w:lang w:val="x-none" w:eastAsia="x-none"/>
              </w:rPr>
              <w:t xml:space="preserve">or </w:t>
            </w:r>
            <w:proofErr w:type="spellStart"/>
            <w:r w:rsidRPr="00372DF4">
              <w:rPr>
                <w:rFonts w:ascii="Arial" w:eastAsia="Yu Gothic" w:hAnsi="Arial" w:cs="Calibri"/>
                <w:i/>
                <w:kern w:val="2"/>
                <w:lang w:val="x-none" w:eastAsia="x-none"/>
              </w:rPr>
              <w:t>PSCell</w:t>
            </w:r>
            <w:proofErr w:type="spellEnd"/>
            <w:r w:rsidRPr="00372DF4">
              <w:rPr>
                <w:rFonts w:ascii="Arial" w:eastAsia="Yu Gothic" w:hAnsi="Arial" w:cs="Calibri"/>
                <w:kern w:val="2"/>
                <w:lang w:val="x-none" w:eastAsia="x-none"/>
              </w:rPr>
              <w:t xml:space="preserve"> if there is another BWP with configured RACH resources.    </w:t>
            </w:r>
          </w:p>
          <w:p w:rsidR="001E0FCF" w:rsidRPr="00372DF4" w:rsidRDefault="001E0FCF" w:rsidP="001E0FCF">
            <w:pPr>
              <w:widowControl w:val="0"/>
              <w:numPr>
                <w:ilvl w:val="0"/>
                <w:numId w:val="4"/>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shall perform RLF recovery if the consistent UL LBT failure was detected on the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and UL LBT failure was detected on “N” possible BWP.   “ </w:t>
            </w:r>
          </w:p>
          <w:p w:rsidR="001E0FCF" w:rsidRPr="00372DF4" w:rsidRDefault="001E0FCF" w:rsidP="001E0FCF">
            <w:pPr>
              <w:widowControl w:val="0"/>
              <w:numPr>
                <w:ilvl w:val="0"/>
                <w:numId w:val="4"/>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the </w:t>
            </w:r>
            <w:proofErr w:type="spellStart"/>
            <w:r w:rsidRPr="00372DF4">
              <w:rPr>
                <w:rFonts w:ascii="Arial" w:eastAsia="Yu Gothic" w:hAnsi="Arial" w:cs="Calibri"/>
                <w:kern w:val="2"/>
                <w:lang w:val="x-none" w:eastAsia="x-none"/>
              </w:rPr>
              <w:t>PSCell</w:t>
            </w:r>
            <w:proofErr w:type="spellEnd"/>
            <w:r w:rsidRPr="00372DF4">
              <w:rPr>
                <w:rFonts w:ascii="Arial" w:eastAsia="Yu Gothic" w:hAnsi="Arial" w:cs="Calibri"/>
                <w:kern w:val="2"/>
                <w:lang w:val="x-none" w:eastAsia="x-none"/>
              </w:rPr>
              <w:t xml:space="preserve">, the UE informs MN via the SCG failure information procedure after detecting a consistent UL LBT failure on “N” BWPs.   </w:t>
            </w:r>
          </w:p>
          <w:p w:rsidR="001E0FCF" w:rsidRPr="00372DF4" w:rsidRDefault="001E0FCF" w:rsidP="001E0FCF">
            <w:pPr>
              <w:widowControl w:val="0"/>
              <w:numPr>
                <w:ilvl w:val="0"/>
                <w:numId w:val="4"/>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“N” is the number of configured BWPs with configured PRACH resources.   If N is larger than one it is up to the UE implementation which BWP the UE selects.  </w:t>
            </w:r>
          </w:p>
          <w:p w:rsidR="001E0FCF" w:rsidRPr="001E0FCF" w:rsidRDefault="001E0FCF" w:rsidP="001E0FCF">
            <w:pPr>
              <w:widowControl w:val="0"/>
              <w:numPr>
                <w:ilvl w:val="0"/>
                <w:numId w:val="4"/>
              </w:numPr>
              <w:tabs>
                <w:tab w:val="left" w:pos="1622"/>
              </w:tabs>
              <w:spacing w:after="0"/>
              <w:rPr>
                <w:rFonts w:eastAsiaTheme="minorEastAsia" w:cs="v4.2.0"/>
                <w:lang w:val="x-none" w:eastAsia="zh-CN"/>
              </w:rPr>
            </w:pPr>
            <w:r w:rsidRPr="00372DF4">
              <w:rPr>
                <w:rFonts w:ascii="Arial" w:eastAsia="Yu Gothic" w:hAnsi="Arial" w:cs="Calibri"/>
                <w:kern w:val="2"/>
                <w:lang w:val="x-none" w:eastAsia="x-none"/>
              </w:rPr>
              <w:t xml:space="preserve">When consistent uplink LBT failures are detected on an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a new MAC CE to report this to the node where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belongs to is used.  FFS whether the MAC CE can be used to report failure on </w:t>
            </w:r>
            <w:proofErr w:type="spellStart"/>
            <w:r w:rsidRPr="00372DF4">
              <w:rPr>
                <w:rFonts w:ascii="Arial" w:eastAsia="Yu Gothic" w:hAnsi="Arial" w:cs="Calibri"/>
                <w:kern w:val="2"/>
                <w:lang w:val="x-none" w:eastAsia="x-none"/>
              </w:rPr>
              <w:t>PCell</w:t>
            </w:r>
            <w:proofErr w:type="spellEnd"/>
          </w:p>
        </w:tc>
      </w:tr>
    </w:tbl>
    <w:p w:rsidR="001E0FCF" w:rsidRDefault="001E0FCF" w:rsidP="001E0FCF">
      <w:pPr>
        <w:rPr>
          <w:rFonts w:eastAsiaTheme="minorEastAsia" w:cs="v4.2.0"/>
          <w:lang w:val="x-none" w:eastAsia="zh-CN"/>
        </w:rPr>
      </w:pPr>
    </w:p>
    <w:p w:rsidR="001E0FCF" w:rsidRDefault="001E0FCF" w:rsidP="001E0FCF">
      <w:pPr>
        <w:rPr>
          <w:rFonts w:eastAsiaTheme="minorEastAsia" w:cs="v4.2.0"/>
          <w:lang w:val="x-none" w:eastAsia="zh-CN"/>
        </w:rPr>
      </w:pPr>
      <w:r>
        <w:rPr>
          <w:rFonts w:eastAsiaTheme="minorEastAsia" w:cs="v4.2.0"/>
          <w:lang w:val="x-none" w:eastAsia="zh-CN"/>
        </w:rPr>
        <w:t>Therefore, from RAN 4 perspective, the corresponding requirements of the BWP switching triggered by consistent UL LBT failure should be defined in the BWP switching part. And the corresponding sections shall be provided in the Section 8.2.5 and 8.6A [3].</w:t>
      </w:r>
    </w:p>
    <w:p w:rsidR="005A39D5" w:rsidRPr="001A5F53" w:rsidRDefault="005A39D5" w:rsidP="001E0FCF">
      <w:pPr>
        <w:rPr>
          <w:rFonts w:eastAsiaTheme="minorEastAsia" w:cs="v4.2.0"/>
          <w:b/>
          <w:lang w:val="x-none" w:eastAsia="zh-CN"/>
        </w:rPr>
      </w:pPr>
      <w:r w:rsidRPr="001A5F53">
        <w:rPr>
          <w:rFonts w:eastAsiaTheme="minorEastAsia" w:cs="v4.2.0"/>
          <w:b/>
          <w:lang w:val="x-none" w:eastAsia="zh-CN"/>
        </w:rPr>
        <w:t xml:space="preserve">Proposal </w:t>
      </w:r>
      <w:r w:rsidR="00A21375">
        <w:rPr>
          <w:rFonts w:eastAsiaTheme="minorEastAsia" w:cs="v4.2.0"/>
          <w:b/>
          <w:lang w:val="x-none" w:eastAsia="zh-CN"/>
        </w:rPr>
        <w:t>2</w:t>
      </w:r>
      <w:r w:rsidRPr="001A5F53">
        <w:rPr>
          <w:rFonts w:eastAsiaTheme="minorEastAsia" w:cs="v4.2.0"/>
          <w:b/>
          <w:lang w:val="x-none" w:eastAsia="zh-CN"/>
        </w:rPr>
        <w:t xml:space="preserve">: </w:t>
      </w:r>
      <w:r w:rsidR="001A5F53" w:rsidRPr="001A5F53">
        <w:rPr>
          <w:rFonts w:eastAsiaTheme="minorEastAsia" w:cs="v4.2.0"/>
          <w:b/>
          <w:lang w:val="x-none" w:eastAsia="zh-CN"/>
        </w:rPr>
        <w:t>The requirements of the BWP switching triggered by consistent UL LBT failure should be defined in the BWP switching part in TS 38.133.</w:t>
      </w:r>
    </w:p>
    <w:p w:rsidR="00DF0231" w:rsidRPr="002D2977" w:rsidRDefault="00DF0231" w:rsidP="00DF0231">
      <w:pPr>
        <w:pStyle w:val="1"/>
        <w:numPr>
          <w:ilvl w:val="0"/>
          <w:numId w:val="1"/>
        </w:numPr>
        <w:rPr>
          <w:lang w:val="en-US"/>
        </w:rPr>
      </w:pPr>
      <w:r w:rsidRPr="002D2977">
        <w:rPr>
          <w:lang w:val="en-US"/>
        </w:rPr>
        <w:t>Conclusions</w:t>
      </w:r>
    </w:p>
    <w:p w:rsidR="001A5F53" w:rsidRDefault="001A5F53" w:rsidP="001A5F53">
      <w:pPr>
        <w:rPr>
          <w:rFonts w:eastAsiaTheme="minorEastAsia"/>
          <w:b/>
          <w:lang w:val="en-US" w:eastAsia="zh-CN"/>
        </w:rPr>
      </w:pPr>
      <w:r>
        <w:rPr>
          <w:rFonts w:eastAsiaTheme="minorEastAsia"/>
          <w:b/>
          <w:lang w:val="en-US" w:eastAsia="zh-CN"/>
        </w:rPr>
        <w:t>Observation</w:t>
      </w:r>
      <w:r w:rsidRPr="00171E3F">
        <w:rPr>
          <w:rFonts w:eastAsiaTheme="minorEastAsia"/>
          <w:b/>
          <w:lang w:val="en-US" w:eastAsia="zh-CN"/>
        </w:rPr>
        <w:t xml:space="preserve"> 1: The RRM requirement of the active BWP switching does not depend on LBT. </w:t>
      </w:r>
    </w:p>
    <w:p w:rsidR="001A5F53" w:rsidRPr="001F0FAE" w:rsidRDefault="001A5F53" w:rsidP="001A5F53">
      <w:pPr>
        <w:rPr>
          <w:rFonts w:eastAsiaTheme="minorEastAsia"/>
          <w:b/>
          <w:lang w:val="en-US" w:eastAsia="zh-CN"/>
        </w:rPr>
      </w:pPr>
      <w:r w:rsidRPr="001F0FAE">
        <w:rPr>
          <w:rFonts w:eastAsiaTheme="minorEastAsia"/>
          <w:b/>
          <w:lang w:val="en-US" w:eastAsia="zh-CN"/>
        </w:rPr>
        <w:t>Observation 2: The time delay due to LBT failure for reception or transmission after the BWP switching should not be taken in to account in the active BWP switching delay.</w:t>
      </w:r>
    </w:p>
    <w:p w:rsidR="001A5F53" w:rsidRDefault="001A5F53" w:rsidP="001A5F53">
      <w:pPr>
        <w:rPr>
          <w:rFonts w:eastAsiaTheme="minorEastAsia"/>
          <w:b/>
          <w:lang w:val="en-US" w:eastAsia="zh-CN"/>
        </w:rPr>
      </w:pPr>
      <w:r w:rsidRPr="001F0FAE">
        <w:rPr>
          <w:rFonts w:eastAsiaTheme="minorEastAsia"/>
          <w:b/>
          <w:lang w:val="en-US" w:eastAsia="zh-CN"/>
        </w:rPr>
        <w:t xml:space="preserve">Proposal </w:t>
      </w:r>
      <w:r w:rsidR="00A21375">
        <w:rPr>
          <w:rFonts w:eastAsiaTheme="minorEastAsia"/>
          <w:b/>
          <w:lang w:val="en-US" w:eastAsia="zh-CN"/>
        </w:rPr>
        <w:t>1</w:t>
      </w:r>
      <w:r w:rsidRPr="001F0FAE">
        <w:rPr>
          <w:rFonts w:eastAsiaTheme="minorEastAsia"/>
          <w:b/>
          <w:lang w:val="en-US" w:eastAsia="zh-CN"/>
        </w:rPr>
        <w:t xml:space="preserve">: There is </w:t>
      </w:r>
      <w:r w:rsidR="00F70564">
        <w:rPr>
          <w:rFonts w:eastAsiaTheme="minorEastAsia"/>
          <w:b/>
          <w:lang w:val="en-US" w:eastAsia="zh-CN"/>
        </w:rPr>
        <w:t xml:space="preserve">no </w:t>
      </w:r>
      <w:r w:rsidRPr="001F0FAE">
        <w:rPr>
          <w:rFonts w:eastAsiaTheme="minorEastAsia"/>
          <w:b/>
          <w:lang w:val="en-US" w:eastAsia="zh-CN"/>
        </w:rPr>
        <w:t xml:space="preserve">need to extend the corresponding delay requirement of active BWP switching in NR-U scenarios. </w:t>
      </w:r>
    </w:p>
    <w:p w:rsidR="001A5F53" w:rsidRPr="001A5F53" w:rsidRDefault="001A5F53" w:rsidP="001A5F53">
      <w:pPr>
        <w:rPr>
          <w:rFonts w:eastAsiaTheme="minorEastAsia" w:cs="v4.2.0"/>
          <w:b/>
          <w:lang w:val="x-none" w:eastAsia="zh-CN"/>
        </w:rPr>
      </w:pPr>
      <w:r w:rsidRPr="001A5F53">
        <w:rPr>
          <w:rFonts w:eastAsiaTheme="minorEastAsia" w:cs="v4.2.0"/>
          <w:b/>
          <w:lang w:val="x-none" w:eastAsia="zh-CN"/>
        </w:rPr>
        <w:t xml:space="preserve">Proposal </w:t>
      </w:r>
      <w:r w:rsidR="00A21375">
        <w:rPr>
          <w:rFonts w:eastAsiaTheme="minorEastAsia" w:cs="v4.2.0"/>
          <w:b/>
          <w:lang w:val="x-none" w:eastAsia="zh-CN"/>
        </w:rPr>
        <w:t>2</w:t>
      </w:r>
      <w:r w:rsidRPr="001A5F53">
        <w:rPr>
          <w:rFonts w:eastAsiaTheme="minorEastAsia" w:cs="v4.2.0"/>
          <w:b/>
          <w:lang w:val="x-none" w:eastAsia="zh-CN"/>
        </w:rPr>
        <w:t>: The requirements of the BWP switching triggered by consistent UL LBT failure should be defined in the BWP switching part in TS 38.133.</w:t>
      </w:r>
    </w:p>
    <w:p w:rsidR="00F076D1" w:rsidRPr="002D2977" w:rsidRDefault="00F076D1" w:rsidP="00DF0231">
      <w:pPr>
        <w:rPr>
          <w:b/>
          <w:bCs/>
          <w:lang w:val="en-US"/>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DF0231" w:rsidRPr="00AF3732" w:rsidRDefault="00AF3732" w:rsidP="00DF0231">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TS 38.133 </w:t>
      </w:r>
    </w:p>
    <w:p w:rsidR="007D0DF7" w:rsidRPr="001E0FCF" w:rsidRDefault="001E0FCF">
      <w:pPr>
        <w:rPr>
          <w:rFonts w:eastAsiaTheme="minorEastAsia"/>
          <w:lang w:val="en-US" w:eastAsia="zh-CN"/>
        </w:rPr>
      </w:pPr>
      <w:r>
        <w:rPr>
          <w:rFonts w:eastAsiaTheme="minorEastAsia" w:hint="eastAsia"/>
          <w:lang w:eastAsia="zh-CN"/>
        </w:rPr>
        <w:t>[</w:t>
      </w:r>
      <w:r>
        <w:rPr>
          <w:rFonts w:eastAsiaTheme="minorEastAsia"/>
          <w:lang w:eastAsia="zh-CN"/>
        </w:rPr>
        <w:t xml:space="preserve">3] </w:t>
      </w:r>
      <w:r w:rsidRPr="001E0FCF">
        <w:rPr>
          <w:rFonts w:eastAsiaTheme="minorEastAsia"/>
          <w:lang w:eastAsia="zh-CN"/>
        </w:rPr>
        <w:t>R4-1912662</w:t>
      </w:r>
      <w:r>
        <w:rPr>
          <w:rFonts w:eastAsiaTheme="minorEastAsia"/>
          <w:lang w:eastAsia="zh-CN"/>
        </w:rPr>
        <w:t xml:space="preserve"> “</w:t>
      </w:r>
      <w:r w:rsidRPr="001E0FCF">
        <w:rPr>
          <w:rFonts w:eastAsiaTheme="minorEastAsia"/>
          <w:lang w:eastAsia="zh-CN"/>
        </w:rPr>
        <w:t>Outline specification structure for 36.133 and 38.133 NR-U requirements</w:t>
      </w:r>
      <w:r>
        <w:rPr>
          <w:rFonts w:eastAsiaTheme="minorEastAsia"/>
          <w:lang w:eastAsia="zh-CN"/>
        </w:rPr>
        <w:t>”</w:t>
      </w:r>
    </w:p>
    <w:sectPr w:rsidR="007D0DF7" w:rsidRPr="001E0FCF"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34E" w:rsidRDefault="00B2034E">
      <w:pPr>
        <w:spacing w:after="0"/>
      </w:pPr>
      <w:r>
        <w:separator/>
      </w:r>
    </w:p>
  </w:endnote>
  <w:endnote w:type="continuationSeparator" w:id="0">
    <w:p w:rsidR="00B2034E" w:rsidRDefault="00B20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01598" w:rsidRDefault="007015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F5A50">
      <w:rPr>
        <w:rStyle w:val="a5"/>
      </w:rPr>
      <w:t>2</w:t>
    </w:r>
    <w:r>
      <w:rPr>
        <w:rStyle w:val="a5"/>
      </w:rPr>
      <w:fldChar w:fldCharType="end"/>
    </w:r>
  </w:p>
  <w:p w:rsidR="00701598" w:rsidRDefault="0070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34E" w:rsidRDefault="00B2034E">
      <w:pPr>
        <w:spacing w:after="0"/>
      </w:pPr>
      <w:r>
        <w:separator/>
      </w:r>
    </w:p>
  </w:footnote>
  <w:footnote w:type="continuationSeparator" w:id="0">
    <w:p w:rsidR="00B2034E" w:rsidRDefault="00B203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EFF5AD8"/>
    <w:multiLevelType w:val="hybridMultilevel"/>
    <w:tmpl w:val="B3EC055E"/>
    <w:lvl w:ilvl="0" w:tplc="68AA9DC4">
      <w:start w:val="1"/>
      <w:numFmt w:val="bullet"/>
      <w:lvlText w:val="•"/>
      <w:lvlJc w:val="left"/>
      <w:pPr>
        <w:tabs>
          <w:tab w:val="num" w:pos="720"/>
        </w:tabs>
        <w:ind w:left="720" w:hanging="360"/>
      </w:pPr>
      <w:rPr>
        <w:rFonts w:ascii="Arial" w:hAnsi="Arial" w:hint="default"/>
      </w:rPr>
    </w:lvl>
    <w:lvl w:ilvl="1" w:tplc="193A1B7E">
      <w:start w:val="1"/>
      <w:numFmt w:val="bullet"/>
      <w:lvlText w:val="•"/>
      <w:lvlJc w:val="left"/>
      <w:pPr>
        <w:tabs>
          <w:tab w:val="num" w:pos="1440"/>
        </w:tabs>
        <w:ind w:left="1440" w:hanging="360"/>
      </w:pPr>
      <w:rPr>
        <w:rFonts w:ascii="Arial" w:hAnsi="Arial" w:hint="default"/>
      </w:rPr>
    </w:lvl>
    <w:lvl w:ilvl="2" w:tplc="019290AE">
      <w:numFmt w:val="bullet"/>
      <w:lvlText w:val="•"/>
      <w:lvlJc w:val="left"/>
      <w:pPr>
        <w:tabs>
          <w:tab w:val="num" w:pos="2160"/>
        </w:tabs>
        <w:ind w:left="2160" w:hanging="360"/>
      </w:pPr>
      <w:rPr>
        <w:rFonts w:ascii="Arial" w:hAnsi="Arial" w:hint="default"/>
      </w:rPr>
    </w:lvl>
    <w:lvl w:ilvl="3" w:tplc="F8CE7BDC" w:tentative="1">
      <w:start w:val="1"/>
      <w:numFmt w:val="bullet"/>
      <w:lvlText w:val="•"/>
      <w:lvlJc w:val="left"/>
      <w:pPr>
        <w:tabs>
          <w:tab w:val="num" w:pos="2880"/>
        </w:tabs>
        <w:ind w:left="2880" w:hanging="360"/>
      </w:pPr>
      <w:rPr>
        <w:rFonts w:ascii="Arial" w:hAnsi="Arial" w:hint="default"/>
      </w:rPr>
    </w:lvl>
    <w:lvl w:ilvl="4" w:tplc="19BEE9E8" w:tentative="1">
      <w:start w:val="1"/>
      <w:numFmt w:val="bullet"/>
      <w:lvlText w:val="•"/>
      <w:lvlJc w:val="left"/>
      <w:pPr>
        <w:tabs>
          <w:tab w:val="num" w:pos="3600"/>
        </w:tabs>
        <w:ind w:left="3600" w:hanging="360"/>
      </w:pPr>
      <w:rPr>
        <w:rFonts w:ascii="Arial" w:hAnsi="Arial" w:hint="default"/>
      </w:rPr>
    </w:lvl>
    <w:lvl w:ilvl="5" w:tplc="F2066386" w:tentative="1">
      <w:start w:val="1"/>
      <w:numFmt w:val="bullet"/>
      <w:lvlText w:val="•"/>
      <w:lvlJc w:val="left"/>
      <w:pPr>
        <w:tabs>
          <w:tab w:val="num" w:pos="4320"/>
        </w:tabs>
        <w:ind w:left="4320" w:hanging="360"/>
      </w:pPr>
      <w:rPr>
        <w:rFonts w:ascii="Arial" w:hAnsi="Arial" w:hint="default"/>
      </w:rPr>
    </w:lvl>
    <w:lvl w:ilvl="6" w:tplc="63507EE8" w:tentative="1">
      <w:start w:val="1"/>
      <w:numFmt w:val="bullet"/>
      <w:lvlText w:val="•"/>
      <w:lvlJc w:val="left"/>
      <w:pPr>
        <w:tabs>
          <w:tab w:val="num" w:pos="5040"/>
        </w:tabs>
        <w:ind w:left="5040" w:hanging="360"/>
      </w:pPr>
      <w:rPr>
        <w:rFonts w:ascii="Arial" w:hAnsi="Arial" w:hint="default"/>
      </w:rPr>
    </w:lvl>
    <w:lvl w:ilvl="7" w:tplc="1F184A4A" w:tentative="1">
      <w:start w:val="1"/>
      <w:numFmt w:val="bullet"/>
      <w:lvlText w:val="•"/>
      <w:lvlJc w:val="left"/>
      <w:pPr>
        <w:tabs>
          <w:tab w:val="num" w:pos="5760"/>
        </w:tabs>
        <w:ind w:left="5760" w:hanging="360"/>
      </w:pPr>
      <w:rPr>
        <w:rFonts w:ascii="Arial" w:hAnsi="Arial" w:hint="default"/>
      </w:rPr>
    </w:lvl>
    <w:lvl w:ilvl="8" w:tplc="49F0D0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5CC5"/>
    <w:rsid w:val="00063E08"/>
    <w:rsid w:val="000D2930"/>
    <w:rsid w:val="001A5F53"/>
    <w:rsid w:val="001E0FCF"/>
    <w:rsid w:val="00207516"/>
    <w:rsid w:val="002221AC"/>
    <w:rsid w:val="002328DD"/>
    <w:rsid w:val="00254F38"/>
    <w:rsid w:val="002E668C"/>
    <w:rsid w:val="00356FB6"/>
    <w:rsid w:val="00430F24"/>
    <w:rsid w:val="00435EBD"/>
    <w:rsid w:val="00466D02"/>
    <w:rsid w:val="00477263"/>
    <w:rsid w:val="004A7CF2"/>
    <w:rsid w:val="005A39D5"/>
    <w:rsid w:val="00701598"/>
    <w:rsid w:val="00772FB9"/>
    <w:rsid w:val="0078325A"/>
    <w:rsid w:val="007D0DF7"/>
    <w:rsid w:val="007D3409"/>
    <w:rsid w:val="00804945"/>
    <w:rsid w:val="00873C1C"/>
    <w:rsid w:val="00892EAE"/>
    <w:rsid w:val="008A1C4E"/>
    <w:rsid w:val="00914A03"/>
    <w:rsid w:val="009968CF"/>
    <w:rsid w:val="009C7D5E"/>
    <w:rsid w:val="009D2942"/>
    <w:rsid w:val="009D5836"/>
    <w:rsid w:val="009E6763"/>
    <w:rsid w:val="009E6DC8"/>
    <w:rsid w:val="00A1597D"/>
    <w:rsid w:val="00A21375"/>
    <w:rsid w:val="00A22790"/>
    <w:rsid w:val="00AD69AA"/>
    <w:rsid w:val="00AF3732"/>
    <w:rsid w:val="00AF5966"/>
    <w:rsid w:val="00AF5A50"/>
    <w:rsid w:val="00B2034E"/>
    <w:rsid w:val="00BE1FD4"/>
    <w:rsid w:val="00C50A0A"/>
    <w:rsid w:val="00CA1729"/>
    <w:rsid w:val="00CE0DA0"/>
    <w:rsid w:val="00DA5F31"/>
    <w:rsid w:val="00DF0231"/>
    <w:rsid w:val="00F0497C"/>
    <w:rsid w:val="00F076D1"/>
    <w:rsid w:val="00F303F4"/>
    <w:rsid w:val="00F70564"/>
    <w:rsid w:val="00FA4943"/>
    <w:rsid w:val="00FC0F9D"/>
    <w:rsid w:val="00FC3492"/>
    <w:rsid w:val="00FD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F3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5532">
      <w:bodyDiv w:val="1"/>
      <w:marLeft w:val="0"/>
      <w:marRight w:val="0"/>
      <w:marTop w:val="0"/>
      <w:marBottom w:val="0"/>
      <w:divBdr>
        <w:top w:val="none" w:sz="0" w:space="0" w:color="auto"/>
        <w:left w:val="none" w:sz="0" w:space="0" w:color="auto"/>
        <w:bottom w:val="none" w:sz="0" w:space="0" w:color="auto"/>
        <w:right w:val="none" w:sz="0" w:space="0" w:color="auto"/>
      </w:divBdr>
    </w:div>
    <w:div w:id="445389251">
      <w:bodyDiv w:val="1"/>
      <w:marLeft w:val="0"/>
      <w:marRight w:val="0"/>
      <w:marTop w:val="0"/>
      <w:marBottom w:val="0"/>
      <w:divBdr>
        <w:top w:val="none" w:sz="0" w:space="0" w:color="auto"/>
        <w:left w:val="none" w:sz="0" w:space="0" w:color="auto"/>
        <w:bottom w:val="none" w:sz="0" w:space="0" w:color="auto"/>
        <w:right w:val="none" w:sz="0" w:space="0" w:color="auto"/>
      </w:divBdr>
      <w:divsChild>
        <w:div w:id="951783100">
          <w:marLeft w:val="1080"/>
          <w:marRight w:val="0"/>
          <w:marTop w:val="100"/>
          <w:marBottom w:val="0"/>
          <w:divBdr>
            <w:top w:val="none" w:sz="0" w:space="0" w:color="auto"/>
            <w:left w:val="none" w:sz="0" w:space="0" w:color="auto"/>
            <w:bottom w:val="none" w:sz="0" w:space="0" w:color="auto"/>
            <w:right w:val="none" w:sz="0" w:space="0" w:color="auto"/>
          </w:divBdr>
        </w:div>
        <w:div w:id="458718439">
          <w:marLeft w:val="1800"/>
          <w:marRight w:val="0"/>
          <w:marTop w:val="100"/>
          <w:marBottom w:val="0"/>
          <w:divBdr>
            <w:top w:val="none" w:sz="0" w:space="0" w:color="auto"/>
            <w:left w:val="none" w:sz="0" w:space="0" w:color="auto"/>
            <w:bottom w:val="none" w:sz="0" w:space="0" w:color="auto"/>
            <w:right w:val="none" w:sz="0" w:space="0" w:color="auto"/>
          </w:divBdr>
        </w:div>
        <w:div w:id="1050149195">
          <w:marLeft w:val="1800"/>
          <w:marRight w:val="0"/>
          <w:marTop w:val="100"/>
          <w:marBottom w:val="0"/>
          <w:divBdr>
            <w:top w:val="none" w:sz="0" w:space="0" w:color="auto"/>
            <w:left w:val="none" w:sz="0" w:space="0" w:color="auto"/>
            <w:bottom w:val="none" w:sz="0" w:space="0" w:color="auto"/>
            <w:right w:val="none" w:sz="0" w:space="0" w:color="auto"/>
          </w:divBdr>
        </w:div>
      </w:divsChild>
    </w:div>
    <w:div w:id="848912390">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2</Pages>
  <Words>825</Words>
  <Characters>4706</Characters>
  <Application>Microsoft Office Word</Application>
  <DocSecurity>0</DocSecurity>
  <Lines>39</Lines>
  <Paragraphs>11</Paragraphs>
  <ScaleCrop>false</ScaleCrop>
  <Company>HUAWEI</Company>
  <LinksUpToDate>false</LinksUpToDate>
  <CharactersWithSpaces>5520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2019-09-18T02:52:00Z</dcterms:created>
  <dcterms:modified xsi:type="dcterms:W3CDTF">2019-11-08T16:22:00Z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(3)yo1SQg9kWc8Tpz2szPgftxCDS1cyYqqpUSxJfvbLeHAX/JWUX7SwIPS9SFpCSWgjX94tkpYr
IQiExi4aX6uEXrCPy1l1SATgoaa3NSktGyAV8KteQNlEsM8+DKBqNFMToy1ro9KPhUripS4s
O3T5xK+IX/zrWO7fD81MiXmkm+6uz8dmnADLiE+M/m6I/JLvtiJ0/4Bi3B1SCfkpf0KAxHKL
FFIiU0dMpnaUXGRWNU</vt:lpwstr>
  </property>
  <property fmtid="{D5CDD505-2E9C-101B-9397-08002B2CF9AE}" pid="3" name="_2015_ms_pID_7253431">
    <vt:lpwstr>rpN3r0DK/rtQqz/ui3nkYUBfEwNaYrewxJfNpcfMH3p8uRQHZ84L6G
XDzGYmKU1V78Z0fnY2dcRuyMXPzx7DJuscrLAuc27EeS7qG0cvQbc9LR/BGVXQw6/COgoP0M
WP5P5FJ7r212PTH3V7mF+04WpDme+WONqM5vVVSU45nsNgx+kbTpekK5S6IYcjqH2PNVBhq1
XZw4QhFWu1HwCts3StBll8LpjmlbGgu5Dpdr</vt:lpwstr>
  </property>
  <property fmtid="{D5CDD505-2E9C-101B-9397-08002B2CF9AE}" pid="4" name="_2015_ms_pID_7253432">
    <vt:lpwstr>iA==</vt:lpwstr>
  </property>
</Properties>
</file>