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1883613" w:rsidR="00841BCD" w:rsidRPr="004F08C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B62A17">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4F08C0" w:rsidRPr="004F08C0">
        <w:rPr>
          <w:rFonts w:ascii="Arial" w:eastAsia="SimSun" w:hAnsi="Arial" w:cs="Times New Roman"/>
          <w:b/>
          <w:bCs/>
          <w:sz w:val="24"/>
          <w:szCs w:val="20"/>
          <w:lang w:val="en-GB" w:eastAsia="zh-CN"/>
        </w:rPr>
        <w:t>1</w:t>
      </w:r>
      <w:r w:rsidR="00F40D64" w:rsidRPr="00B5601A">
        <w:rPr>
          <w:rFonts w:ascii="Arial" w:eastAsia="SimSun" w:hAnsi="Arial" w:cs="Times New Roman"/>
          <w:b/>
          <w:bCs/>
          <w:sz w:val="24"/>
          <w:szCs w:val="20"/>
          <w:lang w:val="en-GB" w:eastAsia="zh-CN"/>
        </w:rPr>
        <w:t>4480</w:t>
      </w:r>
    </w:p>
    <w:p w14:paraId="3DEDC117" w14:textId="7BD9C942" w:rsidR="00841BCD" w:rsidRPr="00841BCD" w:rsidRDefault="00B62A1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 xml:space="preserve">November </w:t>
      </w:r>
      <w:r w:rsidR="00363CF1">
        <w:rPr>
          <w:rFonts w:ascii="Arial" w:eastAsia="SimSun" w:hAnsi="Arial" w:cs="Times New Roman"/>
          <w:b/>
          <w:sz w:val="24"/>
          <w:szCs w:val="20"/>
          <w:lang w:val="en-GB"/>
        </w:rPr>
        <w:t>1</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EE37B2">
        <w:rPr>
          <w:rFonts w:ascii="Arial" w:eastAsia="SimSun" w:hAnsi="Arial" w:cs="Times New Roman"/>
          <w:b/>
          <w:sz w:val="24"/>
          <w:szCs w:val="20"/>
          <w:vertAlign w:val="superscript"/>
          <w:lang w:val="en-GB"/>
        </w:rPr>
        <w:t>nd</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2B6014"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2B6014">
        <w:rPr>
          <w:rFonts w:ascii="Arial" w:eastAsia="Calibri" w:hAnsi="Arial" w:cs="Arial"/>
          <w:b/>
          <w:bCs/>
          <w:sz w:val="24"/>
          <w:lang w:val="en-GB"/>
        </w:rPr>
        <w:t xml:space="preserve">Nokia, </w:t>
      </w:r>
      <w:r w:rsidR="0043750A" w:rsidRPr="002B6014">
        <w:rPr>
          <w:rFonts w:ascii="Arial" w:eastAsia="Calibri" w:hAnsi="Arial" w:cs="Arial"/>
          <w:b/>
          <w:bCs/>
          <w:sz w:val="24"/>
          <w:lang w:val="en-GB"/>
        </w:rPr>
        <w:t>Nokia</w:t>
      </w:r>
      <w:r w:rsidRPr="002B6014">
        <w:rPr>
          <w:rFonts w:ascii="Arial" w:eastAsia="Calibri" w:hAnsi="Arial" w:cs="Arial"/>
          <w:b/>
          <w:bCs/>
          <w:sz w:val="24"/>
          <w:lang w:val="en-GB"/>
        </w:rPr>
        <w:t xml:space="preserve"> Shanghai Bell</w:t>
      </w:r>
      <w:r w:rsidRPr="002B6014" w:rsidDel="00636277">
        <w:rPr>
          <w:rFonts w:ascii="Arial" w:eastAsia="Calibri" w:hAnsi="Arial" w:cs="Arial"/>
          <w:b/>
          <w:bCs/>
          <w:sz w:val="24"/>
          <w:lang w:val="en-GB"/>
        </w:rPr>
        <w:t xml:space="preserve"> </w:t>
      </w:r>
    </w:p>
    <w:p w14:paraId="7D0568CA" w14:textId="72E66BD5" w:rsidR="00841BCD" w:rsidRPr="002B6014" w:rsidRDefault="00841BCD" w:rsidP="00841BCD">
      <w:pPr>
        <w:ind w:left="1985" w:hanging="1985"/>
        <w:rPr>
          <w:rFonts w:ascii="Arial" w:eastAsia="Calibri" w:hAnsi="Arial" w:cs="Arial"/>
          <w:b/>
          <w:bCs/>
          <w:sz w:val="24"/>
        </w:rPr>
      </w:pPr>
      <w:r w:rsidRPr="002B6014">
        <w:rPr>
          <w:rFonts w:ascii="Arial" w:eastAsia="Calibri" w:hAnsi="Arial" w:cs="Arial"/>
          <w:b/>
          <w:bCs/>
          <w:sz w:val="24"/>
          <w:lang w:val="en-GB"/>
        </w:rPr>
        <w:t>Title:</w:t>
      </w:r>
      <w:r w:rsidRPr="002B6014">
        <w:rPr>
          <w:rFonts w:ascii="Arial" w:eastAsia="Calibri" w:hAnsi="Arial" w:cs="Arial"/>
          <w:b/>
          <w:bCs/>
          <w:sz w:val="24"/>
          <w:lang w:val="en-GB"/>
        </w:rPr>
        <w:tab/>
      </w:r>
      <w:r w:rsidR="00AA2C27" w:rsidRPr="002B6014">
        <w:rPr>
          <w:rFonts w:ascii="Arial" w:eastAsia="Calibri" w:hAnsi="Arial" w:cs="Arial"/>
          <w:b/>
          <w:bCs/>
          <w:sz w:val="24"/>
          <w:lang w:val="en-GB"/>
        </w:rPr>
        <w:t xml:space="preserve">Discussion on principles for </w:t>
      </w:r>
      <w:r w:rsidR="007F3916" w:rsidRPr="002B6014">
        <w:rPr>
          <w:rFonts w:ascii="Arial" w:eastAsia="Calibri" w:hAnsi="Arial" w:cs="Arial"/>
          <w:b/>
          <w:bCs/>
          <w:sz w:val="24"/>
          <w:lang w:val="en-GB"/>
        </w:rPr>
        <w:t xml:space="preserve">Early Measurements </w:t>
      </w:r>
      <w:r w:rsidR="003D4772" w:rsidRPr="002B6014">
        <w:rPr>
          <w:rFonts w:ascii="Arial" w:eastAsia="Calibri" w:hAnsi="Arial" w:cs="Arial"/>
          <w:b/>
          <w:bCs/>
          <w:sz w:val="24"/>
          <w:lang w:val="en-GB"/>
        </w:rPr>
        <w:t>and reporting in NR</w:t>
      </w:r>
      <w:r w:rsidR="007F3916" w:rsidRPr="002B6014">
        <w:rPr>
          <w:rFonts w:ascii="Arial" w:eastAsia="Calibri" w:hAnsi="Arial" w:cs="Arial"/>
          <w:b/>
          <w:bCs/>
          <w:sz w:val="24"/>
          <w:lang w:val="en-GB"/>
        </w:rPr>
        <w:t xml:space="preserve"> </w:t>
      </w:r>
      <w:r w:rsidRPr="002B6014" w:rsidDel="000A742C">
        <w:rPr>
          <w:rFonts w:ascii="Arial" w:eastAsia="Calibri" w:hAnsi="Arial" w:cs="Arial"/>
          <w:b/>
          <w:bCs/>
          <w:sz w:val="24"/>
          <w:lang w:val="en-GB"/>
        </w:rPr>
        <w:t xml:space="preserve"> </w:t>
      </w:r>
    </w:p>
    <w:p w14:paraId="53921647" w14:textId="4752E4F0" w:rsidR="00841BCD" w:rsidRPr="003D4772" w:rsidRDefault="00841BCD" w:rsidP="00841BCD">
      <w:pPr>
        <w:tabs>
          <w:tab w:val="left" w:pos="1985"/>
        </w:tabs>
        <w:spacing w:after="120" w:line="240" w:lineRule="auto"/>
        <w:rPr>
          <w:rFonts w:ascii="Arial" w:eastAsia="MS Mincho" w:hAnsi="Arial" w:cs="Arial"/>
          <w:b/>
          <w:bCs/>
          <w:sz w:val="24"/>
          <w:szCs w:val="20"/>
          <w:lang w:val="en-GB"/>
        </w:rPr>
      </w:pPr>
      <w:r w:rsidRPr="002B6014">
        <w:rPr>
          <w:rFonts w:ascii="Arial" w:eastAsia="MS Mincho" w:hAnsi="Arial" w:cs="Arial"/>
          <w:b/>
          <w:bCs/>
          <w:sz w:val="24"/>
          <w:szCs w:val="20"/>
          <w:lang w:val="en-GB"/>
        </w:rPr>
        <w:t>Agenda item:</w:t>
      </w:r>
      <w:r w:rsidRPr="002B6014">
        <w:rPr>
          <w:rFonts w:ascii="Arial" w:eastAsia="MS Mincho" w:hAnsi="Arial" w:cs="Arial"/>
          <w:b/>
          <w:bCs/>
          <w:sz w:val="24"/>
          <w:szCs w:val="20"/>
          <w:lang w:val="en-GB"/>
        </w:rPr>
        <w:tab/>
      </w:r>
      <w:r w:rsidR="00F40D64" w:rsidRPr="002B6014">
        <w:rPr>
          <w:rFonts w:ascii="Arial" w:eastAsia="MS Mincho" w:hAnsi="Arial" w:cs="Arial"/>
          <w:b/>
          <w:bCs/>
          <w:sz w:val="24"/>
          <w:szCs w:val="20"/>
          <w:lang w:val="en-GB"/>
        </w:rPr>
        <w:t>9</w:t>
      </w:r>
      <w:r w:rsidRPr="002B6014">
        <w:rPr>
          <w:rFonts w:ascii="Arial" w:eastAsia="MS Mincho" w:hAnsi="Arial" w:cs="Arial"/>
          <w:b/>
          <w:bCs/>
          <w:sz w:val="24"/>
          <w:szCs w:val="20"/>
          <w:lang w:val="en-GB"/>
        </w:rPr>
        <w:t>.</w:t>
      </w:r>
      <w:r w:rsidR="003D4772" w:rsidRPr="002B6014">
        <w:rPr>
          <w:rFonts w:ascii="Arial" w:eastAsia="MS Mincho" w:hAnsi="Arial" w:cs="Arial"/>
          <w:b/>
          <w:bCs/>
          <w:sz w:val="24"/>
          <w:szCs w:val="20"/>
          <w:lang w:val="en-GB"/>
        </w:rPr>
        <w:t>6</w:t>
      </w:r>
      <w:r w:rsidRPr="002B6014">
        <w:rPr>
          <w:rFonts w:ascii="Arial" w:eastAsia="MS Mincho" w:hAnsi="Arial" w:cs="Arial"/>
          <w:b/>
          <w:bCs/>
          <w:sz w:val="24"/>
          <w:szCs w:val="20"/>
          <w:lang w:val="en-GB"/>
        </w:rPr>
        <w:t>.</w:t>
      </w:r>
      <w:r w:rsidR="003D4772" w:rsidRPr="002B6014">
        <w:rPr>
          <w:rFonts w:ascii="Arial" w:eastAsia="MS Mincho" w:hAnsi="Arial" w:cs="Arial"/>
          <w:b/>
          <w:bCs/>
          <w:sz w:val="24"/>
          <w:szCs w:val="20"/>
          <w:lang w:val="en-GB"/>
        </w:rPr>
        <w:t>3</w:t>
      </w:r>
      <w:r w:rsidR="006B7010" w:rsidRPr="002B6014">
        <w:rPr>
          <w:rFonts w:ascii="Arial" w:eastAsia="MS Mincho" w:hAnsi="Arial" w:cs="Arial"/>
          <w:b/>
          <w:bCs/>
          <w:sz w:val="24"/>
          <w:szCs w:val="20"/>
          <w:lang w:val="en-GB"/>
        </w:rPr>
        <w:t>.2</w:t>
      </w:r>
    </w:p>
    <w:p w14:paraId="266D763D" w14:textId="5225A733" w:rsidR="00841BCD" w:rsidRPr="00841BCD" w:rsidRDefault="00841BCD" w:rsidP="00841BCD">
      <w:pPr>
        <w:tabs>
          <w:tab w:val="left" w:pos="1985"/>
        </w:tabs>
        <w:rPr>
          <w:rFonts w:ascii="Arial" w:eastAsia="Calibri" w:hAnsi="Arial" w:cs="Arial"/>
          <w:b/>
          <w:bCs/>
          <w:sz w:val="24"/>
          <w:lang w:val="en-GB"/>
        </w:rPr>
      </w:pPr>
      <w:r w:rsidRPr="003D4772">
        <w:rPr>
          <w:rFonts w:ascii="Arial" w:eastAsia="Calibri" w:hAnsi="Arial" w:cs="Arial"/>
          <w:b/>
          <w:bCs/>
          <w:sz w:val="24"/>
          <w:lang w:val="en-GB"/>
        </w:rPr>
        <w:t>Document for:</w:t>
      </w:r>
      <w:r w:rsidRPr="003D4772">
        <w:rPr>
          <w:rFonts w:ascii="Arial" w:eastAsia="Calibri" w:hAnsi="Arial" w:cs="Arial"/>
          <w:b/>
          <w:bCs/>
          <w:sz w:val="24"/>
          <w:lang w:val="en-GB"/>
        </w:rPr>
        <w:tab/>
      </w:r>
      <w:r w:rsidR="00F40D64">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5B300CA2" w:rsidR="00A22B78" w:rsidRDefault="00D93B13" w:rsidP="00841BCD">
      <w:pPr>
        <w:ind w:right="-22"/>
        <w:rPr>
          <w:rFonts w:eastAsia="Calibri" w:cs="Times New Roman"/>
          <w:szCs w:val="20"/>
          <w:lang w:val="en-GB"/>
        </w:rPr>
      </w:pPr>
      <w:r>
        <w:rPr>
          <w:rFonts w:eastAsia="Calibri" w:cs="Times New Roman"/>
          <w:szCs w:val="20"/>
          <w:lang w:val="en-GB"/>
        </w:rPr>
        <w:t>In RAN4#92</w:t>
      </w:r>
      <w:r w:rsidR="005B79C0">
        <w:rPr>
          <w:rFonts w:eastAsia="Calibri" w:cs="Times New Roman"/>
          <w:szCs w:val="20"/>
          <w:lang w:val="en-GB"/>
        </w:rPr>
        <w:t>bis</w:t>
      </w:r>
      <w:r>
        <w:rPr>
          <w:rFonts w:eastAsia="Calibri" w:cs="Times New Roman"/>
          <w:szCs w:val="20"/>
          <w:lang w:val="en-GB"/>
        </w:rPr>
        <w:t xml:space="preserve"> meeting in </w:t>
      </w:r>
      <w:r w:rsidR="005B79C0">
        <w:rPr>
          <w:rFonts w:eastAsia="Calibri" w:cs="Times New Roman"/>
          <w:szCs w:val="20"/>
          <w:lang w:val="en-GB"/>
        </w:rPr>
        <w:t>Chongqing</w:t>
      </w:r>
      <w:r>
        <w:rPr>
          <w:rFonts w:eastAsia="Calibri" w:cs="Times New Roman"/>
          <w:szCs w:val="20"/>
          <w:lang w:val="en-GB"/>
        </w:rPr>
        <w:t xml:space="preserve">, the WI regarding DC and CS enhancements was discussed </w:t>
      </w:r>
      <w:r w:rsidR="005B79C0">
        <w:rPr>
          <w:rFonts w:eastAsia="Calibri" w:cs="Times New Roman"/>
          <w:szCs w:val="20"/>
          <w:lang w:val="en-GB"/>
        </w:rPr>
        <w:t>further</w:t>
      </w:r>
      <w:r w:rsidR="002C2D19">
        <w:rPr>
          <w:rFonts w:eastAsia="Calibri" w:cs="Times New Roman"/>
          <w:szCs w:val="20"/>
          <w:lang w:val="en-GB"/>
        </w:rPr>
        <w:t xml:space="preserve">. </w:t>
      </w:r>
      <w:r>
        <w:rPr>
          <w:rFonts w:eastAsia="Calibri" w:cs="Times New Roman"/>
          <w:szCs w:val="20"/>
          <w:lang w:val="en-GB"/>
        </w:rPr>
        <w:t xml:space="preserve">Some basic principles </w:t>
      </w:r>
      <w:r w:rsidR="005B79C0">
        <w:rPr>
          <w:rFonts w:eastAsia="Calibri" w:cs="Times New Roman"/>
          <w:szCs w:val="20"/>
          <w:lang w:val="en-GB"/>
        </w:rPr>
        <w:t>have already been</w:t>
      </w:r>
      <w:r>
        <w:rPr>
          <w:rFonts w:eastAsia="Calibri" w:cs="Times New Roman"/>
          <w:szCs w:val="20"/>
          <w:lang w:val="en-GB"/>
        </w:rPr>
        <w:t xml:space="preserve"> discussed, and several baseline agreements </w:t>
      </w:r>
      <w:r w:rsidR="005B79C0">
        <w:rPr>
          <w:rFonts w:eastAsia="Calibri" w:cs="Times New Roman"/>
          <w:szCs w:val="20"/>
          <w:lang w:val="en-GB"/>
        </w:rPr>
        <w:t>have been made</w:t>
      </w:r>
      <w:r>
        <w:rPr>
          <w:rFonts w:eastAsia="Calibri" w:cs="Times New Roman"/>
          <w:szCs w:val="20"/>
          <w:lang w:val="en-GB"/>
        </w:rPr>
        <w:t>. In this paper we look further into the early measurements and reporting</w:t>
      </w:r>
      <w:r w:rsidR="005B79C0">
        <w:rPr>
          <w:rFonts w:eastAsia="Calibri" w:cs="Times New Roman"/>
          <w:szCs w:val="20"/>
          <w:lang w:val="en-GB"/>
        </w:rPr>
        <w:t xml:space="preserve"> based on the progress from RAN4#92bis and the WF agree in [2]</w:t>
      </w:r>
      <w:r>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554CA398" w14:textId="5D618FB9" w:rsidR="00D93B13" w:rsidRDefault="00D93B13" w:rsidP="00D93B13">
      <w:pPr>
        <w:ind w:right="-22"/>
        <w:rPr>
          <w:rFonts w:eastAsia="Calibri" w:cs="Times New Roman"/>
          <w:szCs w:val="20"/>
          <w:lang w:val="en-GB"/>
        </w:rPr>
      </w:pPr>
      <w:r>
        <w:rPr>
          <w:rFonts w:eastAsia="Calibri" w:cs="Times New Roman"/>
          <w:szCs w:val="20"/>
          <w:lang w:val="en-GB"/>
        </w:rPr>
        <w:t xml:space="preserve">In RAN4#92 the agreements reached related to MR-DC and early measurements </w:t>
      </w:r>
      <w:r w:rsidR="004F08C0">
        <w:rPr>
          <w:rFonts w:eastAsia="Calibri" w:cs="Times New Roman"/>
          <w:szCs w:val="20"/>
          <w:lang w:val="en-GB"/>
        </w:rPr>
        <w:t>we</w:t>
      </w:r>
      <w:r>
        <w:rPr>
          <w:rFonts w:eastAsia="Calibri" w:cs="Times New Roman"/>
          <w:szCs w:val="20"/>
          <w:lang w:val="en-GB"/>
        </w:rPr>
        <w:t>re captured in the WF [</w:t>
      </w:r>
      <w:r w:rsidR="005B79C0">
        <w:rPr>
          <w:rFonts w:eastAsia="Calibri" w:cs="Times New Roman"/>
          <w:szCs w:val="20"/>
          <w:lang w:val="en-GB"/>
        </w:rPr>
        <w:t>2</w:t>
      </w:r>
      <w:r>
        <w:rPr>
          <w:rFonts w:eastAsia="Calibri" w:cs="Times New Roman"/>
          <w:szCs w:val="20"/>
          <w:lang w:val="en-GB"/>
        </w:rPr>
        <w:t>].</w:t>
      </w:r>
      <w:r w:rsidR="00032EAF">
        <w:rPr>
          <w:rFonts w:eastAsia="Calibri" w:cs="Times New Roman"/>
          <w:szCs w:val="20"/>
          <w:lang w:val="en-GB"/>
        </w:rPr>
        <w:t xml:space="preserve"> One of the main issues to discuss was related to early measurement reporting:</w:t>
      </w:r>
    </w:p>
    <w:p w14:paraId="5BD5364D" w14:textId="77777777" w:rsidR="00032EAF" w:rsidRPr="00B24F78" w:rsidRDefault="00032EAF" w:rsidP="00B24F78">
      <w:pPr>
        <w:pStyle w:val="ListParagraph"/>
        <w:numPr>
          <w:ilvl w:val="0"/>
          <w:numId w:val="25"/>
        </w:numPr>
        <w:ind w:right="-22"/>
        <w:rPr>
          <w:rFonts w:eastAsia="Calibri" w:cs="Times New Roman"/>
          <w:szCs w:val="20"/>
          <w:lang w:val="en-GB"/>
        </w:rPr>
      </w:pPr>
      <w:r w:rsidRPr="00B24F78">
        <w:rPr>
          <w:rFonts w:eastAsia="Calibri" w:cs="Times New Roman"/>
          <w:szCs w:val="20"/>
          <w:lang w:val="en-GB"/>
        </w:rPr>
        <w:t xml:space="preserve">For NR, </w:t>
      </w:r>
    </w:p>
    <w:p w14:paraId="1D910B54" w14:textId="77777777" w:rsidR="00032EAF" w:rsidRPr="00B24F78" w:rsidRDefault="00032EAF" w:rsidP="00B24F78">
      <w:pPr>
        <w:pStyle w:val="ListParagraph"/>
        <w:numPr>
          <w:ilvl w:val="1"/>
          <w:numId w:val="25"/>
        </w:numPr>
        <w:ind w:right="-22"/>
        <w:rPr>
          <w:rFonts w:eastAsia="Calibri" w:cs="Times New Roman"/>
          <w:szCs w:val="20"/>
          <w:lang w:val="en-GB"/>
        </w:rPr>
      </w:pPr>
      <w:r w:rsidRPr="00B24F78">
        <w:rPr>
          <w:rFonts w:eastAsia="Calibri" w:cs="Times New Roman"/>
          <w:szCs w:val="20"/>
          <w:lang w:val="en-GB"/>
        </w:rPr>
        <w:t>Should RAN4 use the concept of UE idle mode measurement capability (total number of carrier) for defining requirements for early measurement reporting?</w:t>
      </w:r>
    </w:p>
    <w:p w14:paraId="606C69CF" w14:textId="77777777" w:rsidR="00032EAF" w:rsidRPr="00B24F78" w:rsidRDefault="00032EAF" w:rsidP="00B24F78">
      <w:pPr>
        <w:pStyle w:val="ListParagraph"/>
        <w:numPr>
          <w:ilvl w:val="1"/>
          <w:numId w:val="25"/>
        </w:numPr>
        <w:ind w:right="-22"/>
        <w:rPr>
          <w:rFonts w:eastAsia="Calibri" w:cs="Times New Roman"/>
          <w:szCs w:val="20"/>
          <w:lang w:val="en-GB"/>
        </w:rPr>
      </w:pPr>
      <w:r w:rsidRPr="00B24F78">
        <w:rPr>
          <w:rFonts w:eastAsia="Calibri" w:cs="Times New Roman"/>
          <w:szCs w:val="20"/>
          <w:lang w:val="en-GB"/>
        </w:rPr>
        <w:t>Should RAN4 adopt the concept of overlapping and non-overlapping carriers for defining requirements for early measurement reporting</w:t>
      </w:r>
      <w:r w:rsidRPr="00B24F78">
        <w:rPr>
          <w:rFonts w:eastAsia="Calibri" w:cs="Times New Roman"/>
          <w:szCs w:val="20"/>
        </w:rPr>
        <w:t>?</w:t>
      </w:r>
    </w:p>
    <w:p w14:paraId="3A24114D" w14:textId="77777777" w:rsidR="00032EAF" w:rsidRPr="00B24F78" w:rsidRDefault="00032EAF" w:rsidP="00B24F78">
      <w:pPr>
        <w:pStyle w:val="ListParagraph"/>
        <w:numPr>
          <w:ilvl w:val="0"/>
          <w:numId w:val="25"/>
        </w:numPr>
        <w:ind w:right="-22"/>
        <w:rPr>
          <w:rFonts w:eastAsia="Calibri" w:cs="Times New Roman"/>
          <w:szCs w:val="20"/>
          <w:lang w:val="en-GB"/>
        </w:rPr>
      </w:pPr>
      <w:r w:rsidRPr="00B24F78">
        <w:rPr>
          <w:rFonts w:eastAsia="Calibri" w:cs="Times New Roman"/>
          <w:szCs w:val="20"/>
        </w:rPr>
        <w:t>For NR, the number of carriers the UE should be able to report early measurements:</w:t>
      </w:r>
    </w:p>
    <w:p w14:paraId="14B88E6B" w14:textId="77777777" w:rsidR="00032EAF" w:rsidRPr="00B24F78" w:rsidRDefault="00032EAF" w:rsidP="00B24F78">
      <w:pPr>
        <w:pStyle w:val="ListParagraph"/>
        <w:numPr>
          <w:ilvl w:val="1"/>
          <w:numId w:val="25"/>
        </w:numPr>
        <w:ind w:right="-22"/>
        <w:rPr>
          <w:rFonts w:eastAsia="Calibri" w:cs="Times New Roman"/>
          <w:szCs w:val="20"/>
          <w:lang w:val="en-GB"/>
        </w:rPr>
      </w:pPr>
      <w:r w:rsidRPr="00B24F78">
        <w:rPr>
          <w:rFonts w:eastAsia="Calibri" w:cs="Times New Roman"/>
          <w:szCs w:val="20"/>
        </w:rPr>
        <w:t>NR inter-frequency carriers</w:t>
      </w:r>
    </w:p>
    <w:p w14:paraId="073C5160" w14:textId="77777777" w:rsidR="00032EAF" w:rsidRPr="00B24F78" w:rsidRDefault="00032EAF" w:rsidP="00B24F78">
      <w:pPr>
        <w:pStyle w:val="ListParagraph"/>
        <w:numPr>
          <w:ilvl w:val="0"/>
          <w:numId w:val="25"/>
        </w:numPr>
        <w:ind w:right="-22"/>
        <w:rPr>
          <w:rFonts w:eastAsia="Calibri" w:cs="Times New Roman"/>
          <w:szCs w:val="20"/>
          <w:lang w:val="en-GB"/>
        </w:rPr>
      </w:pPr>
      <w:r w:rsidRPr="00B24F78">
        <w:rPr>
          <w:rFonts w:eastAsia="Calibri" w:cs="Times New Roman"/>
          <w:szCs w:val="20"/>
        </w:rPr>
        <w:t>Use of measurement thresholds to decide when measurements for early reporting should be performed by the UE.</w:t>
      </w:r>
    </w:p>
    <w:p w14:paraId="300A93B0" w14:textId="77777777" w:rsidR="00032EAF" w:rsidRPr="00B24F78" w:rsidRDefault="00032EAF" w:rsidP="00B24F78">
      <w:pPr>
        <w:pStyle w:val="ListParagraph"/>
        <w:numPr>
          <w:ilvl w:val="0"/>
          <w:numId w:val="25"/>
        </w:numPr>
        <w:ind w:right="-22"/>
        <w:rPr>
          <w:rFonts w:eastAsia="Calibri" w:cs="Times New Roman"/>
          <w:szCs w:val="20"/>
          <w:lang w:val="en-GB"/>
        </w:rPr>
      </w:pPr>
      <w:r w:rsidRPr="00B24F78">
        <w:rPr>
          <w:rFonts w:eastAsia="Calibri" w:cs="Times New Roman"/>
          <w:szCs w:val="20"/>
          <w:lang w:val="en-GB"/>
        </w:rPr>
        <w:t>Impact on mobility measurement performance from measurements for early reporting.</w:t>
      </w:r>
    </w:p>
    <w:p w14:paraId="3C9D3F09" w14:textId="230520FF" w:rsidR="00032EAF" w:rsidRDefault="00032EAF" w:rsidP="00D93B13">
      <w:pPr>
        <w:ind w:right="-22"/>
        <w:rPr>
          <w:rFonts w:eastAsia="Calibri" w:cs="Times New Roman"/>
          <w:szCs w:val="20"/>
          <w:lang w:val="en-GB"/>
        </w:rPr>
      </w:pPr>
      <w:r>
        <w:rPr>
          <w:rFonts w:eastAsia="Calibri" w:cs="Times New Roman"/>
          <w:szCs w:val="20"/>
          <w:lang w:val="en-GB"/>
        </w:rPr>
        <w:t>In this contribution we discuss each of these topics.</w:t>
      </w:r>
    </w:p>
    <w:p w14:paraId="07282328" w14:textId="29D95AB3" w:rsidR="002F68DD" w:rsidRDefault="002F68DD" w:rsidP="00D93B13">
      <w:pPr>
        <w:rPr>
          <w:lang w:val="en-GB"/>
        </w:rPr>
      </w:pPr>
    </w:p>
    <w:p w14:paraId="12793C1A" w14:textId="3F0840C5" w:rsidR="002F68DD" w:rsidRDefault="002F68DD" w:rsidP="002F68DD">
      <w:pPr>
        <w:pStyle w:val="RAN4H2"/>
        <w:rPr>
          <w:lang w:val="en-GB"/>
        </w:rPr>
      </w:pPr>
      <w:r>
        <w:rPr>
          <w:lang w:val="en-GB"/>
        </w:rPr>
        <w:t xml:space="preserve">UE requirements for Early </w:t>
      </w:r>
      <w:r w:rsidR="008D2520">
        <w:rPr>
          <w:lang w:val="en-GB"/>
        </w:rPr>
        <w:t xml:space="preserve">Measurement </w:t>
      </w:r>
      <w:r>
        <w:rPr>
          <w:lang w:val="en-GB"/>
        </w:rPr>
        <w:t>Reporting</w:t>
      </w:r>
      <w:r w:rsidR="008D2520">
        <w:rPr>
          <w:lang w:val="en-GB"/>
        </w:rPr>
        <w:t xml:space="preserve"> (EMR)</w:t>
      </w:r>
    </w:p>
    <w:p w14:paraId="1DABC11B" w14:textId="12405465" w:rsidR="00656927" w:rsidRDefault="00784648" w:rsidP="002F68DD">
      <w:pPr>
        <w:rPr>
          <w:lang w:val="en-GB"/>
        </w:rPr>
      </w:pPr>
      <w:r w:rsidRPr="00784648">
        <w:rPr>
          <w:lang w:val="en-GB"/>
        </w:rPr>
        <w:t>For NR idle mode measurement req</w:t>
      </w:r>
      <w:r>
        <w:rPr>
          <w:lang w:val="en-GB"/>
        </w:rPr>
        <w:t xml:space="preserve">uirements for early reporting </w:t>
      </w:r>
      <w:r w:rsidR="003B7DB2">
        <w:rPr>
          <w:lang w:val="en-GB"/>
        </w:rPr>
        <w:t xml:space="preserve">RAN4 need to discuss </w:t>
      </w:r>
      <w:proofErr w:type="gramStart"/>
      <w:r w:rsidR="003B7DB2">
        <w:rPr>
          <w:lang w:val="en-GB"/>
        </w:rPr>
        <w:t>a number of</w:t>
      </w:r>
      <w:proofErr w:type="gramEnd"/>
      <w:r w:rsidR="003B7DB2">
        <w:rPr>
          <w:lang w:val="en-GB"/>
        </w:rPr>
        <w:t xml:space="preserve"> aspects. For </w:t>
      </w:r>
      <w:proofErr w:type="spellStart"/>
      <w:r w:rsidR="003B7DB2">
        <w:rPr>
          <w:lang w:val="en-GB"/>
        </w:rPr>
        <w:t>euCA</w:t>
      </w:r>
      <w:proofErr w:type="spellEnd"/>
      <w:r w:rsidR="003B7DB2">
        <w:rPr>
          <w:lang w:val="en-GB"/>
        </w:rPr>
        <w:t xml:space="preserve"> the requirement depends on whether the configured carrier is an overlapping or non-overlapping carrier. </w:t>
      </w:r>
    </w:p>
    <w:p w14:paraId="5330E5AB" w14:textId="3149A8C8" w:rsidR="00656927" w:rsidRDefault="00656927" w:rsidP="002F68DD">
      <w:r>
        <w:rPr>
          <w:lang w:val="en-GB"/>
        </w:rPr>
        <w:t>I</w:t>
      </w:r>
      <w:r w:rsidR="003B7DB2">
        <w:rPr>
          <w:lang w:val="en-GB"/>
        </w:rPr>
        <w:t xml:space="preserve">t was also </w:t>
      </w:r>
      <w:r w:rsidR="003B7DB2" w:rsidRPr="00B24F78">
        <w:rPr>
          <w:lang w:val="en-GB"/>
        </w:rPr>
        <w:t xml:space="preserve">agreed in RAN4 that support of early measurement reporting should </w:t>
      </w:r>
      <w:r w:rsidRPr="00B24F78">
        <w:rPr>
          <w:lang w:val="en-GB"/>
        </w:rPr>
        <w:t xml:space="preserve">not </w:t>
      </w:r>
      <w:r w:rsidR="003B7DB2" w:rsidRPr="00B24F78">
        <w:t>extend the measurement capability</w:t>
      </w:r>
      <w:r w:rsidR="003B7DB2" w:rsidRPr="003B7DB2">
        <w:t xml:space="preserve"> defined in Rel-15</w:t>
      </w:r>
      <w:r w:rsidR="003B7DB2">
        <w:t xml:space="preserve">. </w:t>
      </w:r>
      <w:r>
        <w:t>I.e. the maximum total number of carriers the UE shall be able to measure stays unchanged even if measurements for early reporting is configured.</w:t>
      </w:r>
    </w:p>
    <w:p w14:paraId="63273B4A" w14:textId="77777777" w:rsidR="008D2520" w:rsidRDefault="008D2520" w:rsidP="002F68DD"/>
    <w:p w14:paraId="5912E8A2" w14:textId="247C4D6E" w:rsidR="008D2520" w:rsidRDefault="008D2520" w:rsidP="002F68DD">
      <w:r>
        <w:t>In last meeting RAN4 discussed 3 topics which would need more discussion:</w:t>
      </w:r>
    </w:p>
    <w:p w14:paraId="4FB32D3B" w14:textId="5B002673" w:rsidR="008D2520" w:rsidRDefault="008D2520" w:rsidP="008D2520">
      <w:pPr>
        <w:pStyle w:val="ListParagraph"/>
        <w:numPr>
          <w:ilvl w:val="0"/>
          <w:numId w:val="23"/>
        </w:numPr>
      </w:pPr>
      <w:r>
        <w:t>Use of measurement thresholds for measurements for EMR?</w:t>
      </w:r>
    </w:p>
    <w:p w14:paraId="4C01B321" w14:textId="47E2D18E" w:rsidR="008D2520" w:rsidRDefault="008D2520" w:rsidP="008D2520">
      <w:pPr>
        <w:pStyle w:val="ListParagraph"/>
        <w:numPr>
          <w:ilvl w:val="0"/>
          <w:numId w:val="23"/>
        </w:numPr>
      </w:pPr>
      <w:r>
        <w:t>Would the definition of overlapping and non-overlapping carriers be needed?</w:t>
      </w:r>
    </w:p>
    <w:p w14:paraId="64AFD09C" w14:textId="670EEBBF" w:rsidR="008D2520" w:rsidRDefault="008D2520" w:rsidP="00B24F78">
      <w:pPr>
        <w:pStyle w:val="ListParagraph"/>
        <w:numPr>
          <w:ilvl w:val="0"/>
          <w:numId w:val="23"/>
        </w:numPr>
      </w:pPr>
      <w:r>
        <w:t>Would there be impact on the mobility from performing measurements for EMR</w:t>
      </w:r>
    </w:p>
    <w:p w14:paraId="7AD567FD" w14:textId="587DED93" w:rsidR="00EE5A3E" w:rsidRDefault="00EE5A3E" w:rsidP="002F68DD">
      <w:r>
        <w:t>RAN2 has in their discussion noted that the s-Measure thresholds for MR-DC in NR will not be applied for carriers configured for EMR (</w:t>
      </w:r>
      <w:proofErr w:type="gramStart"/>
      <w:r>
        <w:t>similar to</w:t>
      </w:r>
      <w:proofErr w:type="gramEnd"/>
      <w:r>
        <w:t xml:space="preserve"> </w:t>
      </w:r>
      <w:proofErr w:type="spellStart"/>
      <w:r>
        <w:t>euCA</w:t>
      </w:r>
      <w:proofErr w:type="spellEnd"/>
      <w:r>
        <w:t xml:space="preserve">). This means that carriers configured for EMR will always be measured by the UE independently of serving cell quality and use of s-Measure thresholds. This allows for the network to configure the </w:t>
      </w:r>
      <w:r>
        <w:lastRenderedPageBreak/>
        <w:t>UE only to perform measurements for EMR under good cell conditions – i.e. closer to the cell center. Similar, this leads to that the UE would still perform measurements for mobility when serving cell conditions are no longer so good (e.g. at cell edge). However, at cell edge (or bad cell conditions) the UE will perform measurements for both mobility and EMR.</w:t>
      </w:r>
      <w:r w:rsidR="00316401">
        <w:t xml:space="preserve"> This is illustrated in figure 1.</w:t>
      </w:r>
    </w:p>
    <w:p w14:paraId="58E577B4" w14:textId="41BB2984" w:rsidR="00316401" w:rsidRDefault="00316401" w:rsidP="00B24F78">
      <w:pPr>
        <w:keepNext/>
        <w:jc w:val="center"/>
      </w:pPr>
      <w:r>
        <w:rPr>
          <w:noProof/>
        </w:rPr>
        <w:drawing>
          <wp:inline distT="0" distB="0" distL="0" distR="0" wp14:anchorId="7713929B" wp14:editId="0CD77BF5">
            <wp:extent cx="3320606" cy="197841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4978" cy="1998897"/>
                    </a:xfrm>
                    <a:prstGeom prst="rect">
                      <a:avLst/>
                    </a:prstGeom>
                    <a:noFill/>
                  </pic:spPr>
                </pic:pic>
              </a:graphicData>
            </a:graphic>
          </wp:inline>
        </w:drawing>
      </w:r>
    </w:p>
    <w:p w14:paraId="5576CD8A" w14:textId="7C6702C3" w:rsidR="00316401" w:rsidRDefault="00316401" w:rsidP="00B24F78">
      <w:pPr>
        <w:pStyle w:val="Caption"/>
      </w:pPr>
      <w:r>
        <w:t xml:space="preserve">Figure </w:t>
      </w:r>
      <w:fldSimple w:instr=" SEQ Figure \* ARABIC ">
        <w:r w:rsidR="00526B59">
          <w:rPr>
            <w:noProof/>
          </w:rPr>
          <w:t>1</w:t>
        </w:r>
      </w:fldSimple>
      <w:r>
        <w:t xml:space="preserve"> Illustration of current s-measure </w:t>
      </w:r>
      <w:proofErr w:type="gramStart"/>
      <w:r>
        <w:t>threshold controlled</w:t>
      </w:r>
      <w:proofErr w:type="gramEnd"/>
      <w:r>
        <w:t xml:space="preserve"> measurement for mobility and EMR</w:t>
      </w:r>
    </w:p>
    <w:p w14:paraId="1D1CC7EC" w14:textId="4C6FE059" w:rsidR="00ED59F0" w:rsidRDefault="00BE2EA4" w:rsidP="002F68DD">
      <w:r>
        <w:t xml:space="preserve">Distinguishing the carriers </w:t>
      </w:r>
      <w:r w:rsidR="00EE555F">
        <w:t xml:space="preserve">configured to be measured between carriers for mobility and carriers for EMR, we look at potential impact UE measurement and mobility performance from EMR measurements. Looking at figure 1 it is observed that when </w:t>
      </w:r>
      <w:r w:rsidR="00ED59F0">
        <w:t xml:space="preserve">s-Measure is used, the </w:t>
      </w:r>
      <w:r w:rsidR="00EE555F">
        <w:t xml:space="preserve">UE </w:t>
      </w:r>
      <w:r w:rsidR="00ED59F0">
        <w:t xml:space="preserve">will only measure carriers for EMR when serving cell conditions are good. This has the benefit of excluding </w:t>
      </w:r>
      <w:proofErr w:type="gramStart"/>
      <w:r w:rsidR="00ED59F0">
        <w:t>mobility based</w:t>
      </w:r>
      <w:proofErr w:type="gramEnd"/>
      <w:r w:rsidR="00ED59F0">
        <w:t xml:space="preserve"> measurements. This will reduce the expected measurement time and UE measurement burden. From figure 1 also observe that when the serving cell conditions are less favorable, the UE will perform measurements on all configured carriers – including measurements for mobility and EMR.</w:t>
      </w:r>
    </w:p>
    <w:p w14:paraId="7AFE8531" w14:textId="46CBB565" w:rsidR="00ED59F0" w:rsidRDefault="00ED59F0" w:rsidP="002F68DD">
      <w:r>
        <w:t>Performing measurements on many carriers does obviously increase measurement time which is more critical when serving cell conditions are less good. Additionally, for NR there is the aspect of synchronized system which has restricts when the UE is able to measure neighbors – both intra-frequency and inter-frequency. Assuming intra-frequency is always measured this already increases inter-frequency measurement time with 50% (assuming 50% split of measurement occasions between intra-frequency and inter-frequency). Having multiple inter-frequency carriers increases the inter-frequency measurement delay additionally (scaled linearly with number of carriers).</w:t>
      </w:r>
      <w:r w:rsidR="004A5D31">
        <w:t xml:space="preserve"> Hence, being able to reduce the number of carriers to monitor when not </w:t>
      </w:r>
      <w:proofErr w:type="gramStart"/>
      <w:r w:rsidR="004A5D31">
        <w:t>absolutely necessary</w:t>
      </w:r>
      <w:proofErr w:type="gramEnd"/>
      <w:r w:rsidR="004A5D31">
        <w:t xml:space="preserve"> can reduce the measurement delay for mobility related measurement and ensure more robust mobility. </w:t>
      </w:r>
    </w:p>
    <w:p w14:paraId="0FFAC164" w14:textId="79FC4AAC" w:rsidR="004A5D31" w:rsidRDefault="004A5D31" w:rsidP="002F68DD">
      <w:r>
        <w:t xml:space="preserve">Observation: Reduce the number of carriers to monitor when not </w:t>
      </w:r>
      <w:proofErr w:type="gramStart"/>
      <w:r>
        <w:t>absolutely necessary</w:t>
      </w:r>
      <w:proofErr w:type="gramEnd"/>
      <w:r>
        <w:t xml:space="preserve"> can reduce the measurement delay for mobility related measurement and ensure more robust mobility.</w:t>
      </w:r>
    </w:p>
    <w:p w14:paraId="75B7B4A2" w14:textId="443479AE" w:rsidR="00EE555F" w:rsidRDefault="004A5D31" w:rsidP="002F68DD">
      <w:r>
        <w:t xml:space="preserve">One way to reduce the number of inter-frequency carriers to be measured unnecessarily, would be to not </w:t>
      </w:r>
      <w:proofErr w:type="gramStart"/>
      <w:r>
        <w:t>having</w:t>
      </w:r>
      <w:proofErr w:type="gramEnd"/>
      <w:r>
        <w:t xml:space="preserve"> the UE to measure carriers for EMR when serving cell conditions bad and UE should be focusing measurement time on mobility related measurements. This principle is illustrated in figure 2.</w:t>
      </w:r>
    </w:p>
    <w:p w14:paraId="7C46DFDA" w14:textId="77777777" w:rsidR="00526B59" w:rsidRDefault="00316401" w:rsidP="00B24F78">
      <w:pPr>
        <w:keepNext/>
        <w:jc w:val="center"/>
      </w:pPr>
      <w:r>
        <w:rPr>
          <w:noProof/>
        </w:rPr>
        <w:drawing>
          <wp:inline distT="0" distB="0" distL="0" distR="0" wp14:anchorId="6DC15878" wp14:editId="2F77C375">
            <wp:extent cx="3818964" cy="197942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446" cy="2070375"/>
                    </a:xfrm>
                    <a:prstGeom prst="rect">
                      <a:avLst/>
                    </a:prstGeom>
                    <a:noFill/>
                  </pic:spPr>
                </pic:pic>
              </a:graphicData>
            </a:graphic>
          </wp:inline>
        </w:drawing>
      </w:r>
    </w:p>
    <w:p w14:paraId="2C2CE20D" w14:textId="180E69BB" w:rsidR="00316401" w:rsidRDefault="00526B59" w:rsidP="00B24F78">
      <w:pPr>
        <w:pStyle w:val="Caption"/>
      </w:pPr>
      <w:r>
        <w:t xml:space="preserve">Figure </w:t>
      </w:r>
      <w:fldSimple w:instr=" SEQ Figure \* ARABIC ">
        <w:r>
          <w:rPr>
            <w:noProof/>
          </w:rPr>
          <w:t>2</w:t>
        </w:r>
      </w:fldSimple>
      <w:r>
        <w:t xml:space="preserve"> </w:t>
      </w:r>
      <w:r w:rsidRPr="00253214">
        <w:t xml:space="preserve">Illustration of </w:t>
      </w:r>
      <w:r>
        <w:t xml:space="preserve">proposed </w:t>
      </w:r>
      <w:proofErr w:type="gramStart"/>
      <w:r w:rsidRPr="00253214">
        <w:t>threshold controlled</w:t>
      </w:r>
      <w:proofErr w:type="gramEnd"/>
      <w:r w:rsidRPr="00253214">
        <w:t xml:space="preserve"> measurement for mobility and EMR</w:t>
      </w:r>
    </w:p>
    <w:p w14:paraId="39FE4874" w14:textId="77777777" w:rsidR="00EF77B0" w:rsidRDefault="00B415C7" w:rsidP="002F68DD">
      <w:r>
        <w:lastRenderedPageBreak/>
        <w:t>Assuming network has configured s-Measure, the U</w:t>
      </w:r>
      <w:r w:rsidR="00EF77B0">
        <w:t>E</w:t>
      </w:r>
      <w:r>
        <w:t xml:space="preserve"> will only be required to measure carriers for EMR when serving cell conditions are good (green area). Once the serving cell conditions deteriorate </w:t>
      </w:r>
      <w:r w:rsidR="00EF77B0">
        <w:t xml:space="preserve">below the s-Measure thresholds the UE is required to measure all inter-frequency carriers – both carriers for mobility and carriers for EMR. Hence, the </w:t>
      </w:r>
      <w:proofErr w:type="spellStart"/>
      <w:r w:rsidR="00EF77B0">
        <w:t>Ue</w:t>
      </w:r>
      <w:proofErr w:type="spellEnd"/>
      <w:r w:rsidR="00EF77B0">
        <w:t xml:space="preserve"> will measure more carriers under bad conditions, increasing the mobility measurement delay, where the delay in performing mobility measurements would be critical. Enabling UE not to perform measurements for EMR under these conditions (when mobility measurements are critical) would improve the measurement delay related to mobility measurements. </w:t>
      </w:r>
    </w:p>
    <w:p w14:paraId="1691AEFE" w14:textId="0BA7ED0F" w:rsidR="004A5D31" w:rsidRDefault="00EF77B0" w:rsidP="002F68DD">
      <w:r>
        <w:t xml:space="preserve">As one example the UE could be configured with 3 carriers for EMR and 3 carriers for mobility. When serving cell conditions are good (below s-Measure thresholds) the UE would only measure carriers for EMR. Once the serving cell conditions goes worse and below the s-Measure threshold the UE would only be required to measure carriers for mobility. Hence in both conditions the UE would only be required to measure 3 carriers. </w:t>
      </w:r>
    </w:p>
    <w:p w14:paraId="1E72D135" w14:textId="485B27EE" w:rsidR="00EF77B0" w:rsidRDefault="00EF77B0" w:rsidP="002F68DD">
      <w:r>
        <w:t>Based on the NR design with synchronized SSB’s we do see bigger impact from UE being required to measure multiple carriers than what we would see in LTE. This impact should be mitigated when possible.</w:t>
      </w:r>
    </w:p>
    <w:p w14:paraId="6C17AEFF" w14:textId="3DD23B77" w:rsidR="00B478C4" w:rsidRDefault="00B478C4" w:rsidP="00B24F78">
      <w:pPr>
        <w:pStyle w:val="RAN4observation0"/>
      </w:pPr>
      <w:r>
        <w:t>We do see bigger impact from UE being required to measure multiple carriers than what we would see in LTE.</w:t>
      </w:r>
    </w:p>
    <w:p w14:paraId="70AB6D31" w14:textId="592C4CD5" w:rsidR="00EF77B0" w:rsidRDefault="00EF77B0" w:rsidP="002F68DD">
      <w:r>
        <w:t xml:space="preserve">Therefore, we propose to </w:t>
      </w:r>
      <w:r w:rsidR="00CE2AB3">
        <w:t>have a threshold defined for carriers for EMR which can be configured by the network and which indicates to the UE when the UE no longer should perform measurement for EMR.</w:t>
      </w:r>
    </w:p>
    <w:p w14:paraId="138C7214" w14:textId="49C89FEE" w:rsidR="00075433" w:rsidRDefault="00075433" w:rsidP="00B24F78">
      <w:pPr>
        <w:pStyle w:val="RAN4proposal"/>
      </w:pPr>
      <w:r>
        <w:t xml:space="preserve">Define a threshold </w:t>
      </w:r>
      <w:r w:rsidR="00526B59">
        <w:t>applied</w:t>
      </w:r>
      <w:r>
        <w:t xml:space="preserve"> for carriers for EMR which can be configured by the network and which indicates to the UE when the UE no longer should perform measurement for EMR</w:t>
      </w:r>
    </w:p>
    <w:p w14:paraId="5A799852" w14:textId="0FE6DBAE" w:rsidR="00CE2AB3" w:rsidRDefault="00CE2AB3" w:rsidP="002F68DD">
      <w:r>
        <w:t xml:space="preserve">We also propose to change the approach of defining overlapping and non-overlapping carriers used in </w:t>
      </w:r>
      <w:proofErr w:type="spellStart"/>
      <w:r>
        <w:t>euCA</w:t>
      </w:r>
      <w:proofErr w:type="spellEnd"/>
      <w:r>
        <w:t>, and instead define UE measurement requirements for carrier configured for mobility (as currently) and carriers configured for EMR.</w:t>
      </w:r>
    </w:p>
    <w:p w14:paraId="268653D1" w14:textId="53F9A292" w:rsidR="00075433" w:rsidRDefault="00075433" w:rsidP="00B24F78">
      <w:pPr>
        <w:pStyle w:val="RAN4proposal"/>
      </w:pPr>
      <w:r>
        <w:t xml:space="preserve">Change the approach of defining overlapping and non-overlapping carriers used in </w:t>
      </w:r>
      <w:proofErr w:type="spellStart"/>
      <w:r>
        <w:t>euCA</w:t>
      </w:r>
      <w:proofErr w:type="spellEnd"/>
      <w:r>
        <w:t>.</w:t>
      </w:r>
    </w:p>
    <w:p w14:paraId="4530A858" w14:textId="11128E39" w:rsidR="00075433" w:rsidRDefault="00075433" w:rsidP="00B24F78">
      <w:pPr>
        <w:pStyle w:val="RAN4proposal"/>
      </w:pPr>
      <w:r>
        <w:t>Define UE measurement requirements for carrier configured for mobility (as currently) and carriers configured for EMR</w:t>
      </w:r>
    </w:p>
    <w:p w14:paraId="63DDD2A4" w14:textId="55715471" w:rsidR="00CE2AB3" w:rsidRDefault="00CE2AB3" w:rsidP="002F68DD">
      <w:r>
        <w:t xml:space="preserve">Carriers configured for both mobility and EMR will apply both thresholds but would in worst case only be measured as an overlapping carrier is measured with the current </w:t>
      </w:r>
      <w:proofErr w:type="spellStart"/>
      <w:r>
        <w:t>euCA</w:t>
      </w:r>
      <w:proofErr w:type="spellEnd"/>
      <w:r>
        <w:t xml:space="preserve"> approach.</w:t>
      </w:r>
    </w:p>
    <w:p w14:paraId="6F3A76F5" w14:textId="77777777" w:rsidR="00124652" w:rsidRDefault="00124652" w:rsidP="002F68DD"/>
    <w:p w14:paraId="51C6E336" w14:textId="4C4BB162" w:rsidR="00656927" w:rsidRDefault="00124652" w:rsidP="002F68DD">
      <w:pPr>
        <w:rPr>
          <w:lang w:val="en-GB"/>
        </w:rPr>
      </w:pPr>
      <w:r>
        <w:t>Next, we look at</w:t>
      </w:r>
      <w:r w:rsidR="00656927">
        <w:rPr>
          <w:lang w:val="en-GB"/>
        </w:rPr>
        <w:t xml:space="preserve"> the </w:t>
      </w:r>
      <w:r>
        <w:rPr>
          <w:lang w:val="en-GB"/>
        </w:rPr>
        <w:t xml:space="preserve">agreement </w:t>
      </w:r>
      <w:r w:rsidR="00656927">
        <w:rPr>
          <w:lang w:val="en-GB"/>
        </w:rPr>
        <w:t xml:space="preserve">that the UE measurement capability shall not be increased compared to Rel-15. E.g. if the </w:t>
      </w:r>
      <w:proofErr w:type="gramStart"/>
      <w:r w:rsidR="00656927">
        <w:rPr>
          <w:lang w:val="en-GB"/>
        </w:rPr>
        <w:t>network  configure</w:t>
      </w:r>
      <w:r>
        <w:rPr>
          <w:lang w:val="en-GB"/>
        </w:rPr>
        <w:t>s</w:t>
      </w:r>
      <w:proofErr w:type="gramEnd"/>
      <w:r w:rsidR="00656927">
        <w:rPr>
          <w:lang w:val="en-GB"/>
        </w:rPr>
        <w:t xml:space="preserve"> UE to measure 5 carriers for early reporting the UE can measure 5 less carriers for mobility</w:t>
      </w:r>
      <w:r>
        <w:rPr>
          <w:lang w:val="en-GB"/>
        </w:rPr>
        <w:t xml:space="preserve"> – keeping the maximum number fixed at e.g. 7</w:t>
      </w:r>
      <w:r w:rsidR="00656927">
        <w:rPr>
          <w:lang w:val="en-GB"/>
        </w:rPr>
        <w:t>.</w:t>
      </w:r>
      <w:r w:rsidR="000A0F4E">
        <w:rPr>
          <w:lang w:val="en-GB"/>
        </w:rPr>
        <w:t xml:space="preserve"> I.e. within the current frame work of idle mode measurements and the measurement capability RAN4 will need to discuss how to balance the measurements between measurements for mobility and measurements for early reporting.</w:t>
      </w:r>
    </w:p>
    <w:p w14:paraId="54E5B6EA" w14:textId="45C908B5" w:rsidR="000A0F4E" w:rsidRDefault="0005592B" w:rsidP="000A0F4E">
      <w:pPr>
        <w:pStyle w:val="RAN4proposal"/>
        <w:rPr>
          <w:lang w:val="en-GB"/>
        </w:rPr>
      </w:pPr>
      <w:r>
        <w:rPr>
          <w:lang w:val="en-GB"/>
        </w:rPr>
        <w:t>RAN4 to discuss how to balance the measurements between measurements for mobility and measurements for early reporting</w:t>
      </w:r>
    </w:p>
    <w:p w14:paraId="15DCD034" w14:textId="3FE98A5D" w:rsidR="0005592B" w:rsidRDefault="0005592B" w:rsidP="002F68DD">
      <w:pPr>
        <w:rPr>
          <w:lang w:val="en-GB"/>
        </w:rPr>
      </w:pPr>
      <w:r>
        <w:rPr>
          <w:lang w:val="en-GB"/>
        </w:rPr>
        <w:t xml:space="preserve">Firstly, RAN4 will need to </w:t>
      </w:r>
      <w:r w:rsidR="00124652">
        <w:rPr>
          <w:lang w:val="en-GB"/>
        </w:rPr>
        <w:t xml:space="preserve">discuss if it is necessary to </w:t>
      </w:r>
      <w:r>
        <w:rPr>
          <w:lang w:val="en-GB"/>
        </w:rPr>
        <w:t xml:space="preserve">define the number of carriers the UE shall be able to monitor for idle measurements for </w:t>
      </w:r>
      <w:r w:rsidR="00124652">
        <w:rPr>
          <w:lang w:val="en-GB"/>
        </w:rPr>
        <w:t>EMR</w:t>
      </w:r>
      <w:r>
        <w:rPr>
          <w:lang w:val="en-GB"/>
        </w:rPr>
        <w:t xml:space="preserve">. </w:t>
      </w:r>
      <w:r w:rsidR="00124652">
        <w:rPr>
          <w:lang w:val="en-GB"/>
        </w:rPr>
        <w:t>W</w:t>
      </w:r>
      <w:r>
        <w:rPr>
          <w:lang w:val="en-GB"/>
        </w:rPr>
        <w:t xml:space="preserve">e propose a simpler approach where RAN4 </w:t>
      </w:r>
      <w:r w:rsidR="00124652">
        <w:rPr>
          <w:lang w:val="en-GB"/>
        </w:rPr>
        <w:t xml:space="preserve">either do not define any specific number or RAN4 </w:t>
      </w:r>
      <w:r>
        <w:rPr>
          <w:lang w:val="en-GB"/>
        </w:rPr>
        <w:t xml:space="preserve">defines a fixed number of carriers which can at most be configured to be measured for </w:t>
      </w:r>
      <w:r w:rsidR="00124652">
        <w:rPr>
          <w:lang w:val="en-GB"/>
        </w:rPr>
        <w:t>EMR</w:t>
      </w:r>
      <w:r>
        <w:rPr>
          <w:lang w:val="en-GB"/>
        </w:rPr>
        <w:t xml:space="preserve">. And for each carrier configured for </w:t>
      </w:r>
      <w:r w:rsidR="00124652">
        <w:rPr>
          <w:lang w:val="en-GB"/>
        </w:rPr>
        <w:t>EMR</w:t>
      </w:r>
      <w:r>
        <w:rPr>
          <w:lang w:val="en-GB"/>
        </w:rPr>
        <w:t xml:space="preserve"> one less carrier can be measured for mobility.</w:t>
      </w:r>
    </w:p>
    <w:p w14:paraId="3F08D452" w14:textId="2A4866AA" w:rsidR="00124652" w:rsidRDefault="00124652" w:rsidP="00124652">
      <w:pPr>
        <w:pStyle w:val="RAN4proposal"/>
        <w:rPr>
          <w:lang w:val="en-GB"/>
        </w:rPr>
      </w:pPr>
      <w:r>
        <w:rPr>
          <w:lang w:val="en-GB"/>
        </w:rPr>
        <w:t>RAN4 does not define a limit on carriers that can be configured for EMR.</w:t>
      </w:r>
    </w:p>
    <w:p w14:paraId="3697455A" w14:textId="15C5BBEA" w:rsidR="00124652" w:rsidRPr="00124652" w:rsidRDefault="00124652" w:rsidP="00B24F78">
      <w:pPr>
        <w:pStyle w:val="RAN4proposal"/>
        <w:rPr>
          <w:lang w:val="en-GB"/>
        </w:rPr>
      </w:pPr>
      <w:r>
        <w:rPr>
          <w:lang w:val="en-GB"/>
        </w:rPr>
        <w:t>For each carrier configured for EMR one less carrier can be measured for mobility.</w:t>
      </w:r>
    </w:p>
    <w:p w14:paraId="374FD2D6" w14:textId="5B9BBD81" w:rsidR="0005592B" w:rsidRDefault="0028608E" w:rsidP="002F68DD">
      <w:pPr>
        <w:rPr>
          <w:lang w:val="en-GB"/>
        </w:rPr>
      </w:pPr>
      <w:r>
        <w:rPr>
          <w:lang w:val="en-GB"/>
        </w:rPr>
        <w:t xml:space="preserve">If RAN4 want to define a </w:t>
      </w:r>
      <w:proofErr w:type="gramStart"/>
      <w:r>
        <w:rPr>
          <w:lang w:val="en-GB"/>
        </w:rPr>
        <w:t>fixed maximum number</w:t>
      </w:r>
      <w:proofErr w:type="gramEnd"/>
      <w:r>
        <w:rPr>
          <w:lang w:val="en-GB"/>
        </w:rPr>
        <w:t xml:space="preserve"> carriers that can be configured for EMR, it needs to be considered that</w:t>
      </w:r>
      <w:r w:rsidR="0005592B">
        <w:rPr>
          <w:lang w:val="en-GB"/>
        </w:rPr>
        <w:t xml:space="preserve"> NR has to support early reporting for both inter-frequency (NR) for both CA and DC, and inter-RAT (LTE</w:t>
      </w:r>
      <w:r>
        <w:rPr>
          <w:lang w:val="en-GB"/>
        </w:rPr>
        <w:t xml:space="preserve">). Hence, </w:t>
      </w:r>
      <w:r w:rsidR="009E5954">
        <w:rPr>
          <w:lang w:val="en-GB"/>
        </w:rPr>
        <w:t>it should be possible to configure at least one of each type. This would mean that absolute minimum would be 1 NR carrier and one LTE carrier. Although 1 LTE carrier might be enough, 1 carrier for NR is not enough e.g. for the case in NR with DC and CA. we propose following number of carriers:</w:t>
      </w:r>
    </w:p>
    <w:p w14:paraId="7276596C" w14:textId="64213D50" w:rsidR="009E5954" w:rsidRDefault="0028608E" w:rsidP="009E5954">
      <w:pPr>
        <w:pStyle w:val="RAN4proposal"/>
        <w:rPr>
          <w:lang w:val="en-GB"/>
        </w:rPr>
      </w:pPr>
      <w:r>
        <w:rPr>
          <w:lang w:val="en-GB"/>
        </w:rPr>
        <w:lastRenderedPageBreak/>
        <w:t xml:space="preserve">If a fixed number of carriers for EMR is to be defined, the </w:t>
      </w:r>
      <w:r w:rsidR="009E5954">
        <w:rPr>
          <w:lang w:val="en-GB"/>
        </w:rPr>
        <w:t xml:space="preserve">UE shall support </w:t>
      </w:r>
      <w:r w:rsidR="00822629">
        <w:rPr>
          <w:lang w:val="en-GB"/>
        </w:rPr>
        <w:t xml:space="preserve">measurement for early reporting on </w:t>
      </w:r>
      <w:r w:rsidR="009E5954">
        <w:rPr>
          <w:lang w:val="en-GB"/>
        </w:rPr>
        <w:t>at least 1 LTE inter-RAT carrier</w:t>
      </w:r>
    </w:p>
    <w:p w14:paraId="106DB46C" w14:textId="00C1E438" w:rsidR="009E5954" w:rsidRDefault="0028608E" w:rsidP="009E5954">
      <w:pPr>
        <w:pStyle w:val="RAN4proposal"/>
        <w:rPr>
          <w:lang w:val="en-GB"/>
        </w:rPr>
      </w:pPr>
      <w:r>
        <w:rPr>
          <w:lang w:val="en-GB"/>
        </w:rPr>
        <w:t xml:space="preserve">If a fixed number of carriers for EMR is to be defined, the </w:t>
      </w:r>
      <w:r w:rsidR="009E5954">
        <w:rPr>
          <w:lang w:val="en-GB"/>
        </w:rPr>
        <w:t xml:space="preserve">UE shall support </w:t>
      </w:r>
      <w:r w:rsidR="00822629">
        <w:rPr>
          <w:lang w:val="en-GB"/>
        </w:rPr>
        <w:t xml:space="preserve">measurements for early reporting on </w:t>
      </w:r>
      <w:r w:rsidR="009E5954">
        <w:rPr>
          <w:lang w:val="en-GB"/>
        </w:rPr>
        <w:t xml:space="preserve">at least </w:t>
      </w:r>
      <w:r>
        <w:rPr>
          <w:lang w:val="en-GB"/>
        </w:rPr>
        <w:t>3</w:t>
      </w:r>
      <w:r w:rsidR="009E5954">
        <w:rPr>
          <w:lang w:val="en-GB"/>
        </w:rPr>
        <w:t xml:space="preserve"> NR </w:t>
      </w:r>
      <w:r w:rsidR="00822629">
        <w:rPr>
          <w:lang w:val="en-GB"/>
        </w:rPr>
        <w:t xml:space="preserve">inter-frequency </w:t>
      </w:r>
      <w:r w:rsidR="009E5954">
        <w:rPr>
          <w:lang w:val="en-GB"/>
        </w:rPr>
        <w:t>carriers</w:t>
      </w:r>
    </w:p>
    <w:p w14:paraId="03E129D1" w14:textId="295CF077" w:rsidR="009E5954" w:rsidRDefault="009E5954" w:rsidP="009E5954">
      <w:pPr>
        <w:rPr>
          <w:lang w:val="en-GB"/>
        </w:rPr>
      </w:pPr>
      <w:r>
        <w:rPr>
          <w:lang w:val="en-GB"/>
        </w:rPr>
        <w:t xml:space="preserve">and </w:t>
      </w:r>
      <w:r w:rsidR="0028608E">
        <w:rPr>
          <w:lang w:val="en-GB"/>
        </w:rPr>
        <w:t>4</w:t>
      </w:r>
      <w:r>
        <w:rPr>
          <w:lang w:val="en-GB"/>
        </w:rPr>
        <w:t xml:space="preserve"> carriers in total</w:t>
      </w:r>
      <w:r w:rsidR="00822629">
        <w:rPr>
          <w:lang w:val="en-GB"/>
        </w:rPr>
        <w:t xml:space="preserve"> which can be any combination</w:t>
      </w:r>
      <w:r>
        <w:rPr>
          <w:lang w:val="en-GB"/>
        </w:rPr>
        <w:t>.</w:t>
      </w:r>
    </w:p>
    <w:p w14:paraId="6229BBC3" w14:textId="77777777" w:rsidR="002C2D19" w:rsidRDefault="002C2D19" w:rsidP="003B659E">
      <w:pPr>
        <w:ind w:right="-22"/>
        <w:rPr>
          <w:rFonts w:cs="Times New Roman"/>
        </w:rPr>
      </w:pPr>
    </w:p>
    <w:p w14:paraId="761516E1" w14:textId="54EE9AD8" w:rsidR="00CD7492" w:rsidRDefault="00CD7492" w:rsidP="00A37002">
      <w:pPr>
        <w:pStyle w:val="RAN4H1"/>
      </w:pPr>
      <w:r w:rsidRPr="00A37002">
        <w:t>Conclusion</w:t>
      </w:r>
    </w:p>
    <w:p w14:paraId="60B739D1" w14:textId="5FC61CCC" w:rsidR="00511803" w:rsidRDefault="00526B59" w:rsidP="00511803">
      <w:pPr>
        <w:rPr>
          <w:rFonts w:eastAsia="Calibri" w:cs="Times New Roman"/>
          <w:szCs w:val="20"/>
          <w:lang w:val="en-GB"/>
        </w:rPr>
      </w:pPr>
      <w:r>
        <w:rPr>
          <w:rFonts w:eastAsia="Calibri" w:cs="Times New Roman"/>
          <w:szCs w:val="20"/>
          <w:lang w:val="en-GB"/>
        </w:rPr>
        <w:t>In RAN4#92bis meeting in Chongqing, the WI regarding DC and CS enhancements was discussed further. Some basic principles have already been discussed, and several baseline agreements have been made. In this paper we look further into the early measurements and reporting based on the progress from RAN4#92bis</w:t>
      </w:r>
      <w:r>
        <w:rPr>
          <w:rFonts w:eastAsia="Calibri" w:cs="Times New Roman"/>
          <w:szCs w:val="20"/>
          <w:lang w:val="en-GB"/>
        </w:rPr>
        <w:t>.</w:t>
      </w:r>
      <w:r w:rsidR="00263D87">
        <w:rPr>
          <w:rFonts w:eastAsia="Calibri" w:cs="Times New Roman"/>
          <w:szCs w:val="20"/>
          <w:lang w:val="en-GB"/>
        </w:rPr>
        <w:t xml:space="preserve"> </w:t>
      </w:r>
      <w:proofErr w:type="gramStart"/>
      <w:r w:rsidR="00263D87">
        <w:rPr>
          <w:rFonts w:eastAsia="Calibri" w:cs="Times New Roman"/>
          <w:szCs w:val="20"/>
          <w:lang w:val="en-GB"/>
        </w:rPr>
        <w:t>A number of</w:t>
      </w:r>
      <w:proofErr w:type="gramEnd"/>
      <w:r w:rsidR="00263D87">
        <w:rPr>
          <w:rFonts w:eastAsia="Calibri" w:cs="Times New Roman"/>
          <w:szCs w:val="20"/>
          <w:lang w:val="en-GB"/>
        </w:rPr>
        <w:t xml:space="preserve"> proposals are made</w:t>
      </w:r>
      <w:r>
        <w:rPr>
          <w:rFonts w:eastAsia="Calibri" w:cs="Times New Roman"/>
          <w:szCs w:val="20"/>
          <w:lang w:val="en-GB"/>
        </w:rPr>
        <w:t xml:space="preserve"> – in particular we propose a way to balance the UE EMR measurements by on use of threshold</w:t>
      </w:r>
      <w:r w:rsidR="00263D87">
        <w:rPr>
          <w:rFonts w:eastAsia="Calibri" w:cs="Times New Roman"/>
          <w:szCs w:val="20"/>
          <w:lang w:val="en-GB"/>
        </w:rPr>
        <w:t>:</w:t>
      </w:r>
    </w:p>
    <w:p w14:paraId="0A724633" w14:textId="075B587D" w:rsidR="00526B59" w:rsidRDefault="00526B59" w:rsidP="00526B59">
      <w:pPr>
        <w:pStyle w:val="RAN4proposal"/>
        <w:numPr>
          <w:ilvl w:val="0"/>
          <w:numId w:val="26"/>
        </w:numPr>
      </w:pPr>
      <w:r>
        <w:t xml:space="preserve">Define a threshold </w:t>
      </w:r>
      <w:r>
        <w:t>applied</w:t>
      </w:r>
      <w:r>
        <w:t xml:space="preserve"> for carriers for EMR which can be configured by the network and which indicates to the UE when the UE no longer should perform measurement for EMR</w:t>
      </w:r>
    </w:p>
    <w:p w14:paraId="778F910C" w14:textId="77777777" w:rsidR="00526B59" w:rsidRDefault="00526B59" w:rsidP="00526B59">
      <w:pPr>
        <w:pStyle w:val="RAN4proposal"/>
      </w:pPr>
      <w:r>
        <w:t xml:space="preserve">Change the approach of defining overlapping and non-overlapping carriers used in </w:t>
      </w:r>
      <w:proofErr w:type="spellStart"/>
      <w:r>
        <w:t>euCA</w:t>
      </w:r>
      <w:proofErr w:type="spellEnd"/>
      <w:r>
        <w:t>.</w:t>
      </w:r>
    </w:p>
    <w:p w14:paraId="553E1180" w14:textId="77777777" w:rsidR="00526B59" w:rsidRDefault="00526B59" w:rsidP="00526B59">
      <w:pPr>
        <w:pStyle w:val="RAN4proposal"/>
      </w:pPr>
      <w:r>
        <w:t>Define UE measurement requirements for carrier configured for mobility (as currently) and carriers configured for EMR</w:t>
      </w:r>
    </w:p>
    <w:p w14:paraId="2FFD9B68" w14:textId="77777777" w:rsidR="00526B59" w:rsidRDefault="00526B59" w:rsidP="00526B59">
      <w:pPr>
        <w:pStyle w:val="RAN4proposal"/>
        <w:rPr>
          <w:lang w:val="en-GB"/>
        </w:rPr>
      </w:pPr>
      <w:r>
        <w:rPr>
          <w:lang w:val="en-GB"/>
        </w:rPr>
        <w:t>RAN4 to discuss how to balance the measurements between measurements for mobility and measurements for early reporting</w:t>
      </w:r>
    </w:p>
    <w:p w14:paraId="58768027" w14:textId="77777777" w:rsidR="00526B59" w:rsidRDefault="00526B59" w:rsidP="00526B59">
      <w:pPr>
        <w:pStyle w:val="RAN4proposal"/>
        <w:rPr>
          <w:lang w:val="en-GB"/>
        </w:rPr>
      </w:pPr>
      <w:r>
        <w:rPr>
          <w:lang w:val="en-GB"/>
        </w:rPr>
        <w:t>RAN4 does not define a limit on carriers that can be configured for EMR.</w:t>
      </w:r>
    </w:p>
    <w:p w14:paraId="28885D25" w14:textId="77777777" w:rsidR="00526B59" w:rsidRPr="00124652" w:rsidRDefault="00526B59" w:rsidP="00526B59">
      <w:pPr>
        <w:pStyle w:val="RAN4proposal"/>
        <w:rPr>
          <w:lang w:val="en-GB"/>
        </w:rPr>
      </w:pPr>
      <w:r>
        <w:rPr>
          <w:lang w:val="en-GB"/>
        </w:rPr>
        <w:t>For each carrier configured for EMR one less carrier can be measured for mobility.</w:t>
      </w:r>
    </w:p>
    <w:p w14:paraId="759AF591" w14:textId="77777777" w:rsidR="00526B59" w:rsidRDefault="00526B59" w:rsidP="00526B59">
      <w:pPr>
        <w:pStyle w:val="RAN4proposal"/>
        <w:rPr>
          <w:lang w:val="en-GB"/>
        </w:rPr>
      </w:pPr>
      <w:r>
        <w:rPr>
          <w:lang w:val="en-GB"/>
        </w:rPr>
        <w:t>If a fixed number of carriers for EMR is to be defined, the UE shall support measurement for early reporting on at least 1 LTE inter-RAT carrier</w:t>
      </w:r>
    </w:p>
    <w:p w14:paraId="51B02C7F" w14:textId="77777777" w:rsidR="00526B59" w:rsidRDefault="00526B59" w:rsidP="00526B59">
      <w:pPr>
        <w:pStyle w:val="RAN4proposal"/>
        <w:rPr>
          <w:lang w:val="en-GB"/>
        </w:rPr>
      </w:pPr>
      <w:r>
        <w:rPr>
          <w:lang w:val="en-GB"/>
        </w:rPr>
        <w:t>If a fixed number of carriers for EMR is to be defined, the UE shall support measurements for early reporting on at least 3 NR inter-frequency carriers</w:t>
      </w:r>
    </w:p>
    <w:p w14:paraId="26667FE0" w14:textId="77777777" w:rsidR="00263D87" w:rsidRPr="00263D87" w:rsidRDefault="00263D87" w:rsidP="00263D87">
      <w:pPr>
        <w:rPr>
          <w:lang w:val="en-GB"/>
        </w:rPr>
      </w:pPr>
    </w:p>
    <w:p w14:paraId="3DAFBD41" w14:textId="77777777" w:rsidR="003B659E" w:rsidRPr="0095295C" w:rsidRDefault="003B659E" w:rsidP="0008612A">
      <w:pPr>
        <w:pStyle w:val="RAN4H1"/>
      </w:pPr>
      <w:r w:rsidRPr="0095295C">
        <w:t>References</w:t>
      </w:r>
    </w:p>
    <w:p w14:paraId="19FC2F12" w14:textId="018C7A52" w:rsidR="003B659E" w:rsidRDefault="004F08C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4F08C0">
        <w:rPr>
          <w:rFonts w:eastAsia="Calibri" w:cs="Times New Roman"/>
          <w:szCs w:val="20"/>
          <w:lang w:val="en-GB"/>
        </w:rPr>
        <w:t>R4-1909997</w:t>
      </w:r>
      <w:r w:rsidR="003B659E" w:rsidRPr="004F08C0">
        <w:rPr>
          <w:rFonts w:eastAsia="Times New Roman" w:cs="Times New Roman"/>
          <w:szCs w:val="20"/>
          <w:lang w:val="en-GB"/>
        </w:rPr>
        <w:t xml:space="preserve">, </w:t>
      </w:r>
      <w:r w:rsidRPr="004F08C0">
        <w:rPr>
          <w:rFonts w:eastAsia="Calibri" w:cs="Times New Roman"/>
          <w:szCs w:val="20"/>
          <w:lang w:val="en-GB"/>
        </w:rPr>
        <w:t>Way forward on MR-DC RRM</w:t>
      </w:r>
      <w:r w:rsidR="003B659E" w:rsidRPr="004F08C0">
        <w:rPr>
          <w:rFonts w:eastAsia="Times New Roman" w:cs="Times New Roman"/>
          <w:szCs w:val="20"/>
          <w:lang w:val="en-GB"/>
        </w:rPr>
        <w:t>, Nokia, Alcatel-Lucent Shanghai Bell</w:t>
      </w:r>
      <w:r w:rsidR="003B659E" w:rsidRPr="004F08C0" w:rsidDel="00C651B9">
        <w:rPr>
          <w:rFonts w:eastAsia="Times New Roman" w:cs="Times New Roman"/>
          <w:szCs w:val="20"/>
          <w:lang w:val="en-GB"/>
        </w:rPr>
        <w:t xml:space="preserve"> </w:t>
      </w:r>
      <w:bookmarkEnd w:id="4"/>
    </w:p>
    <w:p w14:paraId="053D3DE3" w14:textId="6B08EC1F" w:rsidR="005B79C0" w:rsidRPr="004F08C0" w:rsidRDefault="005B79C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B79C0">
        <w:rPr>
          <w:rFonts w:eastAsia="Times New Roman" w:cs="Times New Roman"/>
          <w:szCs w:val="20"/>
          <w:lang w:val="en-GB"/>
        </w:rPr>
        <w:t>R4-1912717</w:t>
      </w:r>
      <w:r>
        <w:rPr>
          <w:rFonts w:eastAsia="Times New Roman" w:cs="Times New Roman"/>
          <w:szCs w:val="20"/>
          <w:lang w:val="en-GB"/>
        </w:rPr>
        <w:t xml:space="preserve">, </w:t>
      </w:r>
      <w:r w:rsidRPr="005B79C0">
        <w:rPr>
          <w:rFonts w:eastAsia="Times New Roman" w:cs="Times New Roman"/>
          <w:szCs w:val="20"/>
          <w:lang w:val="en-GB"/>
        </w:rPr>
        <w:t>Way Forward on MR-DC RRM</w:t>
      </w:r>
      <w:r>
        <w:rPr>
          <w:rFonts w:eastAsia="Times New Roman" w:cs="Times New Roman"/>
          <w:szCs w:val="20"/>
          <w:lang w:val="en-GB"/>
        </w:rPr>
        <w:t xml:space="preserve">, </w:t>
      </w:r>
      <w:r w:rsidRPr="004F08C0">
        <w:rPr>
          <w:rFonts w:eastAsia="Times New Roman" w:cs="Times New Roman"/>
          <w:szCs w:val="20"/>
          <w:lang w:val="en-GB"/>
        </w:rPr>
        <w:t>Nokia, Alcatel-Lucent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8AA31" w14:textId="77777777" w:rsidR="00CF2F46" w:rsidRDefault="00CF2F46" w:rsidP="00001C9B">
      <w:pPr>
        <w:spacing w:after="0" w:line="240" w:lineRule="auto"/>
      </w:pPr>
      <w:r>
        <w:separator/>
      </w:r>
    </w:p>
  </w:endnote>
  <w:endnote w:type="continuationSeparator" w:id="0">
    <w:p w14:paraId="3A763C3B" w14:textId="77777777" w:rsidR="00CF2F46" w:rsidRDefault="00CF2F4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60BBD" w14:textId="77777777" w:rsidR="00CF2F46" w:rsidRDefault="00CF2F46" w:rsidP="00001C9B">
      <w:pPr>
        <w:spacing w:after="0" w:line="240" w:lineRule="auto"/>
      </w:pPr>
      <w:r>
        <w:separator/>
      </w:r>
    </w:p>
  </w:footnote>
  <w:footnote w:type="continuationSeparator" w:id="0">
    <w:p w14:paraId="7E493A96" w14:textId="77777777" w:rsidR="00CF2F46" w:rsidRDefault="00CF2F4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2D50"/>
    <w:multiLevelType w:val="hybridMultilevel"/>
    <w:tmpl w:val="3C7E3942"/>
    <w:lvl w:ilvl="0" w:tplc="FCFAC332">
      <w:start w:val="1"/>
      <w:numFmt w:val="bullet"/>
      <w:lvlText w:val="–"/>
      <w:lvlJc w:val="left"/>
      <w:pPr>
        <w:tabs>
          <w:tab w:val="num" w:pos="360"/>
        </w:tabs>
        <w:ind w:left="360" w:hanging="360"/>
      </w:pPr>
      <w:rPr>
        <w:rFonts w:ascii="Arial" w:hAnsi="Arial" w:hint="default"/>
      </w:rPr>
    </w:lvl>
    <w:lvl w:ilvl="1" w:tplc="DA42D7AC">
      <w:start w:val="1"/>
      <w:numFmt w:val="bullet"/>
      <w:lvlText w:val="–"/>
      <w:lvlJc w:val="left"/>
      <w:pPr>
        <w:tabs>
          <w:tab w:val="num" w:pos="1080"/>
        </w:tabs>
        <w:ind w:left="1080" w:hanging="360"/>
      </w:pPr>
      <w:rPr>
        <w:rFonts w:ascii="Arial" w:hAnsi="Arial" w:hint="default"/>
      </w:rPr>
    </w:lvl>
    <w:lvl w:ilvl="2" w:tplc="85965C16">
      <w:start w:val="270"/>
      <w:numFmt w:val="bullet"/>
      <w:lvlText w:val="•"/>
      <w:lvlJc w:val="left"/>
      <w:pPr>
        <w:tabs>
          <w:tab w:val="num" w:pos="1800"/>
        </w:tabs>
        <w:ind w:left="1800" w:hanging="360"/>
      </w:pPr>
      <w:rPr>
        <w:rFonts w:ascii="Arial" w:hAnsi="Arial" w:hint="default"/>
      </w:rPr>
    </w:lvl>
    <w:lvl w:ilvl="3" w:tplc="19509008" w:tentative="1">
      <w:start w:val="1"/>
      <w:numFmt w:val="bullet"/>
      <w:lvlText w:val="–"/>
      <w:lvlJc w:val="left"/>
      <w:pPr>
        <w:tabs>
          <w:tab w:val="num" w:pos="2520"/>
        </w:tabs>
        <w:ind w:left="2520" w:hanging="360"/>
      </w:pPr>
      <w:rPr>
        <w:rFonts w:ascii="Arial" w:hAnsi="Arial" w:hint="default"/>
      </w:rPr>
    </w:lvl>
    <w:lvl w:ilvl="4" w:tplc="FF32E56A" w:tentative="1">
      <w:start w:val="1"/>
      <w:numFmt w:val="bullet"/>
      <w:lvlText w:val="–"/>
      <w:lvlJc w:val="left"/>
      <w:pPr>
        <w:tabs>
          <w:tab w:val="num" w:pos="3240"/>
        </w:tabs>
        <w:ind w:left="3240" w:hanging="360"/>
      </w:pPr>
      <w:rPr>
        <w:rFonts w:ascii="Arial" w:hAnsi="Arial" w:hint="default"/>
      </w:rPr>
    </w:lvl>
    <w:lvl w:ilvl="5" w:tplc="9258E288" w:tentative="1">
      <w:start w:val="1"/>
      <w:numFmt w:val="bullet"/>
      <w:lvlText w:val="–"/>
      <w:lvlJc w:val="left"/>
      <w:pPr>
        <w:tabs>
          <w:tab w:val="num" w:pos="3960"/>
        </w:tabs>
        <w:ind w:left="3960" w:hanging="360"/>
      </w:pPr>
      <w:rPr>
        <w:rFonts w:ascii="Arial" w:hAnsi="Arial" w:hint="default"/>
      </w:rPr>
    </w:lvl>
    <w:lvl w:ilvl="6" w:tplc="26420900" w:tentative="1">
      <w:start w:val="1"/>
      <w:numFmt w:val="bullet"/>
      <w:lvlText w:val="–"/>
      <w:lvlJc w:val="left"/>
      <w:pPr>
        <w:tabs>
          <w:tab w:val="num" w:pos="4680"/>
        </w:tabs>
        <w:ind w:left="4680" w:hanging="360"/>
      </w:pPr>
      <w:rPr>
        <w:rFonts w:ascii="Arial" w:hAnsi="Arial" w:hint="default"/>
      </w:rPr>
    </w:lvl>
    <w:lvl w:ilvl="7" w:tplc="8C44ACDA" w:tentative="1">
      <w:start w:val="1"/>
      <w:numFmt w:val="bullet"/>
      <w:lvlText w:val="–"/>
      <w:lvlJc w:val="left"/>
      <w:pPr>
        <w:tabs>
          <w:tab w:val="num" w:pos="5400"/>
        </w:tabs>
        <w:ind w:left="5400" w:hanging="360"/>
      </w:pPr>
      <w:rPr>
        <w:rFonts w:ascii="Arial" w:hAnsi="Arial" w:hint="default"/>
      </w:rPr>
    </w:lvl>
    <w:lvl w:ilvl="8" w:tplc="C422C6A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F54171"/>
    <w:multiLevelType w:val="hybridMultilevel"/>
    <w:tmpl w:val="323816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123D9A"/>
    <w:multiLevelType w:val="hybridMultilevel"/>
    <w:tmpl w:val="F7AC2644"/>
    <w:lvl w:ilvl="0" w:tplc="DBFCE0BA">
      <w:start w:val="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B6A1B"/>
    <w:multiLevelType w:val="hybridMultilevel"/>
    <w:tmpl w:val="C34E244A"/>
    <w:lvl w:ilvl="0" w:tplc="DBFCE0BA">
      <w:start w:val="4"/>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0"/>
  </w:num>
  <w:num w:numId="4">
    <w:abstractNumId w:val="4"/>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3"/>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
  </w:num>
  <w:num w:numId="22">
    <w:abstractNumId w:val="9"/>
    <w:lvlOverride w:ilvl="0">
      <w:startOverride w:val="1"/>
    </w:lvlOverride>
  </w:num>
  <w:num w:numId="23">
    <w:abstractNumId w:val="6"/>
  </w:num>
  <w:num w:numId="24">
    <w:abstractNumId w:val="0"/>
  </w:num>
  <w:num w:numId="25">
    <w:abstractNumId w:val="11"/>
  </w:num>
  <w:num w:numId="2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10A"/>
    <w:rsid w:val="00013A3E"/>
    <w:rsid w:val="00032EAF"/>
    <w:rsid w:val="0005592B"/>
    <w:rsid w:val="00072572"/>
    <w:rsid w:val="00075433"/>
    <w:rsid w:val="0008612A"/>
    <w:rsid w:val="000A0F4E"/>
    <w:rsid w:val="000B0056"/>
    <w:rsid w:val="000C1DE6"/>
    <w:rsid w:val="00121607"/>
    <w:rsid w:val="00124652"/>
    <w:rsid w:val="001745F8"/>
    <w:rsid w:val="00176671"/>
    <w:rsid w:val="001838CF"/>
    <w:rsid w:val="001C2F6D"/>
    <w:rsid w:val="001E30F6"/>
    <w:rsid w:val="001E662B"/>
    <w:rsid w:val="00235F5C"/>
    <w:rsid w:val="00263D87"/>
    <w:rsid w:val="0028608E"/>
    <w:rsid w:val="002920C6"/>
    <w:rsid w:val="002B4922"/>
    <w:rsid w:val="002B6014"/>
    <w:rsid w:val="002C2D19"/>
    <w:rsid w:val="002D10FA"/>
    <w:rsid w:val="002D4C55"/>
    <w:rsid w:val="002F68DD"/>
    <w:rsid w:val="00316401"/>
    <w:rsid w:val="0034450E"/>
    <w:rsid w:val="00363CF1"/>
    <w:rsid w:val="003B659E"/>
    <w:rsid w:val="003B7DB2"/>
    <w:rsid w:val="003D45DF"/>
    <w:rsid w:val="003D4772"/>
    <w:rsid w:val="00417AA0"/>
    <w:rsid w:val="0043750A"/>
    <w:rsid w:val="004613B1"/>
    <w:rsid w:val="00467327"/>
    <w:rsid w:val="0049776B"/>
    <w:rsid w:val="004A5D31"/>
    <w:rsid w:val="004B7B4A"/>
    <w:rsid w:val="004E5E66"/>
    <w:rsid w:val="004F08C0"/>
    <w:rsid w:val="00503B4D"/>
    <w:rsid w:val="00504EE9"/>
    <w:rsid w:val="00506923"/>
    <w:rsid w:val="00511803"/>
    <w:rsid w:val="00526B59"/>
    <w:rsid w:val="0054442C"/>
    <w:rsid w:val="00550285"/>
    <w:rsid w:val="005836F8"/>
    <w:rsid w:val="005918FA"/>
    <w:rsid w:val="005B79C0"/>
    <w:rsid w:val="005E61A8"/>
    <w:rsid w:val="005F6419"/>
    <w:rsid w:val="00617400"/>
    <w:rsid w:val="00656927"/>
    <w:rsid w:val="00664950"/>
    <w:rsid w:val="00683220"/>
    <w:rsid w:val="00687FA0"/>
    <w:rsid w:val="006B7010"/>
    <w:rsid w:val="007145FF"/>
    <w:rsid w:val="00745273"/>
    <w:rsid w:val="00751515"/>
    <w:rsid w:val="00765D23"/>
    <w:rsid w:val="00784648"/>
    <w:rsid w:val="00785232"/>
    <w:rsid w:val="007C3ED0"/>
    <w:rsid w:val="007F3916"/>
    <w:rsid w:val="00806A76"/>
    <w:rsid w:val="00811C9D"/>
    <w:rsid w:val="00816C80"/>
    <w:rsid w:val="00822629"/>
    <w:rsid w:val="00841BCD"/>
    <w:rsid w:val="008826C1"/>
    <w:rsid w:val="00895E6B"/>
    <w:rsid w:val="008B172C"/>
    <w:rsid w:val="008D2520"/>
    <w:rsid w:val="009042BD"/>
    <w:rsid w:val="00923784"/>
    <w:rsid w:val="00977E1D"/>
    <w:rsid w:val="009B0424"/>
    <w:rsid w:val="009B7350"/>
    <w:rsid w:val="009E5954"/>
    <w:rsid w:val="009F1081"/>
    <w:rsid w:val="00A16305"/>
    <w:rsid w:val="00A22B78"/>
    <w:rsid w:val="00A25AE5"/>
    <w:rsid w:val="00A37002"/>
    <w:rsid w:val="00A831A3"/>
    <w:rsid w:val="00AA1B0E"/>
    <w:rsid w:val="00AA2C27"/>
    <w:rsid w:val="00AC5CA7"/>
    <w:rsid w:val="00AD535B"/>
    <w:rsid w:val="00AE56B1"/>
    <w:rsid w:val="00B24F78"/>
    <w:rsid w:val="00B415C7"/>
    <w:rsid w:val="00B478C4"/>
    <w:rsid w:val="00B62A17"/>
    <w:rsid w:val="00B73862"/>
    <w:rsid w:val="00BA6E48"/>
    <w:rsid w:val="00BA724E"/>
    <w:rsid w:val="00BE2EA4"/>
    <w:rsid w:val="00BF2218"/>
    <w:rsid w:val="00CD5B2F"/>
    <w:rsid w:val="00CD7492"/>
    <w:rsid w:val="00CE2AB3"/>
    <w:rsid w:val="00CE3A6B"/>
    <w:rsid w:val="00CF2F46"/>
    <w:rsid w:val="00D00211"/>
    <w:rsid w:val="00D06309"/>
    <w:rsid w:val="00D27872"/>
    <w:rsid w:val="00D351EA"/>
    <w:rsid w:val="00D43403"/>
    <w:rsid w:val="00D62E71"/>
    <w:rsid w:val="00D740CA"/>
    <w:rsid w:val="00D85728"/>
    <w:rsid w:val="00D93B13"/>
    <w:rsid w:val="00DD555A"/>
    <w:rsid w:val="00DF2997"/>
    <w:rsid w:val="00E51E4A"/>
    <w:rsid w:val="00EC7BC3"/>
    <w:rsid w:val="00ED59F0"/>
    <w:rsid w:val="00ED7600"/>
    <w:rsid w:val="00EE37B2"/>
    <w:rsid w:val="00EE555F"/>
    <w:rsid w:val="00EE5A3E"/>
    <w:rsid w:val="00EE706A"/>
    <w:rsid w:val="00EF2A70"/>
    <w:rsid w:val="00EF77B0"/>
    <w:rsid w:val="00F030B7"/>
    <w:rsid w:val="00F1362C"/>
    <w:rsid w:val="00F40D64"/>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UnresolvedMention">
    <w:name w:val="Unresolved Mention"/>
    <w:basedOn w:val="DefaultParagraphFont"/>
    <w:uiPriority w:val="99"/>
    <w:semiHidden/>
    <w:unhideWhenUsed/>
    <w:rsid w:val="00D93B13"/>
    <w:rPr>
      <w:color w:val="605E5C"/>
      <w:shd w:val="clear" w:color="auto" w:fill="E1DFDD"/>
    </w:rPr>
  </w:style>
  <w:style w:type="character" w:styleId="CommentReference">
    <w:name w:val="annotation reference"/>
    <w:basedOn w:val="DefaultParagraphFont"/>
    <w:uiPriority w:val="99"/>
    <w:semiHidden/>
    <w:unhideWhenUsed/>
    <w:rsid w:val="00CD5B2F"/>
    <w:rPr>
      <w:sz w:val="16"/>
      <w:szCs w:val="16"/>
    </w:rPr>
  </w:style>
  <w:style w:type="paragraph" w:styleId="CommentText">
    <w:name w:val="annotation text"/>
    <w:basedOn w:val="Normal"/>
    <w:link w:val="CommentTextChar"/>
    <w:uiPriority w:val="99"/>
    <w:semiHidden/>
    <w:unhideWhenUsed/>
    <w:rsid w:val="00CD5B2F"/>
    <w:pPr>
      <w:spacing w:line="240" w:lineRule="auto"/>
    </w:pPr>
    <w:rPr>
      <w:szCs w:val="20"/>
    </w:rPr>
  </w:style>
  <w:style w:type="character" w:customStyle="1" w:styleId="CommentTextChar">
    <w:name w:val="Comment Text Char"/>
    <w:basedOn w:val="DefaultParagraphFont"/>
    <w:link w:val="CommentText"/>
    <w:uiPriority w:val="99"/>
    <w:semiHidden/>
    <w:rsid w:val="00CD5B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D5B2F"/>
    <w:rPr>
      <w:b/>
      <w:bCs/>
    </w:rPr>
  </w:style>
  <w:style w:type="character" w:customStyle="1" w:styleId="CommentSubjectChar">
    <w:name w:val="Comment Subject Char"/>
    <w:basedOn w:val="CommentTextChar"/>
    <w:link w:val="CommentSubject"/>
    <w:uiPriority w:val="99"/>
    <w:semiHidden/>
    <w:rsid w:val="00CD5B2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34694">
      <w:bodyDiv w:val="1"/>
      <w:marLeft w:val="0"/>
      <w:marRight w:val="0"/>
      <w:marTop w:val="0"/>
      <w:marBottom w:val="0"/>
      <w:divBdr>
        <w:top w:val="none" w:sz="0" w:space="0" w:color="auto"/>
        <w:left w:val="none" w:sz="0" w:space="0" w:color="auto"/>
        <w:bottom w:val="none" w:sz="0" w:space="0" w:color="auto"/>
        <w:right w:val="none" w:sz="0" w:space="0" w:color="auto"/>
      </w:divBdr>
      <w:divsChild>
        <w:div w:id="1546600572">
          <w:marLeft w:val="0"/>
          <w:marRight w:val="0"/>
          <w:marTop w:val="0"/>
          <w:marBottom w:val="0"/>
          <w:divBdr>
            <w:top w:val="none" w:sz="0" w:space="0" w:color="auto"/>
            <w:left w:val="none" w:sz="0" w:space="0" w:color="auto"/>
            <w:bottom w:val="none" w:sz="0" w:space="0" w:color="auto"/>
            <w:right w:val="none" w:sz="0" w:space="0" w:color="auto"/>
          </w:divBdr>
          <w:divsChild>
            <w:div w:id="1132216520">
              <w:marLeft w:val="0"/>
              <w:marRight w:val="0"/>
              <w:marTop w:val="0"/>
              <w:marBottom w:val="0"/>
              <w:divBdr>
                <w:top w:val="none" w:sz="0" w:space="0" w:color="auto"/>
                <w:left w:val="none" w:sz="0" w:space="0" w:color="auto"/>
                <w:bottom w:val="none" w:sz="0" w:space="0" w:color="auto"/>
                <w:right w:val="none" w:sz="0" w:space="0" w:color="auto"/>
              </w:divBdr>
              <w:divsChild>
                <w:div w:id="83500413">
                  <w:marLeft w:val="0"/>
                  <w:marRight w:val="0"/>
                  <w:marTop w:val="0"/>
                  <w:marBottom w:val="0"/>
                  <w:divBdr>
                    <w:top w:val="none" w:sz="0" w:space="0" w:color="auto"/>
                    <w:left w:val="none" w:sz="0" w:space="0" w:color="auto"/>
                    <w:bottom w:val="none" w:sz="0" w:space="0" w:color="auto"/>
                    <w:right w:val="none" w:sz="0" w:space="0" w:color="auto"/>
                  </w:divBdr>
                  <w:divsChild>
                    <w:div w:id="1012104107">
                      <w:marLeft w:val="0"/>
                      <w:marRight w:val="0"/>
                      <w:marTop w:val="0"/>
                      <w:marBottom w:val="0"/>
                      <w:divBdr>
                        <w:top w:val="none" w:sz="0" w:space="0" w:color="auto"/>
                        <w:left w:val="none" w:sz="0" w:space="0" w:color="auto"/>
                        <w:bottom w:val="none" w:sz="0" w:space="0" w:color="auto"/>
                        <w:right w:val="none" w:sz="0" w:space="0" w:color="auto"/>
                      </w:divBdr>
                      <w:divsChild>
                        <w:div w:id="1795440065">
                          <w:marLeft w:val="0"/>
                          <w:marRight w:val="0"/>
                          <w:marTop w:val="0"/>
                          <w:marBottom w:val="0"/>
                          <w:divBdr>
                            <w:top w:val="none" w:sz="0" w:space="0" w:color="auto"/>
                            <w:left w:val="none" w:sz="0" w:space="0" w:color="auto"/>
                            <w:bottom w:val="none" w:sz="0" w:space="0" w:color="auto"/>
                            <w:right w:val="none" w:sz="0" w:space="0" w:color="auto"/>
                          </w:divBdr>
                          <w:divsChild>
                            <w:div w:id="167521799">
                              <w:marLeft w:val="0"/>
                              <w:marRight w:val="0"/>
                              <w:marTop w:val="0"/>
                              <w:marBottom w:val="0"/>
                              <w:divBdr>
                                <w:top w:val="none" w:sz="0" w:space="0" w:color="auto"/>
                                <w:left w:val="none" w:sz="0" w:space="0" w:color="auto"/>
                                <w:bottom w:val="none" w:sz="0" w:space="0" w:color="auto"/>
                                <w:right w:val="none" w:sz="0" w:space="0" w:color="auto"/>
                              </w:divBdr>
                              <w:divsChild>
                                <w:div w:id="684095396">
                                  <w:marLeft w:val="0"/>
                                  <w:marRight w:val="0"/>
                                  <w:marTop w:val="0"/>
                                  <w:marBottom w:val="0"/>
                                  <w:divBdr>
                                    <w:top w:val="none" w:sz="0" w:space="0" w:color="auto"/>
                                    <w:left w:val="none" w:sz="0" w:space="0" w:color="auto"/>
                                    <w:bottom w:val="none" w:sz="0" w:space="0" w:color="auto"/>
                                    <w:right w:val="none" w:sz="0" w:space="0" w:color="auto"/>
                                  </w:divBdr>
                                  <w:divsChild>
                                    <w:div w:id="1782332635">
                                      <w:marLeft w:val="0"/>
                                      <w:marRight w:val="0"/>
                                      <w:marTop w:val="0"/>
                                      <w:marBottom w:val="0"/>
                                      <w:divBdr>
                                        <w:top w:val="none" w:sz="0" w:space="0" w:color="auto"/>
                                        <w:left w:val="none" w:sz="0" w:space="0" w:color="auto"/>
                                        <w:bottom w:val="none" w:sz="0" w:space="0" w:color="auto"/>
                                        <w:right w:val="none" w:sz="0" w:space="0" w:color="auto"/>
                                      </w:divBdr>
                                      <w:divsChild>
                                        <w:div w:id="522132615">
                                          <w:marLeft w:val="0"/>
                                          <w:marRight w:val="0"/>
                                          <w:marTop w:val="0"/>
                                          <w:marBottom w:val="0"/>
                                          <w:divBdr>
                                            <w:top w:val="none" w:sz="0" w:space="0" w:color="auto"/>
                                            <w:left w:val="none" w:sz="0" w:space="0" w:color="auto"/>
                                            <w:bottom w:val="none" w:sz="0" w:space="0" w:color="auto"/>
                                            <w:right w:val="none" w:sz="0" w:space="0" w:color="auto"/>
                                          </w:divBdr>
                                          <w:divsChild>
                                            <w:div w:id="392195094">
                                              <w:marLeft w:val="0"/>
                                              <w:marRight w:val="0"/>
                                              <w:marTop w:val="0"/>
                                              <w:marBottom w:val="0"/>
                                              <w:divBdr>
                                                <w:top w:val="none" w:sz="0" w:space="0" w:color="auto"/>
                                                <w:left w:val="none" w:sz="0" w:space="0" w:color="auto"/>
                                                <w:bottom w:val="none" w:sz="0" w:space="0" w:color="auto"/>
                                                <w:right w:val="none" w:sz="0" w:space="0" w:color="auto"/>
                                              </w:divBdr>
                                              <w:divsChild>
                                                <w:div w:id="1604411142">
                                                  <w:marLeft w:val="0"/>
                                                  <w:marRight w:val="0"/>
                                                  <w:marTop w:val="0"/>
                                                  <w:marBottom w:val="0"/>
                                                  <w:divBdr>
                                                    <w:top w:val="none" w:sz="0" w:space="0" w:color="auto"/>
                                                    <w:left w:val="none" w:sz="0" w:space="0" w:color="auto"/>
                                                    <w:bottom w:val="none" w:sz="0" w:space="0" w:color="auto"/>
                                                    <w:right w:val="none" w:sz="0" w:space="0" w:color="auto"/>
                                                  </w:divBdr>
                                                  <w:divsChild>
                                                    <w:div w:id="1918245335">
                                                      <w:marLeft w:val="0"/>
                                                      <w:marRight w:val="0"/>
                                                      <w:marTop w:val="0"/>
                                                      <w:marBottom w:val="0"/>
                                                      <w:divBdr>
                                                        <w:top w:val="none" w:sz="0" w:space="0" w:color="auto"/>
                                                        <w:left w:val="none" w:sz="0" w:space="0" w:color="auto"/>
                                                        <w:bottom w:val="none" w:sz="0" w:space="0" w:color="auto"/>
                                                        <w:right w:val="none" w:sz="0" w:space="0" w:color="auto"/>
                                                      </w:divBdr>
                                                      <w:divsChild>
                                                        <w:div w:id="462161573">
                                                          <w:marLeft w:val="0"/>
                                                          <w:marRight w:val="0"/>
                                                          <w:marTop w:val="0"/>
                                                          <w:marBottom w:val="0"/>
                                                          <w:divBdr>
                                                            <w:top w:val="none" w:sz="0" w:space="0" w:color="auto"/>
                                                            <w:left w:val="none" w:sz="0" w:space="0" w:color="auto"/>
                                                            <w:bottom w:val="none" w:sz="0" w:space="0" w:color="auto"/>
                                                            <w:right w:val="none" w:sz="0" w:space="0" w:color="auto"/>
                                                          </w:divBdr>
                                                          <w:divsChild>
                                                            <w:div w:id="2095012504">
                                                              <w:marLeft w:val="0"/>
                                                              <w:marRight w:val="0"/>
                                                              <w:marTop w:val="0"/>
                                                              <w:marBottom w:val="0"/>
                                                              <w:divBdr>
                                                                <w:top w:val="none" w:sz="0" w:space="0" w:color="auto"/>
                                                                <w:left w:val="none" w:sz="0" w:space="0" w:color="auto"/>
                                                                <w:bottom w:val="none" w:sz="0" w:space="0" w:color="auto"/>
                                                                <w:right w:val="none" w:sz="0" w:space="0" w:color="auto"/>
                                                              </w:divBdr>
                                                              <w:divsChild>
                                                                <w:div w:id="289673083">
                                                                  <w:marLeft w:val="-210"/>
                                                                  <w:marRight w:val="-75"/>
                                                                  <w:marTop w:val="0"/>
                                                                  <w:marBottom w:val="0"/>
                                                                  <w:divBdr>
                                                                    <w:top w:val="none" w:sz="0" w:space="0" w:color="auto"/>
                                                                    <w:left w:val="none" w:sz="0" w:space="0" w:color="auto"/>
                                                                    <w:bottom w:val="none" w:sz="0" w:space="0" w:color="auto"/>
                                                                    <w:right w:val="none" w:sz="0" w:space="0" w:color="auto"/>
                                                                  </w:divBdr>
                                                                  <w:divsChild>
                                                                    <w:div w:id="2039043008">
                                                                      <w:marLeft w:val="0"/>
                                                                      <w:marRight w:val="0"/>
                                                                      <w:marTop w:val="0"/>
                                                                      <w:marBottom w:val="0"/>
                                                                      <w:divBdr>
                                                                        <w:top w:val="none" w:sz="0" w:space="0" w:color="auto"/>
                                                                        <w:left w:val="none" w:sz="0" w:space="0" w:color="auto"/>
                                                                        <w:bottom w:val="none" w:sz="0" w:space="0" w:color="auto"/>
                                                                        <w:right w:val="none" w:sz="0" w:space="0" w:color="auto"/>
                                                                      </w:divBdr>
                                                                      <w:divsChild>
                                                                        <w:div w:id="1178929886">
                                                                          <w:marLeft w:val="0"/>
                                                                          <w:marRight w:val="0"/>
                                                                          <w:marTop w:val="0"/>
                                                                          <w:marBottom w:val="0"/>
                                                                          <w:divBdr>
                                                                            <w:top w:val="none" w:sz="0" w:space="0" w:color="auto"/>
                                                                            <w:left w:val="none" w:sz="0" w:space="0" w:color="auto"/>
                                                                            <w:bottom w:val="none" w:sz="0" w:space="0" w:color="auto"/>
                                                                            <w:right w:val="none" w:sz="0" w:space="0" w:color="auto"/>
                                                                          </w:divBdr>
                                                                          <w:divsChild>
                                                                            <w:div w:id="832137418">
                                                                              <w:marLeft w:val="540"/>
                                                                              <w:marRight w:val="0"/>
                                                                              <w:marTop w:val="0"/>
                                                                              <w:marBottom w:val="0"/>
                                                                              <w:divBdr>
                                                                                <w:top w:val="none" w:sz="0" w:space="0" w:color="auto"/>
                                                                                <w:left w:val="none" w:sz="0" w:space="0" w:color="auto"/>
                                                                                <w:bottom w:val="none" w:sz="0" w:space="0" w:color="auto"/>
                                                                                <w:right w:val="none" w:sz="0" w:space="0" w:color="auto"/>
                                                                              </w:divBdr>
                                                                              <w:divsChild>
                                                                                <w:div w:id="2060278631">
                                                                                  <w:marLeft w:val="0"/>
                                                                                  <w:marRight w:val="0"/>
                                                                                  <w:marTop w:val="0"/>
                                                                                  <w:marBottom w:val="0"/>
                                                                                  <w:divBdr>
                                                                                    <w:top w:val="none" w:sz="0" w:space="0" w:color="auto"/>
                                                                                    <w:left w:val="none" w:sz="0" w:space="0" w:color="auto"/>
                                                                                    <w:bottom w:val="none" w:sz="0" w:space="0" w:color="auto"/>
                                                                                    <w:right w:val="none" w:sz="0" w:space="0" w:color="auto"/>
                                                                                  </w:divBdr>
                                                                                  <w:divsChild>
                                                                                    <w:div w:id="1049845076">
                                                                                      <w:marLeft w:val="0"/>
                                                                                      <w:marRight w:val="0"/>
                                                                                      <w:marTop w:val="0"/>
                                                                                      <w:marBottom w:val="0"/>
                                                                                      <w:divBdr>
                                                                                        <w:top w:val="none" w:sz="0" w:space="0" w:color="auto"/>
                                                                                        <w:left w:val="none" w:sz="0" w:space="0" w:color="auto"/>
                                                                                        <w:bottom w:val="none" w:sz="0" w:space="0" w:color="auto"/>
                                                                                        <w:right w:val="none" w:sz="0" w:space="0" w:color="auto"/>
                                                                                      </w:divBdr>
                                                                                      <w:divsChild>
                                                                                        <w:div w:id="182107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747216">
      <w:bodyDiv w:val="1"/>
      <w:marLeft w:val="0"/>
      <w:marRight w:val="0"/>
      <w:marTop w:val="0"/>
      <w:marBottom w:val="0"/>
      <w:divBdr>
        <w:top w:val="none" w:sz="0" w:space="0" w:color="auto"/>
        <w:left w:val="none" w:sz="0" w:space="0" w:color="auto"/>
        <w:bottom w:val="none" w:sz="0" w:space="0" w:color="auto"/>
        <w:right w:val="none" w:sz="0" w:space="0" w:color="auto"/>
      </w:divBdr>
      <w:divsChild>
        <w:div w:id="137117996">
          <w:marLeft w:val="1166"/>
          <w:marRight w:val="0"/>
          <w:marTop w:val="115"/>
          <w:marBottom w:val="0"/>
          <w:divBdr>
            <w:top w:val="none" w:sz="0" w:space="0" w:color="auto"/>
            <w:left w:val="none" w:sz="0" w:space="0" w:color="auto"/>
            <w:bottom w:val="none" w:sz="0" w:space="0" w:color="auto"/>
            <w:right w:val="none" w:sz="0" w:space="0" w:color="auto"/>
          </w:divBdr>
        </w:div>
        <w:div w:id="802692368">
          <w:marLeft w:val="1800"/>
          <w:marRight w:val="0"/>
          <w:marTop w:val="96"/>
          <w:marBottom w:val="0"/>
          <w:divBdr>
            <w:top w:val="none" w:sz="0" w:space="0" w:color="auto"/>
            <w:left w:val="none" w:sz="0" w:space="0" w:color="auto"/>
            <w:bottom w:val="none" w:sz="0" w:space="0" w:color="auto"/>
            <w:right w:val="none" w:sz="0" w:space="0" w:color="auto"/>
          </w:divBdr>
        </w:div>
        <w:div w:id="452790066">
          <w:marLeft w:val="1800"/>
          <w:marRight w:val="0"/>
          <w:marTop w:val="96"/>
          <w:marBottom w:val="0"/>
          <w:divBdr>
            <w:top w:val="none" w:sz="0" w:space="0" w:color="auto"/>
            <w:left w:val="none" w:sz="0" w:space="0" w:color="auto"/>
            <w:bottom w:val="none" w:sz="0" w:space="0" w:color="auto"/>
            <w:right w:val="none" w:sz="0" w:space="0" w:color="auto"/>
          </w:divBdr>
        </w:div>
        <w:div w:id="1322390166">
          <w:marLeft w:val="1166"/>
          <w:marRight w:val="0"/>
          <w:marTop w:val="115"/>
          <w:marBottom w:val="0"/>
          <w:divBdr>
            <w:top w:val="none" w:sz="0" w:space="0" w:color="auto"/>
            <w:left w:val="none" w:sz="0" w:space="0" w:color="auto"/>
            <w:bottom w:val="none" w:sz="0" w:space="0" w:color="auto"/>
            <w:right w:val="none" w:sz="0" w:space="0" w:color="auto"/>
          </w:divBdr>
        </w:div>
        <w:div w:id="1045910497">
          <w:marLeft w:val="1800"/>
          <w:marRight w:val="0"/>
          <w:marTop w:val="96"/>
          <w:marBottom w:val="0"/>
          <w:divBdr>
            <w:top w:val="none" w:sz="0" w:space="0" w:color="auto"/>
            <w:left w:val="none" w:sz="0" w:space="0" w:color="auto"/>
            <w:bottom w:val="none" w:sz="0" w:space="0" w:color="auto"/>
            <w:right w:val="none" w:sz="0" w:space="0" w:color="auto"/>
          </w:divBdr>
        </w:div>
        <w:div w:id="1321542550">
          <w:marLeft w:val="1166"/>
          <w:marRight w:val="0"/>
          <w:marTop w:val="115"/>
          <w:marBottom w:val="0"/>
          <w:divBdr>
            <w:top w:val="none" w:sz="0" w:space="0" w:color="auto"/>
            <w:left w:val="none" w:sz="0" w:space="0" w:color="auto"/>
            <w:bottom w:val="none" w:sz="0" w:space="0" w:color="auto"/>
            <w:right w:val="none" w:sz="0" w:space="0" w:color="auto"/>
          </w:divBdr>
        </w:div>
        <w:div w:id="1837843624">
          <w:marLeft w:val="1166"/>
          <w:marRight w:val="0"/>
          <w:marTop w:val="115"/>
          <w:marBottom w:val="0"/>
          <w:divBdr>
            <w:top w:val="none" w:sz="0" w:space="0" w:color="auto"/>
            <w:left w:val="none" w:sz="0" w:space="0" w:color="auto"/>
            <w:bottom w:val="none" w:sz="0" w:space="0" w:color="auto"/>
            <w:right w:val="none" w:sz="0" w:space="0" w:color="auto"/>
          </w:divBdr>
        </w:div>
      </w:divsChild>
    </w:div>
    <w:div w:id="1338075573">
      <w:bodyDiv w:val="1"/>
      <w:marLeft w:val="0"/>
      <w:marRight w:val="0"/>
      <w:marTop w:val="0"/>
      <w:marBottom w:val="0"/>
      <w:divBdr>
        <w:top w:val="none" w:sz="0" w:space="0" w:color="auto"/>
        <w:left w:val="none" w:sz="0" w:space="0" w:color="auto"/>
        <w:bottom w:val="none" w:sz="0" w:space="0" w:color="auto"/>
        <w:right w:val="none" w:sz="0" w:space="0" w:color="auto"/>
      </w:divBdr>
      <w:divsChild>
        <w:div w:id="2011907539">
          <w:marLeft w:val="0"/>
          <w:marRight w:val="0"/>
          <w:marTop w:val="0"/>
          <w:marBottom w:val="0"/>
          <w:divBdr>
            <w:top w:val="none" w:sz="0" w:space="0" w:color="auto"/>
            <w:left w:val="none" w:sz="0" w:space="0" w:color="auto"/>
            <w:bottom w:val="none" w:sz="0" w:space="0" w:color="auto"/>
            <w:right w:val="none" w:sz="0" w:space="0" w:color="auto"/>
          </w:divBdr>
          <w:divsChild>
            <w:div w:id="1232231567">
              <w:marLeft w:val="0"/>
              <w:marRight w:val="0"/>
              <w:marTop w:val="0"/>
              <w:marBottom w:val="0"/>
              <w:divBdr>
                <w:top w:val="none" w:sz="0" w:space="0" w:color="auto"/>
                <w:left w:val="none" w:sz="0" w:space="0" w:color="auto"/>
                <w:bottom w:val="none" w:sz="0" w:space="0" w:color="auto"/>
                <w:right w:val="none" w:sz="0" w:space="0" w:color="auto"/>
              </w:divBdr>
              <w:divsChild>
                <w:div w:id="809251342">
                  <w:marLeft w:val="0"/>
                  <w:marRight w:val="0"/>
                  <w:marTop w:val="0"/>
                  <w:marBottom w:val="0"/>
                  <w:divBdr>
                    <w:top w:val="none" w:sz="0" w:space="0" w:color="auto"/>
                    <w:left w:val="none" w:sz="0" w:space="0" w:color="auto"/>
                    <w:bottom w:val="none" w:sz="0" w:space="0" w:color="auto"/>
                    <w:right w:val="none" w:sz="0" w:space="0" w:color="auto"/>
                  </w:divBdr>
                  <w:divsChild>
                    <w:div w:id="625694183">
                      <w:marLeft w:val="0"/>
                      <w:marRight w:val="0"/>
                      <w:marTop w:val="0"/>
                      <w:marBottom w:val="0"/>
                      <w:divBdr>
                        <w:top w:val="none" w:sz="0" w:space="0" w:color="auto"/>
                        <w:left w:val="none" w:sz="0" w:space="0" w:color="auto"/>
                        <w:bottom w:val="none" w:sz="0" w:space="0" w:color="auto"/>
                        <w:right w:val="none" w:sz="0" w:space="0" w:color="auto"/>
                      </w:divBdr>
                      <w:divsChild>
                        <w:div w:id="196167592">
                          <w:marLeft w:val="0"/>
                          <w:marRight w:val="0"/>
                          <w:marTop w:val="0"/>
                          <w:marBottom w:val="0"/>
                          <w:divBdr>
                            <w:top w:val="none" w:sz="0" w:space="0" w:color="auto"/>
                            <w:left w:val="none" w:sz="0" w:space="0" w:color="auto"/>
                            <w:bottom w:val="none" w:sz="0" w:space="0" w:color="auto"/>
                            <w:right w:val="none" w:sz="0" w:space="0" w:color="auto"/>
                          </w:divBdr>
                          <w:divsChild>
                            <w:div w:id="1731226782">
                              <w:marLeft w:val="0"/>
                              <w:marRight w:val="0"/>
                              <w:marTop w:val="0"/>
                              <w:marBottom w:val="0"/>
                              <w:divBdr>
                                <w:top w:val="none" w:sz="0" w:space="0" w:color="auto"/>
                                <w:left w:val="none" w:sz="0" w:space="0" w:color="auto"/>
                                <w:bottom w:val="none" w:sz="0" w:space="0" w:color="auto"/>
                                <w:right w:val="none" w:sz="0" w:space="0" w:color="auto"/>
                              </w:divBdr>
                              <w:divsChild>
                                <w:div w:id="839806876">
                                  <w:marLeft w:val="0"/>
                                  <w:marRight w:val="0"/>
                                  <w:marTop w:val="0"/>
                                  <w:marBottom w:val="0"/>
                                  <w:divBdr>
                                    <w:top w:val="none" w:sz="0" w:space="0" w:color="auto"/>
                                    <w:left w:val="none" w:sz="0" w:space="0" w:color="auto"/>
                                    <w:bottom w:val="none" w:sz="0" w:space="0" w:color="auto"/>
                                    <w:right w:val="none" w:sz="0" w:space="0" w:color="auto"/>
                                  </w:divBdr>
                                  <w:divsChild>
                                    <w:div w:id="1599823500">
                                      <w:marLeft w:val="0"/>
                                      <w:marRight w:val="0"/>
                                      <w:marTop w:val="0"/>
                                      <w:marBottom w:val="0"/>
                                      <w:divBdr>
                                        <w:top w:val="none" w:sz="0" w:space="0" w:color="auto"/>
                                        <w:left w:val="none" w:sz="0" w:space="0" w:color="auto"/>
                                        <w:bottom w:val="none" w:sz="0" w:space="0" w:color="auto"/>
                                        <w:right w:val="none" w:sz="0" w:space="0" w:color="auto"/>
                                      </w:divBdr>
                                      <w:divsChild>
                                        <w:div w:id="587809612">
                                          <w:marLeft w:val="0"/>
                                          <w:marRight w:val="0"/>
                                          <w:marTop w:val="0"/>
                                          <w:marBottom w:val="0"/>
                                          <w:divBdr>
                                            <w:top w:val="none" w:sz="0" w:space="0" w:color="auto"/>
                                            <w:left w:val="none" w:sz="0" w:space="0" w:color="auto"/>
                                            <w:bottom w:val="none" w:sz="0" w:space="0" w:color="auto"/>
                                            <w:right w:val="none" w:sz="0" w:space="0" w:color="auto"/>
                                          </w:divBdr>
                                          <w:divsChild>
                                            <w:div w:id="555629276">
                                              <w:marLeft w:val="0"/>
                                              <w:marRight w:val="0"/>
                                              <w:marTop w:val="0"/>
                                              <w:marBottom w:val="0"/>
                                              <w:divBdr>
                                                <w:top w:val="none" w:sz="0" w:space="0" w:color="auto"/>
                                                <w:left w:val="none" w:sz="0" w:space="0" w:color="auto"/>
                                                <w:bottom w:val="none" w:sz="0" w:space="0" w:color="auto"/>
                                                <w:right w:val="none" w:sz="0" w:space="0" w:color="auto"/>
                                              </w:divBdr>
                                              <w:divsChild>
                                                <w:div w:id="1330281922">
                                                  <w:marLeft w:val="0"/>
                                                  <w:marRight w:val="0"/>
                                                  <w:marTop w:val="0"/>
                                                  <w:marBottom w:val="0"/>
                                                  <w:divBdr>
                                                    <w:top w:val="none" w:sz="0" w:space="0" w:color="auto"/>
                                                    <w:left w:val="none" w:sz="0" w:space="0" w:color="auto"/>
                                                    <w:bottom w:val="none" w:sz="0" w:space="0" w:color="auto"/>
                                                    <w:right w:val="none" w:sz="0" w:space="0" w:color="auto"/>
                                                  </w:divBdr>
                                                  <w:divsChild>
                                                    <w:div w:id="278032554">
                                                      <w:marLeft w:val="0"/>
                                                      <w:marRight w:val="0"/>
                                                      <w:marTop w:val="0"/>
                                                      <w:marBottom w:val="0"/>
                                                      <w:divBdr>
                                                        <w:top w:val="none" w:sz="0" w:space="0" w:color="auto"/>
                                                        <w:left w:val="none" w:sz="0" w:space="0" w:color="auto"/>
                                                        <w:bottom w:val="none" w:sz="0" w:space="0" w:color="auto"/>
                                                        <w:right w:val="none" w:sz="0" w:space="0" w:color="auto"/>
                                                      </w:divBdr>
                                                      <w:divsChild>
                                                        <w:div w:id="758019297">
                                                          <w:marLeft w:val="0"/>
                                                          <w:marRight w:val="0"/>
                                                          <w:marTop w:val="0"/>
                                                          <w:marBottom w:val="0"/>
                                                          <w:divBdr>
                                                            <w:top w:val="none" w:sz="0" w:space="0" w:color="auto"/>
                                                            <w:left w:val="none" w:sz="0" w:space="0" w:color="auto"/>
                                                            <w:bottom w:val="none" w:sz="0" w:space="0" w:color="auto"/>
                                                            <w:right w:val="none" w:sz="0" w:space="0" w:color="auto"/>
                                                          </w:divBdr>
                                                          <w:divsChild>
                                                            <w:div w:id="1864434316">
                                                              <w:marLeft w:val="0"/>
                                                              <w:marRight w:val="0"/>
                                                              <w:marTop w:val="0"/>
                                                              <w:marBottom w:val="0"/>
                                                              <w:divBdr>
                                                                <w:top w:val="none" w:sz="0" w:space="0" w:color="auto"/>
                                                                <w:left w:val="none" w:sz="0" w:space="0" w:color="auto"/>
                                                                <w:bottom w:val="none" w:sz="0" w:space="0" w:color="auto"/>
                                                                <w:right w:val="none" w:sz="0" w:space="0" w:color="auto"/>
                                                              </w:divBdr>
                                                              <w:divsChild>
                                                                <w:div w:id="1050883852">
                                                                  <w:marLeft w:val="-210"/>
                                                                  <w:marRight w:val="-75"/>
                                                                  <w:marTop w:val="0"/>
                                                                  <w:marBottom w:val="0"/>
                                                                  <w:divBdr>
                                                                    <w:top w:val="none" w:sz="0" w:space="0" w:color="auto"/>
                                                                    <w:left w:val="none" w:sz="0" w:space="0" w:color="auto"/>
                                                                    <w:bottom w:val="none" w:sz="0" w:space="0" w:color="auto"/>
                                                                    <w:right w:val="none" w:sz="0" w:space="0" w:color="auto"/>
                                                                  </w:divBdr>
                                                                  <w:divsChild>
                                                                    <w:div w:id="790129403">
                                                                      <w:marLeft w:val="0"/>
                                                                      <w:marRight w:val="0"/>
                                                                      <w:marTop w:val="0"/>
                                                                      <w:marBottom w:val="0"/>
                                                                      <w:divBdr>
                                                                        <w:top w:val="none" w:sz="0" w:space="0" w:color="auto"/>
                                                                        <w:left w:val="none" w:sz="0" w:space="0" w:color="auto"/>
                                                                        <w:bottom w:val="none" w:sz="0" w:space="0" w:color="auto"/>
                                                                        <w:right w:val="none" w:sz="0" w:space="0" w:color="auto"/>
                                                                      </w:divBdr>
                                                                      <w:divsChild>
                                                                        <w:div w:id="1960255658">
                                                                          <w:marLeft w:val="0"/>
                                                                          <w:marRight w:val="0"/>
                                                                          <w:marTop w:val="0"/>
                                                                          <w:marBottom w:val="0"/>
                                                                          <w:divBdr>
                                                                            <w:top w:val="none" w:sz="0" w:space="0" w:color="auto"/>
                                                                            <w:left w:val="none" w:sz="0" w:space="0" w:color="auto"/>
                                                                            <w:bottom w:val="none" w:sz="0" w:space="0" w:color="auto"/>
                                                                            <w:right w:val="none" w:sz="0" w:space="0" w:color="auto"/>
                                                                          </w:divBdr>
                                                                          <w:divsChild>
                                                                            <w:div w:id="1046485133">
                                                                              <w:marLeft w:val="540"/>
                                                                              <w:marRight w:val="0"/>
                                                                              <w:marTop w:val="0"/>
                                                                              <w:marBottom w:val="0"/>
                                                                              <w:divBdr>
                                                                                <w:top w:val="none" w:sz="0" w:space="0" w:color="auto"/>
                                                                                <w:left w:val="none" w:sz="0" w:space="0" w:color="auto"/>
                                                                                <w:bottom w:val="none" w:sz="0" w:space="0" w:color="auto"/>
                                                                                <w:right w:val="none" w:sz="0" w:space="0" w:color="auto"/>
                                                                              </w:divBdr>
                                                                              <w:divsChild>
                                                                                <w:div w:id="1763143122">
                                                                                  <w:marLeft w:val="0"/>
                                                                                  <w:marRight w:val="0"/>
                                                                                  <w:marTop w:val="0"/>
                                                                                  <w:marBottom w:val="0"/>
                                                                                  <w:divBdr>
                                                                                    <w:top w:val="none" w:sz="0" w:space="0" w:color="auto"/>
                                                                                    <w:left w:val="none" w:sz="0" w:space="0" w:color="auto"/>
                                                                                    <w:bottom w:val="none" w:sz="0" w:space="0" w:color="auto"/>
                                                                                    <w:right w:val="none" w:sz="0" w:space="0" w:color="auto"/>
                                                                                  </w:divBdr>
                                                                                  <w:divsChild>
                                                                                    <w:div w:id="485631421">
                                                                                      <w:marLeft w:val="0"/>
                                                                                      <w:marRight w:val="0"/>
                                                                                      <w:marTop w:val="0"/>
                                                                                      <w:marBottom w:val="0"/>
                                                                                      <w:divBdr>
                                                                                        <w:top w:val="none" w:sz="0" w:space="0" w:color="auto"/>
                                                                                        <w:left w:val="none" w:sz="0" w:space="0" w:color="auto"/>
                                                                                        <w:bottom w:val="none" w:sz="0" w:space="0" w:color="auto"/>
                                                                                        <w:right w:val="none" w:sz="0" w:space="0" w:color="auto"/>
                                                                                      </w:divBdr>
                                                                                      <w:divsChild>
                                                                                        <w:div w:id="88972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111E-E357-4CEC-954B-ED478B06F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8B1F6-30F2-4CDD-9F29-4A88FD8C6EEF}">
  <ds:schemaRef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E4502A90-9006-43BC-9081-6B6A9CD04BBB}">
  <ds:schemaRefs>
    <ds:schemaRef ds:uri="http://schemas.microsoft.com/sharepoint/v3/contenttype/forms"/>
  </ds:schemaRefs>
</ds:datastoreItem>
</file>

<file path=customXml/itemProps4.xml><?xml version="1.0" encoding="utf-8"?>
<ds:datastoreItem xmlns:ds="http://schemas.openxmlformats.org/officeDocument/2006/customXml" ds:itemID="{9789DD59-3738-47F3-B0F4-F6348332334D}">
  <ds:schemaRefs>
    <ds:schemaRef ds:uri="http://schemas.microsoft.com/sharepoint/events"/>
  </ds:schemaRefs>
</ds:datastoreItem>
</file>

<file path=customXml/itemProps5.xml><?xml version="1.0" encoding="utf-8"?>
<ds:datastoreItem xmlns:ds="http://schemas.openxmlformats.org/officeDocument/2006/customXml" ds:itemID="{7A88CDE5-D7AF-4898-93BB-CB0C8F5C9880}">
  <ds:schemaRefs>
    <ds:schemaRef ds:uri="Microsoft.SharePoint.Taxonomy.ContentTypeSync"/>
  </ds:schemaRefs>
</ds:datastoreItem>
</file>

<file path=customXml/itemProps6.xml><?xml version="1.0" encoding="utf-8"?>
<ds:datastoreItem xmlns:ds="http://schemas.openxmlformats.org/officeDocument/2006/customXml" ds:itemID="{AFDF0D35-6E1C-4194-98A8-A368C35C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2019-11-08T19:46:00Z</dcterms:created>
  <dcterms:modified xsi:type="dcterms:W3CDTF">2019-11-08T19:46:00Z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