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725" w:rsidRPr="006A74FB" w:rsidRDefault="000B5725" w:rsidP="000B5725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6A74F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</w:t>
      </w:r>
      <w:r w:rsidR="00414897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</w:t>
      </w:r>
      <w:r w:rsidRPr="006A74F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="00AE33D2" w:rsidRPr="00AE33D2">
        <w:rPr>
          <w:rFonts w:ascii="Arial" w:eastAsia="SimSun" w:hAnsi="Arial" w:cs="Arial"/>
          <w:b/>
          <w:bCs/>
          <w:sz w:val="28"/>
          <w:szCs w:val="28"/>
          <w:lang w:val="en-US"/>
        </w:rPr>
        <w:t>R4-1916186</w:t>
      </w:r>
    </w:p>
    <w:p w:rsidR="000B5725" w:rsidRPr="006A74FB" w:rsidRDefault="00414897" w:rsidP="000B5725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NV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US, </w:t>
      </w:r>
      <w:r w:rsidR="007F3D45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0B5725"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0B5725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0B5725" w:rsidRPr="000B5725" w:rsidRDefault="000B5725" w:rsidP="001D6A62">
      <w:pPr>
        <w:pStyle w:val="CRCoverPage"/>
        <w:tabs>
          <w:tab w:val="right" w:pos="9639"/>
        </w:tabs>
        <w:spacing w:after="0"/>
        <w:rPr>
          <w:b/>
          <w:noProof/>
          <w:sz w:val="22"/>
          <w:lang w:val="en-US"/>
        </w:rPr>
      </w:pPr>
    </w:p>
    <w:p w:rsidR="00FD052C" w:rsidRPr="001D6A62" w:rsidRDefault="00FD052C">
      <w:pPr>
        <w:rPr>
          <w:rFonts w:ascii="Arial" w:hAnsi="Arial" w:cs="Arial"/>
        </w:rPr>
      </w:pPr>
    </w:p>
    <w:p w:rsidR="007F3D45" w:rsidRDefault="00B50132">
      <w:pPr>
        <w:spacing w:after="60"/>
        <w:ind w:left="1985" w:hanging="1985"/>
        <w:rPr>
          <w:rFonts w:ascii="Arial" w:hAnsi="Arial" w:cs="Arial"/>
          <w:b/>
        </w:rPr>
      </w:pPr>
      <w:r w:rsidRPr="00172AE7">
        <w:rPr>
          <w:rFonts w:ascii="Arial" w:hAnsi="Arial" w:cs="Arial" w:hint="eastAsia"/>
          <w:b/>
          <w:lang w:eastAsia="ja-JP"/>
        </w:rPr>
        <w:t>Title</w:t>
      </w:r>
      <w:r w:rsidRPr="00172AE7">
        <w:rPr>
          <w:rFonts w:ascii="Arial" w:hAnsi="Arial" w:cs="Arial"/>
          <w:b/>
        </w:rPr>
        <w:t>:</w:t>
      </w:r>
      <w:r w:rsidRPr="00172AE7">
        <w:rPr>
          <w:rFonts w:ascii="Arial" w:hAnsi="Arial" w:cs="Arial"/>
          <w:bCs/>
        </w:rPr>
        <w:tab/>
      </w:r>
      <w:r w:rsidR="00414897">
        <w:rPr>
          <w:rFonts w:ascii="Arial" w:hAnsi="Arial" w:cs="Arial"/>
          <w:sz w:val="22"/>
        </w:rPr>
        <w:t xml:space="preserve">Reply </w:t>
      </w:r>
      <w:r w:rsidR="007F3D45" w:rsidRPr="004B2C76">
        <w:rPr>
          <w:rFonts w:ascii="Arial" w:hAnsi="Arial" w:cs="Arial"/>
          <w:sz w:val="22"/>
        </w:rPr>
        <w:t xml:space="preserve">LS on </w:t>
      </w:r>
      <w:r w:rsidR="00414897">
        <w:rPr>
          <w:rFonts w:ascii="Arial" w:hAnsi="Arial" w:cs="Arial"/>
          <w:sz w:val="22"/>
        </w:rPr>
        <w:t>MOP for intra-band EN-DC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BA721D">
        <w:rPr>
          <w:rFonts w:ascii="Arial" w:hAnsi="Arial" w:cs="Arial"/>
          <w:b/>
        </w:rPr>
        <w:t>Response to:</w:t>
      </w:r>
      <w:r w:rsidRPr="00BA721D">
        <w:rPr>
          <w:rFonts w:ascii="Arial" w:hAnsi="Arial" w:cs="Arial"/>
          <w:bCs/>
        </w:rPr>
        <w:tab/>
      </w:r>
      <w:r w:rsidR="00F40A98">
        <w:rPr>
          <w:rFonts w:ascii="Arial" w:hAnsi="Arial" w:cs="Arial"/>
          <w:bCs/>
        </w:rPr>
        <w:t>R4-19</w:t>
      </w:r>
      <w:r w:rsidR="00414897">
        <w:rPr>
          <w:rFonts w:ascii="Arial" w:hAnsi="Arial" w:cs="Arial"/>
          <w:bCs/>
        </w:rPr>
        <w:t>10719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85C51">
        <w:rPr>
          <w:rFonts w:ascii="Arial" w:hAnsi="Arial" w:cs="Arial"/>
          <w:bCs/>
        </w:rPr>
        <w:t>Rel</w:t>
      </w:r>
      <w:r w:rsidR="00414897">
        <w:rPr>
          <w:rFonts w:ascii="Arial" w:hAnsi="Arial" w:cs="Arial"/>
          <w:bCs/>
        </w:rPr>
        <w:t>ease 15</w:t>
      </w:r>
    </w:p>
    <w:p w:rsidR="00FD052C" w:rsidRDefault="00443C1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14897">
        <w:rPr>
          <w:rFonts w:ascii="Arial" w:hAnsi="Arial" w:cs="Arial"/>
        </w:rPr>
        <w:t>5GS_NR_LTE-UEConTest</w:t>
      </w:r>
    </w:p>
    <w:p w:rsidR="00443C1F" w:rsidRDefault="00443C1F">
      <w:pPr>
        <w:spacing w:after="60"/>
        <w:ind w:left="1985" w:hanging="1985"/>
        <w:rPr>
          <w:rFonts w:ascii="Arial" w:hAnsi="Arial" w:cs="Arial"/>
          <w:b/>
        </w:rPr>
      </w:pPr>
    </w:p>
    <w:p w:rsidR="00FD052C" w:rsidRPr="00E604C4" w:rsidRDefault="00FD052C" w:rsidP="00AE33D2">
      <w:pPr>
        <w:keepLines/>
        <w:ind w:left="1985" w:hanging="1985"/>
        <w:rPr>
          <w:rFonts w:ascii="Arial" w:hAnsi="Arial" w:cs="Arial"/>
          <w:bCs/>
        </w:rPr>
      </w:pPr>
      <w:r w:rsidRPr="00E604C4">
        <w:rPr>
          <w:rFonts w:ascii="Arial" w:hAnsi="Arial" w:cs="Arial"/>
          <w:b/>
        </w:rPr>
        <w:t>Source:</w:t>
      </w:r>
      <w:r w:rsidRPr="00E604C4">
        <w:rPr>
          <w:rFonts w:ascii="Arial" w:hAnsi="Arial" w:cs="Arial"/>
          <w:bCs/>
        </w:rPr>
        <w:tab/>
      </w:r>
      <w:r w:rsidR="00AE33D2">
        <w:rPr>
          <w:rFonts w:ascii="Arial" w:hAnsi="Arial" w:cs="Arial"/>
          <w:bCs/>
        </w:rPr>
        <w:t>RAN WG</w:t>
      </w:r>
      <w:r w:rsidR="00AE33D2">
        <w:rPr>
          <w:rFonts w:ascii="Arial" w:hAnsi="Arial" w:cs="Arial"/>
          <w:bCs/>
        </w:rPr>
        <w:t>4</w:t>
      </w:r>
      <w:bookmarkStart w:id="0" w:name="_GoBack"/>
      <w:bookmarkEnd w:id="0"/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F3D45">
        <w:rPr>
          <w:rFonts w:ascii="Arial" w:hAnsi="Arial" w:cs="Arial"/>
          <w:bCs/>
        </w:rPr>
        <w:t>RAN WG</w:t>
      </w:r>
      <w:r w:rsidR="00414897">
        <w:rPr>
          <w:rFonts w:ascii="Arial" w:hAnsi="Arial" w:cs="Arial"/>
          <w:bCs/>
        </w:rPr>
        <w:t>5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FD052C" w:rsidRDefault="00FD052C" w:rsidP="00F07989">
      <w:pPr>
        <w:tabs>
          <w:tab w:val="left" w:pos="3848"/>
        </w:tabs>
        <w:spacing w:after="60"/>
        <w:rPr>
          <w:rFonts w:ascii="Arial" w:hAnsi="Arial" w:cs="Arial"/>
          <w:bCs/>
        </w:rPr>
      </w:pPr>
    </w:p>
    <w:p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D052C" w:rsidRDefault="00FD052C" w:rsidP="008842FB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604C4">
        <w:rPr>
          <w:rFonts w:cs="Arial"/>
          <w:b w:val="0"/>
          <w:bCs/>
        </w:rPr>
        <w:t>Gene Fong</w:t>
      </w:r>
    </w:p>
    <w:p w:rsidR="008842FB" w:rsidRPr="008842FB" w:rsidRDefault="00FD052C" w:rsidP="008842F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8842FB">
        <w:rPr>
          <w:rFonts w:cs="Arial"/>
          <w:lang w:val="de-DE"/>
        </w:rPr>
        <w:t>E-mail Address:</w:t>
      </w:r>
      <w:r w:rsidRPr="008842FB">
        <w:rPr>
          <w:rFonts w:cs="Arial"/>
          <w:b w:val="0"/>
          <w:bCs/>
          <w:lang w:val="de-DE"/>
        </w:rPr>
        <w:tab/>
      </w:r>
      <w:hyperlink r:id="rId7" w:history="1">
        <w:r w:rsidR="00E604C4">
          <w:rPr>
            <w:rStyle w:val="Hyperlink"/>
            <w:rFonts w:cs="Arial"/>
            <w:b w:val="0"/>
            <w:bCs/>
            <w:lang w:val="de-DE"/>
          </w:rPr>
          <w:t>gfong</w:t>
        </w:r>
        <w:r w:rsidR="00B50132">
          <w:rPr>
            <w:rStyle w:val="Hyperlink"/>
            <w:rFonts w:cs="Arial"/>
            <w:b w:val="0"/>
            <w:bCs/>
            <w:lang w:val="de-DE"/>
          </w:rPr>
          <w:t>[</w:t>
        </w:r>
        <w:r w:rsidR="008752E2">
          <w:rPr>
            <w:rStyle w:val="Hyperlink"/>
            <w:rFonts w:cs="Arial"/>
            <w:b w:val="0"/>
            <w:bCs/>
            <w:lang w:val="de-DE"/>
          </w:rPr>
          <w:t>at</w:t>
        </w:r>
        <w:r w:rsidR="00B50132">
          <w:rPr>
            <w:rStyle w:val="Hyperlink"/>
            <w:rFonts w:cs="Arial"/>
            <w:b w:val="0"/>
            <w:bCs/>
            <w:lang w:val="de-DE"/>
          </w:rPr>
          <w:t>]</w:t>
        </w:r>
        <w:r w:rsidR="00E604C4">
          <w:rPr>
            <w:rStyle w:val="Hyperlink"/>
            <w:rFonts w:cs="Arial"/>
            <w:b w:val="0"/>
            <w:bCs/>
            <w:lang w:val="de-DE"/>
          </w:rPr>
          <w:t>qti</w:t>
        </w:r>
        <w:r w:rsidR="00B50132">
          <w:rPr>
            <w:rStyle w:val="Hyperlink"/>
            <w:rFonts w:cs="Arial"/>
            <w:b w:val="0"/>
            <w:bCs/>
            <w:lang w:val="de-DE"/>
          </w:rPr>
          <w:t>[dot]</w:t>
        </w:r>
        <w:r w:rsidR="008752E2">
          <w:rPr>
            <w:rStyle w:val="Hyperlink"/>
            <w:rFonts w:cs="Arial"/>
            <w:b w:val="0"/>
            <w:bCs/>
            <w:lang w:val="de-DE"/>
          </w:rPr>
          <w:t>qualcomm[dot]com</w:t>
        </w:r>
      </w:hyperlink>
    </w:p>
    <w:p w:rsidR="00FD052C" w:rsidRPr="008842FB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FD052C" w:rsidRPr="00404656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6717B">
        <w:rPr>
          <w:rFonts w:ascii="Arial" w:hAnsi="Arial" w:cs="Arial"/>
          <w:b/>
        </w:rPr>
        <w:t>Attachments:</w:t>
      </w:r>
      <w:r w:rsidR="004C5927" w:rsidRPr="0056717B">
        <w:rPr>
          <w:rFonts w:ascii="Arial" w:hAnsi="Arial" w:cs="Arial"/>
          <w:bCs/>
        </w:rPr>
        <w:tab/>
      </w:r>
      <w:r w:rsidR="004C5927" w:rsidRPr="0056717B">
        <w:rPr>
          <w:rFonts w:ascii="Arial" w:hAnsi="Arial" w:cs="Arial"/>
          <w:bCs/>
        </w:rPr>
        <w:tab/>
      </w:r>
      <w:r w:rsidR="00F40A98">
        <w:rPr>
          <w:rFonts w:ascii="Arial" w:hAnsi="Arial" w:cs="Arial"/>
          <w:bCs/>
        </w:rPr>
        <w:t>N/A</w:t>
      </w:r>
    </w:p>
    <w:p w:rsidR="00FD052C" w:rsidRPr="00780551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:rsidR="00FD052C" w:rsidRDefault="00FD052C">
      <w:pPr>
        <w:rPr>
          <w:rFonts w:ascii="Arial" w:hAnsi="Arial" w:cs="Arial"/>
        </w:rPr>
      </w:pPr>
    </w:p>
    <w:p w:rsidR="008842FB" w:rsidRDefault="008842FB" w:rsidP="008842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14897" w:rsidRDefault="00F40A98" w:rsidP="00F66B2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would like to thank </w:t>
      </w:r>
      <w:r w:rsidR="00F66B2D">
        <w:rPr>
          <w:rFonts w:ascii="Arial" w:hAnsi="Arial" w:cs="Arial"/>
        </w:rPr>
        <w:t>RAN</w:t>
      </w:r>
      <w:r w:rsidR="00414897">
        <w:rPr>
          <w:rFonts w:ascii="Arial" w:hAnsi="Arial" w:cs="Arial"/>
        </w:rPr>
        <w:t>5</w:t>
      </w:r>
      <w:r w:rsidR="00F66B2D">
        <w:rPr>
          <w:rFonts w:ascii="Arial" w:hAnsi="Arial" w:cs="Arial"/>
        </w:rPr>
        <w:t xml:space="preserve"> for the LS on </w:t>
      </w:r>
      <w:r w:rsidR="00414897">
        <w:rPr>
          <w:rFonts w:ascii="Arial" w:hAnsi="Arial" w:cs="Arial"/>
        </w:rPr>
        <w:t>MOP for intra-band EN-DC</w:t>
      </w:r>
      <w:r w:rsidR="00F66B2D">
        <w:rPr>
          <w:rFonts w:ascii="Arial" w:hAnsi="Arial" w:cs="Arial"/>
        </w:rPr>
        <w:t xml:space="preserve">.  </w:t>
      </w:r>
      <w:r w:rsidR="00414897">
        <w:rPr>
          <w:rFonts w:ascii="Arial" w:hAnsi="Arial" w:cs="Arial"/>
        </w:rPr>
        <w:t xml:space="preserve">RAN4 acknowledges that the MPR </w:t>
      </w:r>
      <w:r w:rsidR="007A298F">
        <w:rPr>
          <w:rFonts w:ascii="Arial" w:hAnsi="Arial" w:cs="Arial"/>
        </w:rPr>
        <w:t xml:space="preserve">or A-MPR </w:t>
      </w:r>
      <w:r w:rsidR="00414897">
        <w:rPr>
          <w:rFonts w:ascii="Arial" w:hAnsi="Arial" w:cs="Arial"/>
        </w:rPr>
        <w:t>for a UE configured for intra-band EN-DC with concurrent transmission in both cell groups is always greater than zero in the Release 15 38.101-3 specifications.</w:t>
      </w:r>
      <w:r w:rsidR="007A298F">
        <w:rPr>
          <w:rFonts w:ascii="Arial" w:hAnsi="Arial" w:cs="Arial"/>
        </w:rPr>
        <w:t xml:space="preserve">  Therefore, RAN4 agrees with the assessment from RAN5 that </w:t>
      </w:r>
      <w:r w:rsidR="00C77005">
        <w:rPr>
          <w:rFonts w:ascii="Arial" w:hAnsi="Arial" w:cs="Arial"/>
        </w:rPr>
        <w:t xml:space="preserve">EN-DC </w:t>
      </w:r>
      <w:r w:rsidR="007A298F">
        <w:rPr>
          <w:rFonts w:ascii="Arial" w:hAnsi="Arial" w:cs="Arial"/>
        </w:rPr>
        <w:t xml:space="preserve">MOP cannot be tested.  </w:t>
      </w:r>
      <w:r w:rsidR="00ED02C5">
        <w:rPr>
          <w:rFonts w:ascii="Arial" w:hAnsi="Arial" w:cs="Arial"/>
        </w:rPr>
        <w:t>RAN4 would like to note for information, however, that it is currently investigating methods to reduce MPR for intra-band EN-DC that may enable 0 dB MPR waveforms in a future release of the specification.</w:t>
      </w:r>
    </w:p>
    <w:p w:rsidR="00C5634D" w:rsidRPr="00CF7565" w:rsidRDefault="00CF7565" w:rsidP="00F66B2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On the calculation of MPR</w:t>
      </w:r>
      <w:r w:rsidRPr="00CF7565">
        <w:rPr>
          <w:rFonts w:ascii="Arial" w:hAnsi="Arial" w:cs="Arial"/>
          <w:vertAlign w:val="subscript"/>
        </w:rPr>
        <w:t>tot</w:t>
      </w:r>
      <w:r>
        <w:rPr>
          <w:rFonts w:ascii="Arial" w:hAnsi="Arial" w:cs="Arial"/>
        </w:rPr>
        <w:t>, RAN4 would like to confirm that it is MPR</w:t>
      </w:r>
      <w:r w:rsidRPr="00CF7565">
        <w:rPr>
          <w:rFonts w:ascii="Arial" w:hAnsi="Arial" w:cs="Arial"/>
          <w:vertAlign w:val="subscript"/>
        </w:rPr>
        <w:t xml:space="preserve">E_UTRA </w:t>
      </w:r>
      <w:r>
        <w:rPr>
          <w:rFonts w:ascii="Arial" w:hAnsi="Arial" w:cs="Arial"/>
        </w:rPr>
        <w:t>that is used rather than MPR</w:t>
      </w:r>
      <w:r w:rsidRPr="00CF7565">
        <w:rPr>
          <w:rFonts w:ascii="Arial" w:hAnsi="Arial" w:cs="Arial"/>
          <w:vertAlign w:val="subscript"/>
        </w:rPr>
        <w:t>c</w:t>
      </w:r>
      <w:r>
        <w:rPr>
          <w:rFonts w:ascii="Arial" w:hAnsi="Arial" w:cs="Arial"/>
        </w:rPr>
        <w:t>.  As observed by RAN5, MPR</w:t>
      </w:r>
      <w:r w:rsidRPr="00CF7565">
        <w:rPr>
          <w:rFonts w:ascii="Arial" w:hAnsi="Arial" w:cs="Arial"/>
          <w:vertAlign w:val="subscript"/>
        </w:rPr>
        <w:t>E_UTRA</w:t>
      </w:r>
      <w:r>
        <w:rPr>
          <w:rFonts w:ascii="Arial" w:hAnsi="Arial" w:cs="Arial"/>
        </w:rPr>
        <w:t xml:space="preserve"> contains MPR</w:t>
      </w:r>
      <w:r w:rsidRPr="00CF7565">
        <w:rPr>
          <w:rFonts w:ascii="Arial" w:hAnsi="Arial" w:cs="Arial"/>
          <w:vertAlign w:val="subscript"/>
        </w:rPr>
        <w:t>ENDC</w:t>
      </w:r>
      <w:r>
        <w:rPr>
          <w:rFonts w:ascii="Arial" w:hAnsi="Arial" w:cs="Arial"/>
        </w:rPr>
        <w:t xml:space="preserve"> and may therefore b</w:t>
      </w:r>
      <w:r w:rsidR="00C77005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larger than MPR</w:t>
      </w:r>
      <w:r w:rsidRPr="00CF7565">
        <w:rPr>
          <w:rFonts w:ascii="Arial" w:hAnsi="Arial" w:cs="Arial"/>
          <w:vertAlign w:val="subscript"/>
        </w:rPr>
        <w:t>c</w:t>
      </w:r>
      <w:r>
        <w:rPr>
          <w:rFonts w:ascii="Arial" w:hAnsi="Arial" w:cs="Arial"/>
        </w:rPr>
        <w:t>.  The MPR</w:t>
      </w:r>
      <w:r w:rsidRPr="00CF7565">
        <w:rPr>
          <w:rFonts w:ascii="Arial" w:hAnsi="Arial" w:cs="Arial"/>
          <w:vertAlign w:val="subscript"/>
        </w:rPr>
        <w:t>tot</w:t>
      </w:r>
      <w:r>
        <w:rPr>
          <w:rFonts w:ascii="Arial" w:hAnsi="Arial" w:cs="Arial"/>
        </w:rPr>
        <w:t xml:space="preserve"> calculation is intended to capture the required power backoff to enable simultaneous transmission on both cell groups which is not well represented by MPR</w:t>
      </w:r>
      <w:r w:rsidRPr="00CF7565">
        <w:rPr>
          <w:rFonts w:ascii="Arial" w:hAnsi="Arial" w:cs="Arial"/>
          <w:vertAlign w:val="subscript"/>
        </w:rPr>
        <w:t>c</w:t>
      </w:r>
      <w:r>
        <w:rPr>
          <w:rFonts w:ascii="Arial" w:hAnsi="Arial" w:cs="Arial"/>
        </w:rPr>
        <w:t xml:space="preserve"> alone</w:t>
      </w:r>
      <w:r w:rsidR="00C77005">
        <w:rPr>
          <w:rFonts w:ascii="Arial" w:hAnsi="Arial" w:cs="Arial"/>
        </w:rPr>
        <w:t xml:space="preserve"> since it only considers single carrier transmission</w:t>
      </w:r>
      <w:r>
        <w:rPr>
          <w:rFonts w:ascii="Arial" w:hAnsi="Arial" w:cs="Arial"/>
        </w:rPr>
        <w:t>.</w:t>
      </w:r>
    </w:p>
    <w:p w:rsidR="00414897" w:rsidRDefault="001F4226" w:rsidP="00F66B2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a UE not indicating </w:t>
      </w:r>
      <w:r w:rsidRPr="001F4226">
        <w:rPr>
          <w:rFonts w:ascii="Arial" w:hAnsi="Arial" w:cs="Arial"/>
          <w:i/>
        </w:rPr>
        <w:t>dualPA-Architecture</w:t>
      </w:r>
      <w:r>
        <w:rPr>
          <w:rFonts w:ascii="Arial" w:hAnsi="Arial" w:cs="Arial"/>
        </w:rPr>
        <w:t xml:space="preserve">, the MPR is generally unbounded when the UE is scheduled for dual simultaneous uplink transmission as noted by RAN5.  However, in the particular configuration of DC_(n)71AA, the general statement is superceded and the MPR is instead given by the A-MPR requirement.  </w:t>
      </w:r>
    </w:p>
    <w:p w:rsidR="00ED02C5" w:rsidRDefault="00ED02C5">
      <w:pPr>
        <w:spacing w:after="120"/>
        <w:rPr>
          <w:rFonts w:ascii="Arial" w:hAnsi="Arial" w:cs="Arial"/>
          <w:b/>
        </w:rPr>
      </w:pPr>
    </w:p>
    <w:p w:rsidR="00FD052C" w:rsidRPr="00850D3E" w:rsidRDefault="00FD052C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2. Actions:</w:t>
      </w:r>
    </w:p>
    <w:p w:rsidR="001F79DA" w:rsidRDefault="00F66B2D" w:rsidP="00870EF0">
      <w:pPr>
        <w:spacing w:after="120"/>
        <w:rPr>
          <w:rFonts w:ascii="Arial" w:hAnsi="Arial" w:cs="Arial"/>
        </w:rPr>
      </w:pPr>
      <w:r w:rsidRPr="00F66B2D">
        <w:rPr>
          <w:rFonts w:ascii="Arial" w:hAnsi="Arial" w:cs="Arial"/>
        </w:rPr>
        <w:t>RAN4 respectfully asks RAN</w:t>
      </w:r>
      <w:r w:rsidR="001F4226">
        <w:rPr>
          <w:rFonts w:ascii="Arial" w:hAnsi="Arial" w:cs="Arial"/>
        </w:rPr>
        <w:t>5</w:t>
      </w:r>
      <w:r w:rsidRPr="00F66B2D">
        <w:rPr>
          <w:rFonts w:ascii="Arial" w:hAnsi="Arial" w:cs="Arial"/>
        </w:rPr>
        <w:t xml:space="preserve"> to take the above </w:t>
      </w:r>
      <w:r w:rsidR="001F4226">
        <w:rPr>
          <w:rFonts w:ascii="Arial" w:hAnsi="Arial" w:cs="Arial"/>
        </w:rPr>
        <w:t xml:space="preserve">responses </w:t>
      </w:r>
      <w:r w:rsidRPr="00F66B2D">
        <w:rPr>
          <w:rFonts w:ascii="Arial" w:hAnsi="Arial" w:cs="Arial"/>
        </w:rPr>
        <w:t>into consideration in its further work.</w:t>
      </w:r>
    </w:p>
    <w:p w:rsidR="00F66B2D" w:rsidRPr="00871B73" w:rsidRDefault="00F66B2D" w:rsidP="00870EF0">
      <w:pPr>
        <w:spacing w:after="120"/>
        <w:rPr>
          <w:rFonts w:ascii="Arial" w:hAnsi="Arial" w:cs="Arial"/>
        </w:rPr>
      </w:pPr>
    </w:p>
    <w:p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</w:t>
      </w:r>
      <w:r w:rsidR="00BF05E6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317888" w:rsidRPr="004A2241" w:rsidRDefault="00317888" w:rsidP="00317888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055E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Athens, GR</w:t>
      </w:r>
    </w:p>
    <w:p w:rsidR="00414897" w:rsidRPr="004A2241" w:rsidRDefault="00414897" w:rsidP="00414897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</w:t>
      </w:r>
      <w:r w:rsidR="001F4226">
        <w:rPr>
          <w:rFonts w:ascii="Arial" w:hAnsi="Arial" w:cs="Arial"/>
          <w:bCs/>
        </w:rPr>
        <w:t>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ED02C5">
        <w:rPr>
          <w:rFonts w:ascii="Arial" w:hAnsi="Arial" w:cs="Arial"/>
          <w:bCs/>
        </w:rPr>
        <w:t>0</w:t>
      </w:r>
      <w:r w:rsidRPr="00055E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 w:rsidR="00ED02C5">
        <w:rPr>
          <w:rFonts w:ascii="Arial" w:hAnsi="Arial" w:cs="Arial"/>
          <w:bCs/>
        </w:rPr>
        <w:t>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02C5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 w:rsidR="00ED02C5">
        <w:rPr>
          <w:rFonts w:ascii="Arial" w:hAnsi="Arial" w:cs="Arial"/>
          <w:bCs/>
        </w:rPr>
        <w:tab/>
        <w:t>China, CN</w:t>
      </w:r>
    </w:p>
    <w:p w:rsidR="00317888" w:rsidRDefault="00317888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74A5B" w:rsidRDefault="00574A5B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74A5B" w:rsidRDefault="00574A5B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</w:rPr>
      </w:pPr>
    </w:p>
    <w:p w:rsidR="00586A71" w:rsidRDefault="00586A71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  <w:highlight w:val="yellow"/>
        </w:rPr>
      </w:pPr>
    </w:p>
    <w:p w:rsidR="00586A71" w:rsidRDefault="00586A71" w:rsidP="004A2241">
      <w:pPr>
        <w:tabs>
          <w:tab w:val="left" w:pos="3402"/>
        </w:tabs>
        <w:spacing w:after="120"/>
        <w:ind w:left="2268" w:hanging="2268"/>
        <w:rPr>
          <w:rFonts w:ascii="Arial" w:hAnsi="Arial" w:cs="Arial"/>
          <w:bCs/>
          <w:highlight w:val="yellow"/>
        </w:rPr>
      </w:pPr>
    </w:p>
    <w:sectPr w:rsidR="00586A7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7A99" w:rsidRDefault="00957A99">
      <w:r>
        <w:separator/>
      </w:r>
    </w:p>
  </w:endnote>
  <w:endnote w:type="continuationSeparator" w:id="0">
    <w:p w:rsidR="00957A99" w:rsidRDefault="00957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7A99" w:rsidRDefault="00957A99">
      <w:r>
        <w:separator/>
      </w:r>
    </w:p>
  </w:footnote>
  <w:footnote w:type="continuationSeparator" w:id="0">
    <w:p w:rsidR="00957A99" w:rsidRDefault="00957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F4A71"/>
    <w:multiLevelType w:val="hybridMultilevel"/>
    <w:tmpl w:val="0A861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35710"/>
    <w:multiLevelType w:val="hybridMultilevel"/>
    <w:tmpl w:val="846489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EB34CD3"/>
    <w:multiLevelType w:val="hybridMultilevel"/>
    <w:tmpl w:val="2372238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6134141"/>
    <w:multiLevelType w:val="hybridMultilevel"/>
    <w:tmpl w:val="225ED03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253573B"/>
    <w:multiLevelType w:val="hybridMultilevel"/>
    <w:tmpl w:val="8BA019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A72725"/>
    <w:multiLevelType w:val="hybridMultilevel"/>
    <w:tmpl w:val="DF1CCD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5EF4F13"/>
    <w:multiLevelType w:val="hybridMultilevel"/>
    <w:tmpl w:val="9758A65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8CE68C9"/>
    <w:multiLevelType w:val="hybridMultilevel"/>
    <w:tmpl w:val="45E6F238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E640612"/>
    <w:multiLevelType w:val="hybridMultilevel"/>
    <w:tmpl w:val="07243E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3"/>
  </w:num>
  <w:num w:numId="7">
    <w:abstractNumId w:val="10"/>
  </w:num>
  <w:num w:numId="8">
    <w:abstractNumId w:val="3"/>
  </w:num>
  <w:num w:numId="9">
    <w:abstractNumId w:val="4"/>
  </w:num>
  <w:num w:numId="10">
    <w:abstractNumId w:val="11"/>
  </w:num>
  <w:num w:numId="11">
    <w:abstractNumId w:val="7"/>
  </w:num>
  <w:num w:numId="12">
    <w:abstractNumId w:val="1"/>
  </w:num>
  <w:num w:numId="13">
    <w:abstractNumId w:val="12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4400"/>
    <w:rsid w:val="00015383"/>
    <w:rsid w:val="00050EAA"/>
    <w:rsid w:val="00055E53"/>
    <w:rsid w:val="000606A2"/>
    <w:rsid w:val="00060C2F"/>
    <w:rsid w:val="000710E6"/>
    <w:rsid w:val="000B10B6"/>
    <w:rsid w:val="000B5725"/>
    <w:rsid w:val="000E6496"/>
    <w:rsid w:val="000E6A55"/>
    <w:rsid w:val="00100BEF"/>
    <w:rsid w:val="001166D1"/>
    <w:rsid w:val="00122970"/>
    <w:rsid w:val="00122B00"/>
    <w:rsid w:val="00146DDE"/>
    <w:rsid w:val="00172AE7"/>
    <w:rsid w:val="00183BA9"/>
    <w:rsid w:val="001B415A"/>
    <w:rsid w:val="001D6A62"/>
    <w:rsid w:val="001E026F"/>
    <w:rsid w:val="001E6C1F"/>
    <w:rsid w:val="001E79DA"/>
    <w:rsid w:val="001F4226"/>
    <w:rsid w:val="001F70D6"/>
    <w:rsid w:val="001F79DA"/>
    <w:rsid w:val="00203C64"/>
    <w:rsid w:val="00204B78"/>
    <w:rsid w:val="00211D2B"/>
    <w:rsid w:val="00214313"/>
    <w:rsid w:val="00223617"/>
    <w:rsid w:val="0022777E"/>
    <w:rsid w:val="00234EF6"/>
    <w:rsid w:val="0023797E"/>
    <w:rsid w:val="00257E29"/>
    <w:rsid w:val="002919CB"/>
    <w:rsid w:val="002A368B"/>
    <w:rsid w:val="002D40DD"/>
    <w:rsid w:val="002E1B77"/>
    <w:rsid w:val="00311E80"/>
    <w:rsid w:val="00317888"/>
    <w:rsid w:val="00321A7C"/>
    <w:rsid w:val="003227FB"/>
    <w:rsid w:val="00352959"/>
    <w:rsid w:val="00352BFF"/>
    <w:rsid w:val="00380377"/>
    <w:rsid w:val="003D0A3D"/>
    <w:rsid w:val="003D34F5"/>
    <w:rsid w:val="003F5CCC"/>
    <w:rsid w:val="003F6D6B"/>
    <w:rsid w:val="00404656"/>
    <w:rsid w:val="00414897"/>
    <w:rsid w:val="004360A9"/>
    <w:rsid w:val="00443C1F"/>
    <w:rsid w:val="004469FF"/>
    <w:rsid w:val="00450C1C"/>
    <w:rsid w:val="004A2241"/>
    <w:rsid w:val="004A2EFE"/>
    <w:rsid w:val="004C1909"/>
    <w:rsid w:val="004C4B8B"/>
    <w:rsid w:val="004C5927"/>
    <w:rsid w:val="004F1F9A"/>
    <w:rsid w:val="005055F2"/>
    <w:rsid w:val="0050623E"/>
    <w:rsid w:val="00514EA6"/>
    <w:rsid w:val="00527F13"/>
    <w:rsid w:val="0056717B"/>
    <w:rsid w:val="00574A5B"/>
    <w:rsid w:val="00586A71"/>
    <w:rsid w:val="005950B3"/>
    <w:rsid w:val="005A4FE7"/>
    <w:rsid w:val="005A5830"/>
    <w:rsid w:val="005A69C9"/>
    <w:rsid w:val="005B07DE"/>
    <w:rsid w:val="005E0B2A"/>
    <w:rsid w:val="005E17AB"/>
    <w:rsid w:val="005F543F"/>
    <w:rsid w:val="00620674"/>
    <w:rsid w:val="00627E01"/>
    <w:rsid w:val="0063505F"/>
    <w:rsid w:val="00641895"/>
    <w:rsid w:val="006571B7"/>
    <w:rsid w:val="006664C8"/>
    <w:rsid w:val="0067122D"/>
    <w:rsid w:val="006772D9"/>
    <w:rsid w:val="00690DEB"/>
    <w:rsid w:val="00696C68"/>
    <w:rsid w:val="006A021C"/>
    <w:rsid w:val="006B026C"/>
    <w:rsid w:val="006B1735"/>
    <w:rsid w:val="006B5CB0"/>
    <w:rsid w:val="006C4D56"/>
    <w:rsid w:val="006D72E9"/>
    <w:rsid w:val="00711B88"/>
    <w:rsid w:val="00736E13"/>
    <w:rsid w:val="00747169"/>
    <w:rsid w:val="007517A9"/>
    <w:rsid w:val="00780551"/>
    <w:rsid w:val="007A298F"/>
    <w:rsid w:val="007B40CD"/>
    <w:rsid w:val="007B6632"/>
    <w:rsid w:val="007E0FC1"/>
    <w:rsid w:val="007F3D45"/>
    <w:rsid w:val="007F4CF7"/>
    <w:rsid w:val="007F4E4E"/>
    <w:rsid w:val="008030BB"/>
    <w:rsid w:val="00813049"/>
    <w:rsid w:val="00827D8C"/>
    <w:rsid w:val="00831964"/>
    <w:rsid w:val="00850D3E"/>
    <w:rsid w:val="008518D5"/>
    <w:rsid w:val="00857095"/>
    <w:rsid w:val="00870EF0"/>
    <w:rsid w:val="00871B73"/>
    <w:rsid w:val="008752E2"/>
    <w:rsid w:val="008842FB"/>
    <w:rsid w:val="008C0F37"/>
    <w:rsid w:val="00904715"/>
    <w:rsid w:val="00913229"/>
    <w:rsid w:val="00917F07"/>
    <w:rsid w:val="00926782"/>
    <w:rsid w:val="00933020"/>
    <w:rsid w:val="00942972"/>
    <w:rsid w:val="009560DB"/>
    <w:rsid w:val="00957A99"/>
    <w:rsid w:val="00962F79"/>
    <w:rsid w:val="009A5357"/>
    <w:rsid w:val="009C18D0"/>
    <w:rsid w:val="009C2DAB"/>
    <w:rsid w:val="009C5D9E"/>
    <w:rsid w:val="009D7926"/>
    <w:rsid w:val="00A16024"/>
    <w:rsid w:val="00A23151"/>
    <w:rsid w:val="00A340EC"/>
    <w:rsid w:val="00A34C4F"/>
    <w:rsid w:val="00A45990"/>
    <w:rsid w:val="00A6340F"/>
    <w:rsid w:val="00A80562"/>
    <w:rsid w:val="00A90F63"/>
    <w:rsid w:val="00AA0C9D"/>
    <w:rsid w:val="00AB1F7E"/>
    <w:rsid w:val="00AD5594"/>
    <w:rsid w:val="00AE33D2"/>
    <w:rsid w:val="00AF2A57"/>
    <w:rsid w:val="00B0023E"/>
    <w:rsid w:val="00B028D9"/>
    <w:rsid w:val="00B1465C"/>
    <w:rsid w:val="00B421D0"/>
    <w:rsid w:val="00B50132"/>
    <w:rsid w:val="00B5246A"/>
    <w:rsid w:val="00B70183"/>
    <w:rsid w:val="00B839DA"/>
    <w:rsid w:val="00B85C51"/>
    <w:rsid w:val="00BA535C"/>
    <w:rsid w:val="00BA721D"/>
    <w:rsid w:val="00BC05CD"/>
    <w:rsid w:val="00BC7059"/>
    <w:rsid w:val="00BE67E3"/>
    <w:rsid w:val="00BF05E6"/>
    <w:rsid w:val="00C12D96"/>
    <w:rsid w:val="00C43CAC"/>
    <w:rsid w:val="00C55BD0"/>
    <w:rsid w:val="00C5634D"/>
    <w:rsid w:val="00C72FCF"/>
    <w:rsid w:val="00C73085"/>
    <w:rsid w:val="00C741B3"/>
    <w:rsid w:val="00C77005"/>
    <w:rsid w:val="00C8757A"/>
    <w:rsid w:val="00C95ED0"/>
    <w:rsid w:val="00CA13F6"/>
    <w:rsid w:val="00CB66BB"/>
    <w:rsid w:val="00CB7555"/>
    <w:rsid w:val="00CE22DC"/>
    <w:rsid w:val="00CF2735"/>
    <w:rsid w:val="00CF4DB4"/>
    <w:rsid w:val="00CF7565"/>
    <w:rsid w:val="00CF7E27"/>
    <w:rsid w:val="00D04C2E"/>
    <w:rsid w:val="00D04D02"/>
    <w:rsid w:val="00D2179D"/>
    <w:rsid w:val="00D242DB"/>
    <w:rsid w:val="00D55E06"/>
    <w:rsid w:val="00D631A0"/>
    <w:rsid w:val="00D71B34"/>
    <w:rsid w:val="00D722C2"/>
    <w:rsid w:val="00D84E5C"/>
    <w:rsid w:val="00DA16E2"/>
    <w:rsid w:val="00DA4040"/>
    <w:rsid w:val="00DD53A1"/>
    <w:rsid w:val="00DF05FE"/>
    <w:rsid w:val="00DF3D87"/>
    <w:rsid w:val="00DF4BD2"/>
    <w:rsid w:val="00DF6231"/>
    <w:rsid w:val="00E27DFF"/>
    <w:rsid w:val="00E3210E"/>
    <w:rsid w:val="00E3483E"/>
    <w:rsid w:val="00E41A8B"/>
    <w:rsid w:val="00E604C4"/>
    <w:rsid w:val="00E67086"/>
    <w:rsid w:val="00E8378F"/>
    <w:rsid w:val="00EA0FB1"/>
    <w:rsid w:val="00EA3B3A"/>
    <w:rsid w:val="00EB1AC2"/>
    <w:rsid w:val="00EC3842"/>
    <w:rsid w:val="00EC387C"/>
    <w:rsid w:val="00ED02C5"/>
    <w:rsid w:val="00ED24B3"/>
    <w:rsid w:val="00EE6D8B"/>
    <w:rsid w:val="00EF1CDC"/>
    <w:rsid w:val="00EF2A6C"/>
    <w:rsid w:val="00EF3834"/>
    <w:rsid w:val="00EF7E9A"/>
    <w:rsid w:val="00F033CB"/>
    <w:rsid w:val="00F07989"/>
    <w:rsid w:val="00F14FD2"/>
    <w:rsid w:val="00F32BF2"/>
    <w:rsid w:val="00F40A98"/>
    <w:rsid w:val="00F40D73"/>
    <w:rsid w:val="00F4377A"/>
    <w:rsid w:val="00F5200C"/>
    <w:rsid w:val="00F53C07"/>
    <w:rsid w:val="00F540E5"/>
    <w:rsid w:val="00F55682"/>
    <w:rsid w:val="00F63001"/>
    <w:rsid w:val="00F66B2D"/>
    <w:rsid w:val="00F8136C"/>
    <w:rsid w:val="00F85644"/>
    <w:rsid w:val="00F961BA"/>
    <w:rsid w:val="00FC732C"/>
    <w:rsid w:val="00FD006B"/>
    <w:rsid w:val="00FD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7F6A9A3"/>
  <w15:chartTrackingRefBased/>
  <w15:docId w15:val="{6AC150BF-1BF6-4B37-AE11-6FAB66E91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TAH">
    <w:name w:val="TAH"/>
    <w:basedOn w:val="TAC"/>
    <w:link w:val="TAHCar"/>
    <w:rsid w:val="006A021C"/>
    <w:rPr>
      <w:b/>
    </w:rPr>
  </w:style>
  <w:style w:type="paragraph" w:customStyle="1" w:styleId="TAC">
    <w:name w:val="TAC"/>
    <w:basedOn w:val="Normal"/>
    <w:link w:val="TACChar"/>
    <w:rsid w:val="006A021C"/>
    <w:pPr>
      <w:keepNext/>
      <w:keepLines/>
      <w:jc w:val="center"/>
    </w:pPr>
    <w:rPr>
      <w:rFonts w:ascii="Arial" w:eastAsia="MS Mincho" w:hAnsi="Arial"/>
      <w:sz w:val="18"/>
    </w:rPr>
  </w:style>
  <w:style w:type="character" w:customStyle="1" w:styleId="TACChar">
    <w:name w:val="TAC Char"/>
    <w:link w:val="TAC"/>
    <w:rsid w:val="006A021C"/>
    <w:rPr>
      <w:rFonts w:ascii="Arial" w:eastAsia="MS Mincho" w:hAnsi="Arial"/>
      <w:sz w:val="18"/>
      <w:lang w:val="en-GB"/>
    </w:rPr>
  </w:style>
  <w:style w:type="character" w:customStyle="1" w:styleId="TAHCar">
    <w:name w:val="TAH Car"/>
    <w:link w:val="TAH"/>
    <w:rsid w:val="006A021C"/>
    <w:rPr>
      <w:rFonts w:ascii="Arial" w:eastAsia="MS Mincho" w:hAnsi="Arial"/>
      <w:b/>
      <w:sz w:val="18"/>
      <w:lang w:val="en-GB"/>
    </w:rPr>
  </w:style>
  <w:style w:type="table" w:styleId="TableGrid">
    <w:name w:val="Table Grid"/>
    <w:basedOn w:val="TableNormal"/>
    <w:uiPriority w:val="39"/>
    <w:rsid w:val="00311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D6A62"/>
    <w:pPr>
      <w:spacing w:after="120"/>
    </w:pPr>
    <w:rPr>
      <w:rFonts w:ascii="Arial" w:eastAsia="MS Mincho" w:hAnsi="Arial"/>
      <w:lang w:val="en-GB"/>
    </w:rPr>
  </w:style>
  <w:style w:type="paragraph" w:customStyle="1" w:styleId="Guidance">
    <w:name w:val="Guidance"/>
    <w:basedOn w:val="Normal"/>
    <w:link w:val="GuidanceChar"/>
    <w:rsid w:val="001E026F"/>
    <w:pPr>
      <w:spacing w:after="180"/>
    </w:pPr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E026F"/>
    <w:rPr>
      <w:rFonts w:eastAsia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kahiro.arai.kw@nttdocom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1994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2490371</vt:i4>
      </vt:variant>
      <vt:variant>
        <vt:i4>0</vt:i4>
      </vt:variant>
      <vt:variant>
        <vt:i4>0</vt:i4>
      </vt:variant>
      <vt:variant>
        <vt:i4>5</vt:i4>
      </vt:variant>
      <vt:variant>
        <vt:lpwstr>mailto:takahiro.arai.kw@nttdocomo.com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2</cp:revision>
  <cp:lastPrinted>2002-04-23T16:10:00Z</cp:lastPrinted>
  <dcterms:created xsi:type="dcterms:W3CDTF">2019-11-24T18:18:00Z</dcterms:created>
  <dcterms:modified xsi:type="dcterms:W3CDTF">2019-11-24T18:18:00Z</dcterms:modified>
</cp:coreProperties>
</file>