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E7980E" w14:textId="7158A4C4" w:rsidR="003B61A8" w:rsidRDefault="003B61A8" w:rsidP="003B61A8">
      <w:pPr>
        <w:pStyle w:val="Header"/>
        <w:tabs>
          <w:tab w:val="right" w:pos="9356"/>
          <w:tab w:val="right" w:pos="10206"/>
        </w:tabs>
        <w:rPr>
          <w:rFonts w:cs="Arial"/>
          <w:i/>
          <w:sz w:val="24"/>
        </w:rPr>
      </w:pPr>
      <w:bookmarkStart w:id="0" w:name="_Toc491868096"/>
      <w:r>
        <w:rPr>
          <w:rFonts w:cs="Arial"/>
          <w:sz w:val="24"/>
        </w:rPr>
        <w:t xml:space="preserve">TSG-RAN Working Group 4 (Radio) meeting </w:t>
      </w:r>
      <w:r w:rsidR="00BF1C81">
        <w:rPr>
          <w:rFonts w:cs="Arial"/>
          <w:sz w:val="24"/>
        </w:rPr>
        <w:t>#</w:t>
      </w:r>
      <w:r w:rsidR="001B0597">
        <w:rPr>
          <w:rFonts w:cs="Arial"/>
          <w:sz w:val="24"/>
        </w:rPr>
        <w:t>92</w:t>
      </w:r>
      <w:r w:rsidR="00DA2DBA">
        <w:rPr>
          <w:rFonts w:cs="Arial"/>
          <w:sz w:val="24"/>
        </w:rPr>
        <w:t>-bis</w:t>
      </w:r>
      <w:r>
        <w:rPr>
          <w:rFonts w:cs="Arial"/>
          <w:i/>
          <w:sz w:val="24"/>
        </w:rPr>
        <w:tab/>
      </w:r>
      <w:r>
        <w:rPr>
          <w:rFonts w:cs="Arial"/>
          <w:iCs/>
          <w:sz w:val="24"/>
        </w:rPr>
        <w:t>R4-</w:t>
      </w:r>
      <w:r w:rsidR="00202663">
        <w:rPr>
          <w:rFonts w:cs="Arial"/>
          <w:iCs/>
          <w:sz w:val="24"/>
        </w:rPr>
        <w:t>1911836</w:t>
      </w:r>
      <w:bookmarkStart w:id="1" w:name="_GoBack"/>
      <w:bookmarkEnd w:id="1"/>
    </w:p>
    <w:p w14:paraId="1BC12648" w14:textId="74CE2D61" w:rsidR="003B61A8" w:rsidRDefault="00DA2DBA" w:rsidP="003B61A8">
      <w:pPr>
        <w:pStyle w:val="Header"/>
        <w:tabs>
          <w:tab w:val="right" w:pos="10206"/>
        </w:tabs>
        <w:spacing w:after="120"/>
        <w:rPr>
          <w:rFonts w:cs="Arial"/>
          <w:sz w:val="24"/>
        </w:rPr>
      </w:pPr>
      <w:r>
        <w:rPr>
          <w:rFonts w:cs="Arial"/>
          <w:sz w:val="24"/>
        </w:rPr>
        <w:t>Chongqing</w:t>
      </w:r>
      <w:r w:rsidR="0062745C">
        <w:rPr>
          <w:rFonts w:cs="Arial"/>
          <w:sz w:val="24"/>
        </w:rPr>
        <w:t xml:space="preserve">, </w:t>
      </w:r>
      <w:r>
        <w:rPr>
          <w:rFonts w:cs="Arial"/>
          <w:sz w:val="24"/>
        </w:rPr>
        <w:t>China</w:t>
      </w:r>
      <w:r w:rsidR="003B61A8">
        <w:rPr>
          <w:rFonts w:cs="Arial"/>
          <w:sz w:val="24"/>
        </w:rPr>
        <w:t xml:space="preserve">, </w:t>
      </w:r>
      <w:r>
        <w:rPr>
          <w:rFonts w:cs="Arial"/>
          <w:sz w:val="24"/>
        </w:rPr>
        <w:t>14</w:t>
      </w:r>
      <w:r w:rsidR="00A6396C" w:rsidRPr="007170B2">
        <w:rPr>
          <w:rFonts w:cs="Arial"/>
          <w:sz w:val="24"/>
          <w:vertAlign w:val="superscript"/>
        </w:rPr>
        <w:t>th</w:t>
      </w:r>
      <w:r w:rsidR="00A6396C">
        <w:rPr>
          <w:rFonts w:cs="Arial"/>
          <w:sz w:val="24"/>
          <w:vertAlign w:val="superscript"/>
        </w:rPr>
        <w:t xml:space="preserve"> </w:t>
      </w:r>
      <w:r w:rsidR="004B372C">
        <w:rPr>
          <w:rFonts w:cs="Arial"/>
          <w:sz w:val="24"/>
        </w:rPr>
        <w:t xml:space="preserve">– </w:t>
      </w:r>
      <w:r>
        <w:rPr>
          <w:rFonts w:cs="Arial"/>
          <w:sz w:val="24"/>
        </w:rPr>
        <w:t>18</w:t>
      </w:r>
      <w:r w:rsidR="00A6396C" w:rsidRPr="00E448DE">
        <w:rPr>
          <w:rFonts w:cs="Arial"/>
          <w:sz w:val="24"/>
          <w:vertAlign w:val="superscript"/>
        </w:rPr>
        <w:t>th</w:t>
      </w:r>
      <w:r w:rsidR="00A6396C">
        <w:rPr>
          <w:rFonts w:cs="Arial"/>
          <w:sz w:val="24"/>
        </w:rPr>
        <w:t xml:space="preserve"> </w:t>
      </w:r>
      <w:r>
        <w:rPr>
          <w:rFonts w:cs="Arial"/>
          <w:sz w:val="24"/>
        </w:rPr>
        <w:t>October</w:t>
      </w:r>
      <w:r w:rsidR="00A6396C">
        <w:rPr>
          <w:rFonts w:cs="Arial"/>
          <w:sz w:val="24"/>
        </w:rPr>
        <w:t xml:space="preserve"> </w:t>
      </w:r>
      <w:r w:rsidR="003B61A8">
        <w:rPr>
          <w:rFonts w:cs="Arial"/>
          <w:sz w:val="24"/>
        </w:rPr>
        <w:t>201</w:t>
      </w:r>
      <w:r w:rsidR="00CD110C">
        <w:rPr>
          <w:rFonts w:cs="Arial"/>
          <w:sz w:val="24"/>
        </w:rPr>
        <w:t>9</w:t>
      </w:r>
    </w:p>
    <w:p w14:paraId="5BE65FC9" w14:textId="77777777" w:rsidR="003B61A8" w:rsidRDefault="003B61A8" w:rsidP="003B61A8">
      <w:pPr>
        <w:spacing w:after="120"/>
        <w:ind w:left="1985" w:hanging="1985"/>
        <w:rPr>
          <w:rFonts w:ascii="Arial" w:hAnsi="Arial" w:cs="Arial"/>
          <w:b/>
        </w:rPr>
      </w:pPr>
    </w:p>
    <w:p w14:paraId="2FF594BC" w14:textId="77777777" w:rsidR="003B61A8" w:rsidRPr="00CD5405" w:rsidRDefault="003B61A8" w:rsidP="003B61A8">
      <w:pPr>
        <w:spacing w:after="120"/>
        <w:ind w:left="1985" w:hanging="1985"/>
        <w:rPr>
          <w:rFonts w:ascii="Arial" w:hAnsi="Arial" w:cs="Arial"/>
          <w:bCs/>
        </w:rPr>
      </w:pPr>
      <w:r>
        <w:rPr>
          <w:rFonts w:ascii="Arial" w:hAnsi="Arial" w:cs="Arial"/>
          <w:b/>
        </w:rPr>
        <w:t>Source:</w:t>
      </w:r>
      <w:r>
        <w:rPr>
          <w:rFonts w:ascii="Arial" w:hAnsi="Arial" w:cs="Arial"/>
          <w:b/>
        </w:rPr>
        <w:tab/>
      </w:r>
      <w:r>
        <w:rPr>
          <w:rFonts w:ascii="Arial" w:hAnsi="Arial" w:cs="Arial"/>
          <w:bCs/>
        </w:rPr>
        <w:t>Ericsson</w:t>
      </w:r>
    </w:p>
    <w:p w14:paraId="7B57CDA7" w14:textId="2A292D74" w:rsidR="003B61A8" w:rsidRDefault="003B61A8" w:rsidP="003B61A8">
      <w:pPr>
        <w:spacing w:after="120"/>
        <w:ind w:left="1985" w:hanging="1985"/>
        <w:rPr>
          <w:rFonts w:ascii="Arial" w:hAnsi="Arial" w:cs="Arial"/>
          <w:bCs/>
          <w:color w:val="FF0000"/>
        </w:rPr>
      </w:pPr>
      <w:r>
        <w:rPr>
          <w:rFonts w:ascii="Arial" w:hAnsi="Arial" w:cs="Arial"/>
          <w:b/>
        </w:rPr>
        <w:t>Title:</w:t>
      </w:r>
      <w:r>
        <w:rPr>
          <w:rFonts w:ascii="Arial" w:hAnsi="Arial" w:cs="Arial"/>
          <w:b/>
        </w:rPr>
        <w:tab/>
      </w:r>
      <w:r w:rsidR="00AC275F">
        <w:rPr>
          <w:rFonts w:ascii="Arial" w:hAnsi="Arial" w:cs="Arial"/>
        </w:rPr>
        <w:t>Overview of r</w:t>
      </w:r>
      <w:r w:rsidR="00500DAC">
        <w:rPr>
          <w:rFonts w:ascii="Arial" w:hAnsi="Arial" w:cs="Arial"/>
        </w:rPr>
        <w:t xml:space="preserve">eferences to internal </w:t>
      </w:r>
      <w:r w:rsidR="00B92729">
        <w:rPr>
          <w:rFonts w:ascii="Arial" w:hAnsi="Arial" w:cs="Arial"/>
        </w:rPr>
        <w:t>technical reports</w:t>
      </w:r>
      <w:r w:rsidR="00AC275F">
        <w:rPr>
          <w:rFonts w:ascii="Arial" w:hAnsi="Arial" w:cs="Arial"/>
        </w:rPr>
        <w:t xml:space="preserve"> </w:t>
      </w:r>
      <w:r w:rsidR="00F53987">
        <w:rPr>
          <w:rFonts w:ascii="Arial" w:hAnsi="Arial" w:cs="Arial"/>
        </w:rPr>
        <w:t xml:space="preserve">(TR xx.800 series) </w:t>
      </w:r>
      <w:r w:rsidR="00AC275F">
        <w:rPr>
          <w:rFonts w:ascii="Arial" w:hAnsi="Arial" w:cs="Arial"/>
        </w:rPr>
        <w:t>in TS 38.141-2</w:t>
      </w:r>
    </w:p>
    <w:p w14:paraId="72798C4E" w14:textId="6839DABF" w:rsidR="003B61A8" w:rsidRPr="00155B44" w:rsidRDefault="003B61A8" w:rsidP="003B61A8">
      <w:pPr>
        <w:spacing w:after="120"/>
        <w:ind w:left="1985" w:hanging="1985"/>
        <w:rPr>
          <w:rFonts w:ascii="Arial" w:hAnsi="Arial" w:cs="Arial"/>
          <w:bCs/>
          <w:color w:val="FF0000"/>
          <w:lang w:val="sv-SE"/>
        </w:rPr>
      </w:pPr>
      <w:r w:rsidRPr="00155B44">
        <w:rPr>
          <w:rFonts w:ascii="Arial" w:hAnsi="Arial" w:cs="Arial"/>
          <w:b/>
          <w:lang w:val="sv-SE"/>
        </w:rPr>
        <w:t>Agenda item:</w:t>
      </w:r>
      <w:r w:rsidRPr="00155B44">
        <w:rPr>
          <w:rFonts w:ascii="Arial" w:hAnsi="Arial" w:cs="Arial"/>
          <w:b/>
          <w:lang w:val="sv-SE"/>
        </w:rPr>
        <w:tab/>
      </w:r>
      <w:r w:rsidR="00142229">
        <w:rPr>
          <w:rFonts w:ascii="Arial" w:hAnsi="Arial" w:cs="Arial"/>
          <w:bCs/>
          <w:lang w:val="sv-SE"/>
        </w:rPr>
        <w:t>6.8.2</w:t>
      </w:r>
    </w:p>
    <w:p w14:paraId="3C088A4A" w14:textId="68007356" w:rsidR="003B61A8" w:rsidRDefault="003B61A8" w:rsidP="003B61A8">
      <w:pPr>
        <w:spacing w:after="120"/>
        <w:ind w:left="1985" w:hanging="1985"/>
        <w:rPr>
          <w:rFonts w:ascii="Arial" w:hAnsi="Arial" w:cs="Arial"/>
          <w:bCs/>
          <w:color w:val="FF0000"/>
        </w:rPr>
      </w:pPr>
      <w:r>
        <w:rPr>
          <w:rFonts w:ascii="Arial" w:hAnsi="Arial" w:cs="Arial"/>
          <w:b/>
        </w:rPr>
        <w:t>Document for:</w:t>
      </w:r>
      <w:r>
        <w:rPr>
          <w:rFonts w:ascii="Arial" w:hAnsi="Arial" w:cs="Arial"/>
          <w:b/>
        </w:rPr>
        <w:tab/>
      </w:r>
      <w:r w:rsidR="0062745C" w:rsidRPr="0062745C">
        <w:rPr>
          <w:rFonts w:ascii="Arial" w:hAnsi="Arial" w:cs="Arial"/>
        </w:rPr>
        <w:t>Discussion</w:t>
      </w:r>
    </w:p>
    <w:p w14:paraId="2EAE1FC3" w14:textId="77777777" w:rsidR="003B61A8" w:rsidRDefault="003B61A8" w:rsidP="003B61A8">
      <w:pPr>
        <w:pBdr>
          <w:bottom w:val="single" w:sz="4" w:space="1" w:color="auto"/>
        </w:pBdr>
        <w:rPr>
          <w:rFonts w:ascii="Arial" w:hAnsi="Arial" w:cs="Arial"/>
        </w:rPr>
      </w:pPr>
    </w:p>
    <w:p w14:paraId="69053E60" w14:textId="77777777" w:rsidR="003B61A8" w:rsidRDefault="003B61A8" w:rsidP="003B61A8">
      <w:pPr>
        <w:pStyle w:val="Heading1"/>
        <w:keepLines w:val="0"/>
        <w:numPr>
          <w:ilvl w:val="0"/>
          <w:numId w:val="5"/>
        </w:numPr>
        <w:pBdr>
          <w:top w:val="none" w:sz="0" w:space="0" w:color="auto"/>
        </w:pBdr>
        <w:spacing w:before="0" w:after="240"/>
        <w:ind w:right="284" w:hanging="720"/>
      </w:pPr>
      <w:r>
        <w:t>Introduction</w:t>
      </w:r>
    </w:p>
    <w:p w14:paraId="168DA47F" w14:textId="3B24FCE1" w:rsidR="00843454" w:rsidRDefault="0062745C" w:rsidP="00155B44">
      <w:pPr>
        <w:pStyle w:val="BodyText"/>
      </w:pPr>
      <w:r>
        <w:t>At the last RAN4 meeting (RAN4#</w:t>
      </w:r>
      <w:r w:rsidR="0022173F">
        <w:t xml:space="preserve">92 </w:t>
      </w:r>
      <w:r>
        <w:t xml:space="preserve">in </w:t>
      </w:r>
      <w:r w:rsidR="0022173F">
        <w:t>Lju</w:t>
      </w:r>
      <w:r w:rsidR="00901507">
        <w:t>bljana</w:t>
      </w:r>
      <w:r>
        <w:t>)</w:t>
      </w:r>
      <w:r w:rsidR="00155B44">
        <w:t xml:space="preserve"> </w:t>
      </w:r>
      <w:r w:rsidR="00901507">
        <w:t xml:space="preserve">a way-forward was </w:t>
      </w:r>
      <w:r w:rsidR="00C5429A">
        <w:t>agreed in [4].</w:t>
      </w:r>
      <w:r w:rsidR="00524DE4">
        <w:t xml:space="preserve"> In the way-forward </w:t>
      </w:r>
      <w:r w:rsidR="00604BF7">
        <w:t xml:space="preserve">multiple options have been </w:t>
      </w:r>
      <w:r w:rsidR="00887043">
        <w:t>identified</w:t>
      </w:r>
      <w:r w:rsidR="00604BF7">
        <w:t xml:space="preserve"> to resolve the issue related to referring from technical </w:t>
      </w:r>
      <w:r w:rsidR="00887043">
        <w:t xml:space="preserve">specifications </w:t>
      </w:r>
      <w:r w:rsidR="00604BF7">
        <w:t xml:space="preserve">to internal </w:t>
      </w:r>
      <w:r w:rsidR="00887043">
        <w:t xml:space="preserve">technical </w:t>
      </w:r>
      <w:r w:rsidR="00604BF7">
        <w:t>reports</w:t>
      </w:r>
      <w:r w:rsidR="00887043">
        <w:t xml:space="preserve">. </w:t>
      </w:r>
      <w:r>
        <w:t xml:space="preserve"> </w:t>
      </w:r>
      <w:r w:rsidR="00CF21EF">
        <w:t xml:space="preserve">The current </w:t>
      </w:r>
      <w:r w:rsidR="005A1794">
        <w:t xml:space="preserve">version of TS 37.145-2 and TS 38.141-2 have references to </w:t>
      </w:r>
      <w:r w:rsidR="00C91C4A">
        <w:t>3GPP internal technical reports (xx.800 series</w:t>
      </w:r>
      <w:r w:rsidR="00E30B99">
        <w:t>). According to drafting rules</w:t>
      </w:r>
      <w:r w:rsidR="00272272">
        <w:t xml:space="preserve"> </w:t>
      </w:r>
      <w:r w:rsidR="006F08DC">
        <w:t xml:space="preserve">described in </w:t>
      </w:r>
      <w:r w:rsidR="00272272">
        <w:t>T</w:t>
      </w:r>
      <w:r w:rsidR="00E575E0">
        <w:t>R 21</w:t>
      </w:r>
      <w:r w:rsidR="006F08DC">
        <w:t>.801</w:t>
      </w:r>
      <w:r w:rsidR="00283312">
        <w:t xml:space="preserve"> [5]</w:t>
      </w:r>
      <w:r w:rsidR="006F08DC">
        <w:t>, it is not advised to have references to internal technical reports</w:t>
      </w:r>
      <w:r w:rsidR="00D55C6A">
        <w:t xml:space="preserve"> in a technical specification. </w:t>
      </w:r>
      <w:r w:rsidR="00272272">
        <w:t xml:space="preserve"> </w:t>
      </w:r>
    </w:p>
    <w:p w14:paraId="52EC68F0" w14:textId="03EDAAC3" w:rsidR="00843454" w:rsidRPr="007D610C" w:rsidRDefault="00503659" w:rsidP="0062745C">
      <w:pPr>
        <w:pStyle w:val="BodyText"/>
      </w:pPr>
      <w:r>
        <w:t>In t</w:t>
      </w:r>
      <w:r w:rsidR="00843454">
        <w:t>his contribution</w:t>
      </w:r>
      <w:r>
        <w:t xml:space="preserve"> we summarize the </w:t>
      </w:r>
      <w:r w:rsidR="00233DFB">
        <w:t>references from TR 38.141-2 to internal technical reports</w:t>
      </w:r>
      <w:r w:rsidR="00776EA2">
        <w:t xml:space="preserve"> and continue to elabor</w:t>
      </w:r>
      <w:r w:rsidR="00106D0B">
        <w:t>ate around the consequences for each option.</w:t>
      </w:r>
      <w:r w:rsidR="00233DFB">
        <w:t xml:space="preserve"> </w:t>
      </w:r>
    </w:p>
    <w:p w14:paraId="52829FFE" w14:textId="77777777" w:rsidR="003B61A8" w:rsidRDefault="003B61A8" w:rsidP="003B61A8">
      <w:pPr>
        <w:pBdr>
          <w:bottom w:val="single" w:sz="4" w:space="1" w:color="auto"/>
        </w:pBdr>
        <w:rPr>
          <w:rFonts w:ascii="Arial" w:hAnsi="Arial" w:cs="Arial"/>
        </w:rPr>
      </w:pPr>
    </w:p>
    <w:p w14:paraId="7840C72F" w14:textId="77777777" w:rsidR="003B61A8" w:rsidRDefault="003B61A8" w:rsidP="003B61A8">
      <w:pPr>
        <w:pStyle w:val="Heading1"/>
        <w:keepLines w:val="0"/>
        <w:numPr>
          <w:ilvl w:val="0"/>
          <w:numId w:val="5"/>
        </w:numPr>
        <w:pBdr>
          <w:top w:val="none" w:sz="0" w:space="0" w:color="auto"/>
        </w:pBdr>
        <w:spacing w:before="0" w:after="240"/>
        <w:ind w:right="284" w:hanging="720"/>
      </w:pPr>
      <w:r>
        <w:t>Discussion</w:t>
      </w:r>
    </w:p>
    <w:p w14:paraId="7D751A60" w14:textId="48B2D951" w:rsidR="00106D0B" w:rsidRDefault="00172CB0" w:rsidP="0062745C">
      <w:pPr>
        <w:pStyle w:val="BodyText"/>
      </w:pPr>
      <w:r>
        <w:t xml:space="preserve">In the way-forward </w:t>
      </w:r>
      <w:r w:rsidR="00D55C6A">
        <w:t xml:space="preserve">from </w:t>
      </w:r>
      <w:r>
        <w:t xml:space="preserve">last meeting the following </w:t>
      </w:r>
      <w:r w:rsidR="00070AA5">
        <w:t>solutions</w:t>
      </w:r>
      <w:r>
        <w:t xml:space="preserve"> to resolve the </w:t>
      </w:r>
      <w:r w:rsidR="00BF30F7">
        <w:t>issue related to referring to internal technical reports</w:t>
      </w:r>
      <w:r>
        <w:t xml:space="preserve"> was identified;</w:t>
      </w:r>
    </w:p>
    <w:p w14:paraId="7C1285CB" w14:textId="77777777" w:rsidR="00A2163B" w:rsidRDefault="00A2163B" w:rsidP="00D47AEB">
      <w:pPr>
        <w:pStyle w:val="BodyText"/>
        <w:rPr>
          <w:b/>
          <w:u w:val="single"/>
        </w:rPr>
      </w:pPr>
    </w:p>
    <w:p w14:paraId="287158FF" w14:textId="04D90549" w:rsidR="006229D2" w:rsidRDefault="00D30549" w:rsidP="00D47AEB">
      <w:pPr>
        <w:pStyle w:val="BodyText"/>
        <w:rPr>
          <w:b/>
          <w:u w:val="single"/>
        </w:rPr>
      </w:pPr>
      <w:r w:rsidRPr="003E6510">
        <w:rPr>
          <w:b/>
          <w:u w:val="single"/>
        </w:rPr>
        <w:t>O</w:t>
      </w:r>
      <w:r>
        <w:rPr>
          <w:b/>
          <w:u w:val="single"/>
        </w:rPr>
        <w:t>ption</w:t>
      </w:r>
      <w:r w:rsidRPr="003E6510">
        <w:rPr>
          <w:b/>
          <w:u w:val="single"/>
        </w:rPr>
        <w:t xml:space="preserve"> </w:t>
      </w:r>
      <w:r w:rsidR="002E24DA" w:rsidRPr="003E6510">
        <w:rPr>
          <w:b/>
          <w:u w:val="single"/>
        </w:rPr>
        <w:t>1:</w:t>
      </w:r>
      <w:r w:rsidR="00D47AEB">
        <w:rPr>
          <w:b/>
          <w:u w:val="single"/>
        </w:rPr>
        <w:t xml:space="preserve"> </w:t>
      </w:r>
    </w:p>
    <w:p w14:paraId="755D76BE" w14:textId="799F48FC" w:rsidR="003A03CF" w:rsidRPr="003568FF" w:rsidRDefault="009D6EBC" w:rsidP="006229D2">
      <w:pPr>
        <w:pStyle w:val="BodyText"/>
      </w:pPr>
      <w:r>
        <w:t>Create</w:t>
      </w:r>
      <w:r w:rsidR="002E24DA">
        <w:t xml:space="preserve"> a </w:t>
      </w:r>
      <w:r>
        <w:t xml:space="preserve">new </w:t>
      </w:r>
      <w:r w:rsidR="002E24DA">
        <w:t xml:space="preserve">single </w:t>
      </w:r>
      <w:r w:rsidR="00B735BA">
        <w:t>external</w:t>
      </w:r>
      <w:r w:rsidR="002E24DA">
        <w:t xml:space="preserve"> </w:t>
      </w:r>
      <w:r w:rsidR="003A03CF">
        <w:t>t</w:t>
      </w:r>
      <w:r w:rsidR="002E24DA">
        <w:t xml:space="preserve">echnical </w:t>
      </w:r>
      <w:r w:rsidR="003A03CF">
        <w:t>r</w:t>
      </w:r>
      <w:r w:rsidR="002E24DA">
        <w:t xml:space="preserve">eport </w:t>
      </w:r>
      <w:r w:rsidR="00B735BA">
        <w:t>(TR xx.900</w:t>
      </w:r>
      <w:r w:rsidR="00B65376">
        <w:t xml:space="preserve"> series technical report</w:t>
      </w:r>
      <w:r w:rsidR="00B735BA">
        <w:t xml:space="preserve">) </w:t>
      </w:r>
      <w:r w:rsidR="002E24DA">
        <w:t>capturing all the required information for the OTA BS testing</w:t>
      </w:r>
      <w:r w:rsidR="00E12052">
        <w:t>.</w:t>
      </w:r>
      <w:r w:rsidR="00B65376">
        <w:t xml:space="preserve"> Including </w:t>
      </w:r>
      <w:r w:rsidR="00E87D45">
        <w:t>test method descriptions and measurement uncertainty evaluations.</w:t>
      </w:r>
    </w:p>
    <w:p w14:paraId="0A79F82E" w14:textId="77777777" w:rsidR="002E24DA" w:rsidRDefault="002E24DA" w:rsidP="006229D2">
      <w:pPr>
        <w:pStyle w:val="BodyText"/>
      </w:pPr>
    </w:p>
    <w:p w14:paraId="71E5BBDF" w14:textId="14AC7FA3" w:rsidR="006229D2" w:rsidRPr="003E6510" w:rsidRDefault="00D30549" w:rsidP="002E24DA">
      <w:pPr>
        <w:pStyle w:val="BodyText"/>
        <w:rPr>
          <w:b/>
          <w:u w:val="single"/>
        </w:rPr>
      </w:pPr>
      <w:r w:rsidRPr="003E6510">
        <w:rPr>
          <w:b/>
          <w:u w:val="single"/>
        </w:rPr>
        <w:t>O</w:t>
      </w:r>
      <w:r>
        <w:rPr>
          <w:b/>
          <w:u w:val="single"/>
        </w:rPr>
        <w:t>ption</w:t>
      </w:r>
      <w:r w:rsidRPr="003E6510">
        <w:rPr>
          <w:b/>
          <w:u w:val="single"/>
        </w:rPr>
        <w:t xml:space="preserve"> </w:t>
      </w:r>
      <w:r w:rsidR="002E24DA" w:rsidRPr="003E6510">
        <w:rPr>
          <w:b/>
          <w:u w:val="single"/>
        </w:rPr>
        <w:t xml:space="preserve">2: </w:t>
      </w:r>
    </w:p>
    <w:p w14:paraId="0432B4B0" w14:textId="2D6E5267" w:rsidR="002E24DA" w:rsidRDefault="006229D2" w:rsidP="006229D2">
      <w:pPr>
        <w:pStyle w:val="BodyText"/>
      </w:pPr>
      <w:r>
        <w:t>R</w:t>
      </w:r>
      <w:r w:rsidR="002E24DA">
        <w:t xml:space="preserve">emove the references to the internal </w:t>
      </w:r>
      <w:r w:rsidR="00CA7786">
        <w:t>technical reports.</w:t>
      </w:r>
      <w:r w:rsidR="002E24DA">
        <w:t xml:space="preserve"> </w:t>
      </w:r>
      <w:r w:rsidR="00E9313F">
        <w:t xml:space="preserve">This option will cut the relation from the technical specification to </w:t>
      </w:r>
      <w:r w:rsidR="001D30AA">
        <w:t xml:space="preserve">OTA test method descriptions and measurement uncertainty evaluations. </w:t>
      </w:r>
    </w:p>
    <w:p w14:paraId="4A052400" w14:textId="77777777" w:rsidR="002E24DA" w:rsidRDefault="002E24DA" w:rsidP="00CA7786">
      <w:pPr>
        <w:pStyle w:val="BodyText"/>
      </w:pPr>
    </w:p>
    <w:p w14:paraId="7A9DCBDB" w14:textId="38A959F2" w:rsidR="00CA7786" w:rsidRPr="003E6510" w:rsidRDefault="00D30549" w:rsidP="002E24DA">
      <w:pPr>
        <w:pStyle w:val="BodyText"/>
        <w:rPr>
          <w:b/>
          <w:u w:val="single"/>
        </w:rPr>
      </w:pPr>
      <w:r w:rsidRPr="003E6510">
        <w:rPr>
          <w:b/>
          <w:u w:val="single"/>
        </w:rPr>
        <w:t>O</w:t>
      </w:r>
      <w:r>
        <w:rPr>
          <w:b/>
          <w:u w:val="single"/>
        </w:rPr>
        <w:t>ption</w:t>
      </w:r>
      <w:r w:rsidRPr="003E6510">
        <w:rPr>
          <w:b/>
          <w:u w:val="single"/>
        </w:rPr>
        <w:t xml:space="preserve"> </w:t>
      </w:r>
      <w:r w:rsidR="002E24DA" w:rsidRPr="003E6510">
        <w:rPr>
          <w:b/>
          <w:u w:val="single"/>
        </w:rPr>
        <w:t xml:space="preserve">3: </w:t>
      </w:r>
    </w:p>
    <w:p w14:paraId="4242F8B4" w14:textId="66DA9370" w:rsidR="002E24DA" w:rsidRDefault="002E24DA" w:rsidP="00CA7786">
      <w:pPr>
        <w:pStyle w:val="BodyText"/>
      </w:pPr>
      <w:r>
        <w:t xml:space="preserve">Reproduce necessary </w:t>
      </w:r>
      <w:r w:rsidR="00CA7786">
        <w:t>information</w:t>
      </w:r>
      <w:r>
        <w:t xml:space="preserve"> from </w:t>
      </w:r>
      <w:r w:rsidR="006D10E3">
        <w:t>internal technical reports</w:t>
      </w:r>
      <w:r>
        <w:t xml:space="preserve"> in </w:t>
      </w:r>
      <w:r w:rsidR="003E6510">
        <w:t xml:space="preserve">the </w:t>
      </w:r>
      <w:r w:rsidR="006D10E3">
        <w:t>technical specification.</w:t>
      </w:r>
      <w:r w:rsidR="001D30AA">
        <w:t xml:space="preserve"> </w:t>
      </w:r>
      <w:r w:rsidR="00FC20FA">
        <w:t xml:space="preserve">This option would mean that an Annex is created in the technical </w:t>
      </w:r>
      <w:r w:rsidR="006B7DA0">
        <w:t>specification</w:t>
      </w:r>
      <w:r w:rsidR="00FC20FA">
        <w:t xml:space="preserve"> holding the information from the </w:t>
      </w:r>
      <w:r w:rsidR="00BD55BF">
        <w:t xml:space="preserve">technical report. When </w:t>
      </w:r>
      <w:r w:rsidR="00283312">
        <w:t>this annex</w:t>
      </w:r>
      <w:r w:rsidR="00BD55BF">
        <w:t xml:space="preserve"> is created all </w:t>
      </w:r>
      <w:r w:rsidR="006B7DA0">
        <w:t>references</w:t>
      </w:r>
      <w:r w:rsidR="00BD55BF">
        <w:t xml:space="preserve"> can be </w:t>
      </w:r>
      <w:r w:rsidR="006B7DA0">
        <w:t>kept within the technical specification.</w:t>
      </w:r>
    </w:p>
    <w:p w14:paraId="19BFF40B" w14:textId="77777777" w:rsidR="002E24DA" w:rsidRDefault="002E24DA" w:rsidP="006D10E3">
      <w:pPr>
        <w:pStyle w:val="BodyText"/>
      </w:pPr>
    </w:p>
    <w:p w14:paraId="31B8D8EB" w14:textId="24BC9A2A" w:rsidR="00D33E9F" w:rsidRDefault="00FB6104" w:rsidP="0062745C">
      <w:pPr>
        <w:pStyle w:val="BodyText"/>
      </w:pPr>
      <w:r>
        <w:t>According to the TR 21.801 [5] on specification drafting rules</w:t>
      </w:r>
      <w:r w:rsidR="00EB5051">
        <w:t xml:space="preserve">, </w:t>
      </w:r>
      <w:r w:rsidR="00EB5051" w:rsidRPr="00EB5051">
        <w:t>documents intended to be formally issued as publications of the Standards Development Organizations which comprise the Organizational Partners of 3GPP, references shall not be made to internal working documents of 3GPP which are not issued as such formal publications.</w:t>
      </w:r>
      <w:r w:rsidR="000E72B7">
        <w:t xml:space="preserve"> </w:t>
      </w:r>
      <w:r w:rsidR="004C2EC8">
        <w:t>Hence</w:t>
      </w:r>
      <w:r w:rsidR="00644B8D">
        <w:t xml:space="preserve">, </w:t>
      </w:r>
      <w:r w:rsidR="00283312">
        <w:t xml:space="preserve">TS 37.145-2 and </w:t>
      </w:r>
      <w:r w:rsidR="00644B8D">
        <w:t xml:space="preserve">TS 38.141-2 </w:t>
      </w:r>
      <w:r w:rsidR="00850F9A">
        <w:t>can’t</w:t>
      </w:r>
      <w:r w:rsidR="00644B8D">
        <w:t xml:space="preserve"> refer to TR 37.842, TR 37.843 and TR 38.817-02. </w:t>
      </w:r>
    </w:p>
    <w:p w14:paraId="15D83771" w14:textId="08C19176" w:rsidR="0031542C" w:rsidRDefault="00850F9A" w:rsidP="0062745C">
      <w:pPr>
        <w:pStyle w:val="BodyText"/>
      </w:pPr>
      <w:r>
        <w:t xml:space="preserve">After a </w:t>
      </w:r>
      <w:r w:rsidR="005C3959">
        <w:t xml:space="preserve">thorough </w:t>
      </w:r>
      <w:r>
        <w:t xml:space="preserve">review </w:t>
      </w:r>
      <w:r w:rsidR="005C3959">
        <w:t>o</w:t>
      </w:r>
      <w:r w:rsidR="00BB4600">
        <w:t xml:space="preserve">f TS 38.141-2 </w:t>
      </w:r>
      <w:r>
        <w:t>it can be concluded that multiple references exist</w:t>
      </w:r>
      <w:r w:rsidR="00BB4600">
        <w:t xml:space="preserve"> as well as chains with references to other </w:t>
      </w:r>
      <w:r w:rsidR="00F53987">
        <w:t>internal</w:t>
      </w:r>
      <w:r w:rsidR="00B41BAB">
        <w:t xml:space="preserve"> reports</w:t>
      </w:r>
      <w:r w:rsidR="0031542C">
        <w:t>, see Figure 2-1.</w:t>
      </w:r>
    </w:p>
    <w:p w14:paraId="2B2C9745" w14:textId="77777777" w:rsidR="0031542C" w:rsidRDefault="0031542C" w:rsidP="0062745C">
      <w:pPr>
        <w:pStyle w:val="BodyText"/>
      </w:pPr>
    </w:p>
    <w:p w14:paraId="5A1204CD" w14:textId="77777777" w:rsidR="0031542C" w:rsidRDefault="0031542C" w:rsidP="0062745C">
      <w:pPr>
        <w:pStyle w:val="BodyText"/>
      </w:pPr>
    </w:p>
    <w:p w14:paraId="19D64173" w14:textId="04F618F0" w:rsidR="00B41BAB" w:rsidRDefault="00850F9A" w:rsidP="0062745C">
      <w:pPr>
        <w:pStyle w:val="BodyText"/>
      </w:pPr>
      <w:r>
        <w:t xml:space="preserve"> </w:t>
      </w:r>
    </w:p>
    <w:p w14:paraId="28827AED" w14:textId="4F8AC5E2" w:rsidR="00841B42" w:rsidRDefault="00841B42" w:rsidP="0062745C">
      <w:pPr>
        <w:pStyle w:val="BodyText"/>
      </w:pPr>
      <w:r>
        <w:lastRenderedPageBreak/>
        <w:t xml:space="preserve">The current version of TS 38.141-2 </w:t>
      </w:r>
      <w:r w:rsidR="001E5BF3">
        <w:t>refers</w:t>
      </w:r>
      <w:r>
        <w:t xml:space="preserve"> to the following internal technical reports;</w:t>
      </w:r>
    </w:p>
    <w:p w14:paraId="172DB980" w14:textId="4F00B147" w:rsidR="00841B42" w:rsidRDefault="00CF703E" w:rsidP="00841B42">
      <w:pPr>
        <w:pStyle w:val="BodyText"/>
        <w:numPr>
          <w:ilvl w:val="0"/>
          <w:numId w:val="7"/>
        </w:numPr>
      </w:pPr>
      <w:r>
        <w:t>The AAS technical report</w:t>
      </w:r>
      <w:r w:rsidR="00301F32">
        <w:t xml:space="preserve"> </w:t>
      </w:r>
      <w:r w:rsidR="00841B42">
        <w:t>TR 37.842</w:t>
      </w:r>
      <w:r w:rsidR="001667C4">
        <w:t xml:space="preserve"> [1]</w:t>
      </w:r>
      <w:r w:rsidR="00301F32">
        <w:t>. This report</w:t>
      </w:r>
      <w:r w:rsidR="001E5BF3">
        <w:t xml:space="preserve"> </w:t>
      </w:r>
      <w:r w:rsidR="007E35C0">
        <w:t>describes</w:t>
      </w:r>
      <w:r w:rsidR="001E5BF3">
        <w:t xml:space="preserve"> the technical background for AAS BS requirements</w:t>
      </w:r>
      <w:r w:rsidR="0031542C">
        <w:t xml:space="preserve"> and OTA test methods</w:t>
      </w:r>
      <w:r w:rsidR="00301F32">
        <w:t>.</w:t>
      </w:r>
    </w:p>
    <w:p w14:paraId="29268FFA" w14:textId="70276416" w:rsidR="001E5BF3" w:rsidRDefault="00301F32" w:rsidP="00841B42">
      <w:pPr>
        <w:pStyle w:val="BodyText"/>
        <w:numPr>
          <w:ilvl w:val="0"/>
          <w:numId w:val="7"/>
        </w:numPr>
      </w:pPr>
      <w:r>
        <w:t xml:space="preserve">The </w:t>
      </w:r>
      <w:proofErr w:type="spellStart"/>
      <w:r>
        <w:t>eAAS</w:t>
      </w:r>
      <w:proofErr w:type="spellEnd"/>
      <w:r>
        <w:t xml:space="preserve"> technical report</w:t>
      </w:r>
      <w:r w:rsidR="00490EF6">
        <w:t xml:space="preserve"> </w:t>
      </w:r>
      <w:r w:rsidR="001E5BF3">
        <w:t>TR 37.843 [</w:t>
      </w:r>
      <w:r w:rsidR="00CD6BF8">
        <w:t>2</w:t>
      </w:r>
      <w:r w:rsidR="001E5BF3">
        <w:t>]</w:t>
      </w:r>
      <w:r w:rsidR="00490EF6">
        <w:t>. This report</w:t>
      </w:r>
      <w:r w:rsidR="001E5BF3">
        <w:t xml:space="preserve"> </w:t>
      </w:r>
      <w:r w:rsidR="007E35C0">
        <w:t>describes</w:t>
      </w:r>
      <w:r w:rsidR="001E5BF3">
        <w:t xml:space="preserve"> the technical background for </w:t>
      </w:r>
      <w:r w:rsidR="00490EF6">
        <w:t xml:space="preserve">OTA requirements and </w:t>
      </w:r>
      <w:r w:rsidR="00DD0E8B">
        <w:t>OTA test methods</w:t>
      </w:r>
      <w:r w:rsidR="00490EF6">
        <w:t xml:space="preserve"> part of </w:t>
      </w:r>
      <w:proofErr w:type="spellStart"/>
      <w:r w:rsidR="001E5BF3">
        <w:t>eAAS</w:t>
      </w:r>
      <w:proofErr w:type="spellEnd"/>
      <w:r w:rsidR="001E5BF3">
        <w:t xml:space="preserve"> BS requirements</w:t>
      </w:r>
      <w:r w:rsidR="00490EF6">
        <w:t>.</w:t>
      </w:r>
    </w:p>
    <w:p w14:paraId="29E15AD4" w14:textId="4DE9B963" w:rsidR="001E5BF3" w:rsidRDefault="00490EF6" w:rsidP="001E5BF3">
      <w:pPr>
        <w:pStyle w:val="BodyText"/>
        <w:numPr>
          <w:ilvl w:val="0"/>
          <w:numId w:val="7"/>
        </w:numPr>
      </w:pPr>
      <w:r>
        <w:t xml:space="preserve">The NR technical report </w:t>
      </w:r>
      <w:r w:rsidR="001E5BF3">
        <w:t>TR 38.817-02</w:t>
      </w:r>
      <w:r w:rsidR="00CD6BF8">
        <w:t xml:space="preserve"> [3]</w:t>
      </w:r>
      <w:r w:rsidR="00823816">
        <w:t>. This report</w:t>
      </w:r>
      <w:r w:rsidR="001E5BF3">
        <w:t xml:space="preserve"> </w:t>
      </w:r>
      <w:r w:rsidR="007E35C0">
        <w:t>describes</w:t>
      </w:r>
      <w:r w:rsidR="001E5BF3">
        <w:t xml:space="preserve"> the technical background for NR BS requirements</w:t>
      </w:r>
      <w:r w:rsidR="002A7BB1">
        <w:t xml:space="preserve"> and OTA test method evaluations</w:t>
      </w:r>
      <w:r w:rsidR="00823816">
        <w:t>.</w:t>
      </w:r>
    </w:p>
    <w:p w14:paraId="68265633" w14:textId="1EE2CAAB" w:rsidR="00E13370" w:rsidRDefault="003B61A8" w:rsidP="0062745C">
      <w:pPr>
        <w:pStyle w:val="BodyText"/>
      </w:pPr>
      <w:r>
        <w:t xml:space="preserve">  </w:t>
      </w:r>
      <w:r w:rsidR="00AE0248">
        <w:t xml:space="preserve">The </w:t>
      </w:r>
      <w:r w:rsidR="007E35C0">
        <w:t>occurrences</w:t>
      </w:r>
      <w:r w:rsidR="00ED7268">
        <w:t xml:space="preserve"> and location</w:t>
      </w:r>
      <w:r w:rsidR="00AE0248">
        <w:t xml:space="preserve"> of references to internal reports</w:t>
      </w:r>
      <w:r w:rsidR="007E35C0">
        <w:t xml:space="preserve"> have been identified in Table 2-1, Table 2-2 and Table 2-3.</w:t>
      </w:r>
    </w:p>
    <w:p w14:paraId="55CC3A49" w14:textId="16E4EAC0" w:rsidR="00565C40" w:rsidRDefault="00565C40" w:rsidP="0062745C">
      <w:pPr>
        <w:pStyle w:val="BodyText"/>
      </w:pPr>
    </w:p>
    <w:p w14:paraId="2C7AEEE8" w14:textId="77777777" w:rsidR="00565C40" w:rsidRPr="003C0B2F" w:rsidRDefault="00565C40" w:rsidP="00565C40">
      <w:pPr>
        <w:keepNext/>
        <w:keepLines/>
        <w:spacing w:after="0"/>
        <w:jc w:val="center"/>
        <w:rPr>
          <w:rFonts w:ascii="Arial" w:eastAsia="SimSun" w:hAnsi="Arial"/>
          <w:b/>
        </w:rPr>
      </w:pPr>
      <w:r w:rsidRPr="003C0B2F">
        <w:rPr>
          <w:rFonts w:ascii="Arial" w:eastAsia="SimSun" w:hAnsi="Arial"/>
          <w:b/>
        </w:rPr>
        <w:t xml:space="preserve">Table 2-1: </w:t>
      </w:r>
      <w:r>
        <w:rPr>
          <w:rFonts w:ascii="Arial" w:eastAsia="SimSun" w:hAnsi="Arial"/>
          <w:b/>
        </w:rPr>
        <w:t>References to TR 37.842</w:t>
      </w:r>
      <w:r w:rsidRPr="003C0B2F">
        <w:rPr>
          <w:rFonts w:ascii="Arial" w:eastAsia="SimSun" w:hAnsi="Arial"/>
          <w:b/>
        </w:rPr>
        <w:t xml:space="preserve"> </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55"/>
        <w:gridCol w:w="7512"/>
      </w:tblGrid>
      <w:tr w:rsidR="00565C40" w:rsidRPr="000C0827" w14:paraId="775BC9DC" w14:textId="77777777" w:rsidTr="006D09A3">
        <w:trPr>
          <w:tblHeader/>
          <w:jc w:val="center"/>
        </w:trPr>
        <w:tc>
          <w:tcPr>
            <w:tcW w:w="1555" w:type="dxa"/>
          </w:tcPr>
          <w:p w14:paraId="032BFA80" w14:textId="77777777" w:rsidR="00565C40" w:rsidRDefault="00565C40" w:rsidP="0003315E">
            <w:pPr>
              <w:keepNext/>
              <w:keepLines/>
              <w:spacing w:after="0"/>
              <w:jc w:val="center"/>
              <w:rPr>
                <w:rFonts w:ascii="Arial" w:hAnsi="Arial"/>
                <w:b/>
                <w:sz w:val="18"/>
              </w:rPr>
            </w:pPr>
            <w:r>
              <w:rPr>
                <w:rFonts w:ascii="Arial" w:hAnsi="Arial"/>
                <w:b/>
                <w:sz w:val="18"/>
              </w:rPr>
              <w:t>Subclause</w:t>
            </w:r>
          </w:p>
          <w:p w14:paraId="4935A72A" w14:textId="77777777" w:rsidR="00565C40" w:rsidRDefault="00565C40" w:rsidP="006D09A3">
            <w:pPr>
              <w:keepNext/>
              <w:keepLines/>
              <w:spacing w:after="0"/>
              <w:jc w:val="center"/>
              <w:rPr>
                <w:rFonts w:ascii="Arial" w:hAnsi="Arial"/>
                <w:b/>
                <w:sz w:val="18"/>
              </w:rPr>
            </w:pPr>
          </w:p>
        </w:tc>
        <w:tc>
          <w:tcPr>
            <w:tcW w:w="7512" w:type="dxa"/>
            <w:shd w:val="clear" w:color="auto" w:fill="auto"/>
          </w:tcPr>
          <w:p w14:paraId="2A5AC59C" w14:textId="77777777" w:rsidR="00565C40" w:rsidRPr="000C0827" w:rsidRDefault="00565C40" w:rsidP="006D09A3">
            <w:pPr>
              <w:keepNext/>
              <w:keepLines/>
              <w:spacing w:after="0"/>
              <w:jc w:val="center"/>
              <w:rPr>
                <w:rFonts w:ascii="Arial" w:hAnsi="Arial"/>
                <w:b/>
                <w:sz w:val="18"/>
              </w:rPr>
            </w:pPr>
            <w:r>
              <w:rPr>
                <w:rFonts w:ascii="Arial" w:hAnsi="Arial"/>
                <w:b/>
                <w:sz w:val="18"/>
              </w:rPr>
              <w:t>Context</w:t>
            </w:r>
          </w:p>
        </w:tc>
      </w:tr>
      <w:tr w:rsidR="00565C40" w:rsidRPr="000C0827" w14:paraId="7A60A8B2" w14:textId="77777777" w:rsidTr="006D09A3">
        <w:trPr>
          <w:jc w:val="center"/>
        </w:trPr>
        <w:tc>
          <w:tcPr>
            <w:tcW w:w="1555" w:type="dxa"/>
          </w:tcPr>
          <w:p w14:paraId="175BF51C" w14:textId="77777777" w:rsidR="00565C40" w:rsidRPr="004C37E9" w:rsidRDefault="00565C40" w:rsidP="0003315E">
            <w:pPr>
              <w:keepNext/>
              <w:keepLines/>
              <w:spacing w:after="0"/>
              <w:jc w:val="center"/>
              <w:rPr>
                <w:rFonts w:ascii="Arial" w:hAnsi="Arial"/>
                <w:sz w:val="18"/>
                <w:szCs w:val="18"/>
                <w:lang w:eastAsia="zh-CN"/>
              </w:rPr>
            </w:pPr>
            <w:r w:rsidRPr="004C37E9">
              <w:rPr>
                <w:rFonts w:ascii="Arial" w:hAnsi="Arial"/>
                <w:sz w:val="18"/>
                <w:szCs w:val="18"/>
                <w:lang w:eastAsia="zh-CN"/>
              </w:rPr>
              <w:t>7.2.1</w:t>
            </w:r>
          </w:p>
        </w:tc>
        <w:tc>
          <w:tcPr>
            <w:tcW w:w="7512" w:type="dxa"/>
            <w:shd w:val="clear" w:color="auto" w:fill="auto"/>
          </w:tcPr>
          <w:p w14:paraId="3DD6F423" w14:textId="77777777" w:rsidR="00565C40" w:rsidRPr="004C37E9" w:rsidRDefault="00565C40" w:rsidP="004C37E9">
            <w:pPr>
              <w:keepNext/>
              <w:keepLines/>
              <w:spacing w:after="0"/>
              <w:jc w:val="center"/>
              <w:rPr>
                <w:rFonts w:ascii="Arial" w:hAnsi="Arial" w:cs="Arial"/>
                <w:sz w:val="18"/>
                <w:szCs w:val="18"/>
                <w:lang w:eastAsia="zh-CN"/>
              </w:rPr>
            </w:pPr>
            <w:r w:rsidRPr="006D09A3">
              <w:rPr>
                <w:rFonts w:ascii="Arial" w:hAnsi="Arial" w:cs="Arial"/>
                <w:sz w:val="18"/>
                <w:szCs w:val="18"/>
              </w:rPr>
              <w:t xml:space="preserve">Five declared </w:t>
            </w:r>
            <w:r w:rsidRPr="006D09A3">
              <w:rPr>
                <w:rFonts w:ascii="Arial" w:hAnsi="Arial" w:cs="Arial"/>
                <w:i/>
                <w:sz w:val="18"/>
                <w:szCs w:val="18"/>
              </w:rPr>
              <w:t xml:space="preserve">sensitivity </w:t>
            </w:r>
            <w:proofErr w:type="spellStart"/>
            <w:r w:rsidRPr="006D09A3">
              <w:rPr>
                <w:rFonts w:ascii="Arial" w:hAnsi="Arial" w:cs="Arial"/>
                <w:i/>
                <w:sz w:val="18"/>
                <w:szCs w:val="18"/>
              </w:rPr>
              <w:t>RoAoA</w:t>
            </w:r>
            <w:proofErr w:type="spellEnd"/>
            <w:r w:rsidRPr="006D09A3">
              <w:rPr>
                <w:rFonts w:ascii="Arial" w:hAnsi="Arial" w:cs="Arial"/>
                <w:sz w:val="18"/>
                <w:szCs w:val="18"/>
              </w:rPr>
              <w:t xml:space="preserve"> comprising the conformance testing directions as detailed in TR 37.842 [6].</w:t>
            </w:r>
          </w:p>
        </w:tc>
      </w:tr>
    </w:tbl>
    <w:p w14:paraId="670E8544" w14:textId="3B769C61" w:rsidR="00565C40" w:rsidRDefault="00565C40" w:rsidP="0062745C">
      <w:pPr>
        <w:pStyle w:val="BodyText"/>
      </w:pPr>
    </w:p>
    <w:p w14:paraId="334F8F2E" w14:textId="1C676CBC" w:rsidR="00A866EC" w:rsidRDefault="008F15B4" w:rsidP="0062745C">
      <w:pPr>
        <w:pStyle w:val="BodyText"/>
      </w:pPr>
      <w:r>
        <w:t>In TR 37.842</w:t>
      </w:r>
      <w:r w:rsidR="00E8035B">
        <w:t xml:space="preserve"> subclause </w:t>
      </w:r>
      <w:r>
        <w:t>7.3.3</w:t>
      </w:r>
      <w:r w:rsidR="00E8035B">
        <w:t xml:space="preserve"> the following information can be found;</w:t>
      </w:r>
    </w:p>
    <w:p w14:paraId="5FBC5443" w14:textId="77777777" w:rsidR="00A13DDA" w:rsidRPr="00687330" w:rsidRDefault="00A13DDA" w:rsidP="00A13DDA">
      <w:pPr>
        <w:pStyle w:val="Heading3"/>
        <w:rPr>
          <w:i/>
          <w:lang w:val="x-none"/>
        </w:rPr>
      </w:pPr>
      <w:bookmarkStart w:id="2" w:name="_Toc478460582"/>
      <w:r w:rsidRPr="00687330">
        <w:rPr>
          <w:i/>
        </w:rPr>
        <w:t>7.3.3</w:t>
      </w:r>
      <w:r w:rsidRPr="00687330">
        <w:rPr>
          <w:i/>
        </w:rPr>
        <w:tab/>
        <w:t>The conformance requirements</w:t>
      </w:r>
      <w:bookmarkEnd w:id="2"/>
    </w:p>
    <w:p w14:paraId="56F96794" w14:textId="77777777" w:rsidR="00A13DDA" w:rsidRPr="00687330" w:rsidRDefault="00A13DDA" w:rsidP="00A13DDA">
      <w:pPr>
        <w:rPr>
          <w:i/>
        </w:rPr>
      </w:pPr>
      <w:r w:rsidRPr="00687330">
        <w:rPr>
          <w:i/>
        </w:rPr>
        <w:t xml:space="preserve">If an OSDD does not include a </w:t>
      </w:r>
      <w:r w:rsidRPr="00A13DDA">
        <w:rPr>
          <w:i/>
        </w:rPr>
        <w:t>receiver target redirection range</w:t>
      </w:r>
      <w:r w:rsidRPr="00687330">
        <w:rPr>
          <w:i/>
        </w:rPr>
        <w:t>, conformance testing is performed for the following five directions, as depicted in the example in figure 7.3.3-1:</w:t>
      </w:r>
    </w:p>
    <w:p w14:paraId="39077F6B" w14:textId="77777777" w:rsidR="00A13DDA" w:rsidRPr="00687330" w:rsidRDefault="00A13DDA" w:rsidP="00A13DDA">
      <w:pPr>
        <w:pStyle w:val="B1"/>
        <w:rPr>
          <w:rFonts w:eastAsia="MS Mincho"/>
          <w:i/>
          <w:sz w:val="21"/>
          <w:lang w:eastAsia="ja-JP"/>
        </w:rPr>
      </w:pPr>
      <w:r w:rsidRPr="00687330">
        <w:rPr>
          <w:i/>
        </w:rPr>
        <w:t>-</w:t>
      </w:r>
      <w:r w:rsidRPr="00687330">
        <w:rPr>
          <w:i/>
        </w:rPr>
        <w:tab/>
        <w:t>The receiver target reference direction</w:t>
      </w:r>
      <w:r w:rsidRPr="00687330">
        <w:rPr>
          <w:rFonts w:eastAsia="MS Mincho"/>
          <w:i/>
          <w:sz w:val="21"/>
          <w:lang w:eastAsia="ja-JP"/>
        </w:rPr>
        <w:t>.</w:t>
      </w:r>
    </w:p>
    <w:p w14:paraId="6FAFFFDD" w14:textId="77777777" w:rsidR="00A13DDA" w:rsidRPr="00687330" w:rsidRDefault="00A13DDA" w:rsidP="00A13DDA">
      <w:pPr>
        <w:pStyle w:val="B1"/>
        <w:rPr>
          <w:i/>
        </w:rPr>
      </w:pPr>
      <w:r w:rsidRPr="00687330">
        <w:rPr>
          <w:i/>
        </w:rPr>
        <w:t>-</w:t>
      </w:r>
      <w:r w:rsidRPr="00687330">
        <w:rPr>
          <w:i/>
        </w:rPr>
        <w:tab/>
        <w:t xml:space="preserve">The direction determined by the maximum </w:t>
      </w:r>
      <w:r w:rsidRPr="00687330">
        <w:rPr>
          <w:rFonts w:ascii="Symbol" w:hAnsi="Symbol"/>
          <w:i/>
        </w:rPr>
        <w:t></w:t>
      </w:r>
      <w:r w:rsidRPr="00687330">
        <w:rPr>
          <w:i/>
        </w:rPr>
        <w:t xml:space="preserve"> value achievable inside the sensitivity </w:t>
      </w:r>
      <w:proofErr w:type="spellStart"/>
      <w:r w:rsidRPr="00687330">
        <w:rPr>
          <w:i/>
        </w:rPr>
        <w:t>RoAoA</w:t>
      </w:r>
      <w:proofErr w:type="spellEnd"/>
      <w:r w:rsidRPr="00687330">
        <w:rPr>
          <w:i/>
        </w:rPr>
        <w:t xml:space="preserve"> maintaining the receiver target reference direction </w:t>
      </w:r>
      <w:r w:rsidRPr="00687330">
        <w:rPr>
          <w:rFonts w:ascii="Symbol" w:hAnsi="Symbol"/>
          <w:i/>
        </w:rPr>
        <w:t></w:t>
      </w:r>
      <w:r w:rsidRPr="00687330">
        <w:rPr>
          <w:i/>
        </w:rPr>
        <w:t xml:space="preserve"> value.</w:t>
      </w:r>
    </w:p>
    <w:p w14:paraId="4DF7B2E0" w14:textId="77777777" w:rsidR="00A13DDA" w:rsidRPr="00687330" w:rsidRDefault="00A13DDA" w:rsidP="00A13DDA">
      <w:pPr>
        <w:pStyle w:val="B1"/>
        <w:rPr>
          <w:i/>
        </w:rPr>
      </w:pPr>
      <w:r w:rsidRPr="00687330">
        <w:rPr>
          <w:i/>
        </w:rPr>
        <w:t>-</w:t>
      </w:r>
      <w:r w:rsidRPr="00687330">
        <w:rPr>
          <w:i/>
        </w:rPr>
        <w:tab/>
        <w:t xml:space="preserve">The direction determined by the minimum </w:t>
      </w:r>
      <w:r w:rsidRPr="00687330">
        <w:rPr>
          <w:rFonts w:ascii="Symbol" w:hAnsi="Symbol"/>
          <w:i/>
        </w:rPr>
        <w:t></w:t>
      </w:r>
      <w:r w:rsidRPr="00687330">
        <w:rPr>
          <w:i/>
        </w:rPr>
        <w:t xml:space="preserve"> value achievable inside the sensitivity </w:t>
      </w:r>
      <w:proofErr w:type="spellStart"/>
      <w:r w:rsidRPr="00687330">
        <w:rPr>
          <w:i/>
        </w:rPr>
        <w:t>RoAoA</w:t>
      </w:r>
      <w:proofErr w:type="spellEnd"/>
      <w:r w:rsidRPr="00687330">
        <w:rPr>
          <w:i/>
        </w:rPr>
        <w:t xml:space="preserve"> maintaining the receiver target reference direction </w:t>
      </w:r>
      <w:r w:rsidRPr="00687330">
        <w:rPr>
          <w:rFonts w:ascii="Symbol" w:hAnsi="Symbol"/>
          <w:i/>
        </w:rPr>
        <w:t></w:t>
      </w:r>
      <w:r w:rsidRPr="00687330">
        <w:rPr>
          <w:i/>
        </w:rPr>
        <w:t xml:space="preserve"> value.</w:t>
      </w:r>
    </w:p>
    <w:p w14:paraId="3296234D" w14:textId="77777777" w:rsidR="00A13DDA" w:rsidRPr="00687330" w:rsidRDefault="00A13DDA" w:rsidP="00A13DDA">
      <w:pPr>
        <w:pStyle w:val="B1"/>
        <w:rPr>
          <w:i/>
        </w:rPr>
      </w:pPr>
      <w:r w:rsidRPr="00687330">
        <w:rPr>
          <w:i/>
        </w:rPr>
        <w:t>-</w:t>
      </w:r>
      <w:r w:rsidRPr="00687330">
        <w:rPr>
          <w:i/>
        </w:rPr>
        <w:tab/>
        <w:t xml:space="preserve">The direction determined by the maximum </w:t>
      </w:r>
      <w:r w:rsidRPr="00687330">
        <w:rPr>
          <w:rFonts w:ascii="Symbol" w:hAnsi="Symbol"/>
          <w:i/>
        </w:rPr>
        <w:t></w:t>
      </w:r>
      <w:r w:rsidRPr="00687330">
        <w:rPr>
          <w:i/>
        </w:rPr>
        <w:t xml:space="preserve"> value achievable inside the sensitivity </w:t>
      </w:r>
      <w:proofErr w:type="spellStart"/>
      <w:r w:rsidRPr="00687330">
        <w:rPr>
          <w:i/>
        </w:rPr>
        <w:t>RoAoA</w:t>
      </w:r>
      <w:proofErr w:type="spellEnd"/>
      <w:r w:rsidRPr="00687330">
        <w:rPr>
          <w:i/>
        </w:rPr>
        <w:t xml:space="preserve"> maintaining the receiver target reference direction </w:t>
      </w:r>
      <w:r w:rsidRPr="00687330">
        <w:rPr>
          <w:rFonts w:ascii="Symbol" w:hAnsi="Symbol"/>
          <w:i/>
        </w:rPr>
        <w:t></w:t>
      </w:r>
      <w:r w:rsidRPr="00687330">
        <w:rPr>
          <w:i/>
        </w:rPr>
        <w:t xml:space="preserve"> value.</w:t>
      </w:r>
    </w:p>
    <w:p w14:paraId="44D51857" w14:textId="77777777" w:rsidR="00A13DDA" w:rsidRPr="00687330" w:rsidRDefault="00A13DDA" w:rsidP="00A13DDA">
      <w:pPr>
        <w:pStyle w:val="B1"/>
        <w:rPr>
          <w:i/>
        </w:rPr>
      </w:pPr>
      <w:r w:rsidRPr="00687330">
        <w:rPr>
          <w:i/>
        </w:rPr>
        <w:t>-</w:t>
      </w:r>
      <w:r w:rsidRPr="00687330">
        <w:rPr>
          <w:i/>
        </w:rPr>
        <w:tab/>
        <w:t xml:space="preserve">The direction determined by the minimum </w:t>
      </w:r>
      <w:r w:rsidRPr="00687330">
        <w:rPr>
          <w:rFonts w:ascii="Symbol" w:hAnsi="Symbol"/>
          <w:i/>
        </w:rPr>
        <w:t></w:t>
      </w:r>
      <w:r w:rsidRPr="00687330">
        <w:rPr>
          <w:i/>
        </w:rPr>
        <w:t xml:space="preserve"> value achievable inside the sensitivity </w:t>
      </w:r>
      <w:proofErr w:type="spellStart"/>
      <w:r w:rsidRPr="00687330">
        <w:rPr>
          <w:i/>
        </w:rPr>
        <w:t>RoAoA</w:t>
      </w:r>
      <w:proofErr w:type="spellEnd"/>
      <w:r w:rsidRPr="00687330">
        <w:rPr>
          <w:i/>
        </w:rPr>
        <w:t xml:space="preserve"> maintaining the receiver target reference direction </w:t>
      </w:r>
      <w:r w:rsidRPr="00687330">
        <w:rPr>
          <w:rFonts w:ascii="Symbol" w:hAnsi="Symbol"/>
          <w:i/>
        </w:rPr>
        <w:t></w:t>
      </w:r>
      <w:r w:rsidRPr="00687330">
        <w:rPr>
          <w:i/>
        </w:rPr>
        <w:t xml:space="preserve"> value.</w:t>
      </w:r>
    </w:p>
    <w:p w14:paraId="3E139381" w14:textId="77777777" w:rsidR="00A13DDA" w:rsidRPr="00687330" w:rsidRDefault="00A13DDA" w:rsidP="00A13DDA">
      <w:pPr>
        <w:rPr>
          <w:i/>
        </w:rPr>
      </w:pPr>
      <w:r w:rsidRPr="00687330">
        <w:rPr>
          <w:i/>
        </w:rPr>
        <w:t>The manufacturer declares the five directions for conformance testing.</w:t>
      </w:r>
    </w:p>
    <w:p w14:paraId="100E83CC" w14:textId="77777777" w:rsidR="00A13DDA" w:rsidRPr="00687330" w:rsidRDefault="00A13DDA" w:rsidP="00A13DDA">
      <w:pPr>
        <w:pStyle w:val="TH"/>
        <w:rPr>
          <w:i/>
        </w:rPr>
      </w:pPr>
      <w:r w:rsidRPr="00687330">
        <w:rPr>
          <w:i/>
          <w:lang w:val="x-none"/>
        </w:rPr>
        <w:object w:dxaOrig="10365" w:dyaOrig="4365" w14:anchorId="1094BC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8.25pt;height:218.25pt" o:ole="">
            <v:imagedata r:id="rId9" o:title=""/>
          </v:shape>
          <o:OLEObject Type="Embed" ProgID="Word.Picture.8" ShapeID="_x0000_i1025" DrawAspect="Content" ObjectID="_1631708938" r:id="rId10"/>
        </w:object>
      </w:r>
    </w:p>
    <w:p w14:paraId="17E2EAF9" w14:textId="77777777" w:rsidR="00A13DDA" w:rsidRPr="00687330" w:rsidRDefault="00A13DDA" w:rsidP="00A13DDA">
      <w:pPr>
        <w:pStyle w:val="TF"/>
        <w:outlineLvl w:val="0"/>
        <w:rPr>
          <w:i/>
        </w:rPr>
      </w:pPr>
      <w:r w:rsidRPr="00687330">
        <w:rPr>
          <w:i/>
        </w:rPr>
        <w:t>Figure 7.3.3-1: OSDD without target redirection capability</w:t>
      </w:r>
    </w:p>
    <w:p w14:paraId="775D1F55" w14:textId="77777777" w:rsidR="00A13DDA" w:rsidRPr="00687330" w:rsidRDefault="00A13DDA" w:rsidP="00A13DDA">
      <w:pPr>
        <w:rPr>
          <w:i/>
        </w:rPr>
      </w:pPr>
      <w:r w:rsidRPr="00687330">
        <w:rPr>
          <w:i/>
        </w:rPr>
        <w:t xml:space="preserve">In figure 7.3.3-1 a direction diagram shows a </w:t>
      </w:r>
      <w:proofErr w:type="spellStart"/>
      <w:r w:rsidRPr="00687330">
        <w:rPr>
          <w:i/>
        </w:rPr>
        <w:t>RoAoA</w:t>
      </w:r>
      <w:proofErr w:type="spellEnd"/>
      <w:r w:rsidRPr="00687330">
        <w:rPr>
          <w:i/>
        </w:rPr>
        <w:t xml:space="preserve"> without </w:t>
      </w:r>
      <w:r w:rsidRPr="00A13DDA">
        <w:rPr>
          <w:i/>
        </w:rPr>
        <w:t>receiver target</w:t>
      </w:r>
      <w:r w:rsidRPr="00687330">
        <w:rPr>
          <w:i/>
        </w:rPr>
        <w:t xml:space="preserve"> redirection capability. The </w:t>
      </w:r>
      <w:r w:rsidRPr="00A13DDA">
        <w:rPr>
          <w:i/>
        </w:rPr>
        <w:t>receiver target reference direction</w:t>
      </w:r>
      <w:r w:rsidRPr="00687330">
        <w:rPr>
          <w:i/>
        </w:rPr>
        <w:t xml:space="preserve"> and the extreme directions subject to conformance testing are marked by red crosses.</w:t>
      </w:r>
    </w:p>
    <w:p w14:paraId="4A87E7A7" w14:textId="77777777" w:rsidR="00A13DDA" w:rsidRPr="00687330" w:rsidRDefault="00A13DDA" w:rsidP="00A13DDA">
      <w:pPr>
        <w:rPr>
          <w:i/>
        </w:rPr>
      </w:pPr>
      <w:r w:rsidRPr="00687330">
        <w:rPr>
          <w:i/>
        </w:rPr>
        <w:t xml:space="preserve">If an OSDD includes a </w:t>
      </w:r>
      <w:r w:rsidRPr="00A13DDA">
        <w:rPr>
          <w:i/>
        </w:rPr>
        <w:t>receiver target redirection range</w:t>
      </w:r>
      <w:r w:rsidRPr="00687330">
        <w:rPr>
          <w:i/>
        </w:rPr>
        <w:t>, conformance testing is performed for the following five directions, as depicted in the example in figure 7.3.3-2:</w:t>
      </w:r>
    </w:p>
    <w:p w14:paraId="5ACEE189" w14:textId="77777777" w:rsidR="00A13DDA" w:rsidRPr="00687330" w:rsidRDefault="00A13DDA" w:rsidP="00A13DDA">
      <w:pPr>
        <w:pStyle w:val="B1"/>
        <w:rPr>
          <w:rFonts w:eastAsia="MS Mincho"/>
          <w:i/>
          <w:sz w:val="21"/>
          <w:lang w:eastAsia="ja-JP"/>
        </w:rPr>
      </w:pPr>
      <w:r w:rsidRPr="00687330">
        <w:rPr>
          <w:i/>
        </w:rPr>
        <w:t>-</w:t>
      </w:r>
      <w:r w:rsidRPr="00687330">
        <w:rPr>
          <w:i/>
        </w:rPr>
        <w:tab/>
        <w:t>The receiver target reference direction</w:t>
      </w:r>
      <w:r w:rsidRPr="00687330">
        <w:rPr>
          <w:rFonts w:eastAsia="MS Mincho"/>
          <w:i/>
          <w:sz w:val="21"/>
          <w:lang w:eastAsia="ja-JP"/>
        </w:rPr>
        <w:t>.</w:t>
      </w:r>
    </w:p>
    <w:p w14:paraId="4DAF25E0" w14:textId="77777777" w:rsidR="00A13DDA" w:rsidRPr="00687330" w:rsidRDefault="00A13DDA" w:rsidP="00A13DDA">
      <w:pPr>
        <w:pStyle w:val="B1"/>
        <w:rPr>
          <w:i/>
        </w:rPr>
      </w:pPr>
      <w:r w:rsidRPr="00687330">
        <w:rPr>
          <w:i/>
        </w:rPr>
        <w:t>-</w:t>
      </w:r>
      <w:r w:rsidRPr="00687330">
        <w:rPr>
          <w:i/>
        </w:rPr>
        <w:tab/>
        <w:t xml:space="preserve">The direction determined by the maximum </w:t>
      </w:r>
      <w:r w:rsidRPr="00687330">
        <w:rPr>
          <w:rFonts w:ascii="Symbol" w:hAnsi="Symbol"/>
          <w:i/>
        </w:rPr>
        <w:t></w:t>
      </w:r>
      <w:r w:rsidRPr="00687330">
        <w:rPr>
          <w:i/>
        </w:rPr>
        <w:t xml:space="preserve"> value achievable inside the receiver target redirection range maintaining the receiver target reference direction </w:t>
      </w:r>
      <w:r w:rsidRPr="00687330">
        <w:rPr>
          <w:rFonts w:ascii="Symbol" w:hAnsi="Symbol"/>
          <w:i/>
        </w:rPr>
        <w:t></w:t>
      </w:r>
      <w:r w:rsidRPr="00687330">
        <w:rPr>
          <w:i/>
        </w:rPr>
        <w:t xml:space="preserve"> value.</w:t>
      </w:r>
    </w:p>
    <w:p w14:paraId="534CEBCC" w14:textId="77777777" w:rsidR="00A13DDA" w:rsidRPr="00687330" w:rsidRDefault="00A13DDA" w:rsidP="00A13DDA">
      <w:pPr>
        <w:pStyle w:val="B1"/>
        <w:rPr>
          <w:i/>
        </w:rPr>
      </w:pPr>
      <w:r w:rsidRPr="00687330">
        <w:rPr>
          <w:i/>
        </w:rPr>
        <w:t>-</w:t>
      </w:r>
      <w:r w:rsidRPr="00687330">
        <w:rPr>
          <w:i/>
        </w:rPr>
        <w:tab/>
        <w:t xml:space="preserve">The direction determined by the minimum </w:t>
      </w:r>
      <w:r w:rsidRPr="00687330">
        <w:rPr>
          <w:rFonts w:ascii="Symbol" w:hAnsi="Symbol"/>
          <w:i/>
        </w:rPr>
        <w:t></w:t>
      </w:r>
      <w:r w:rsidRPr="00687330">
        <w:rPr>
          <w:i/>
        </w:rPr>
        <w:t xml:space="preserve"> value achievable inside the receiver target redirection range maintaining the receiver target reference direction </w:t>
      </w:r>
      <w:r w:rsidRPr="00687330">
        <w:rPr>
          <w:rFonts w:ascii="Symbol" w:hAnsi="Symbol"/>
          <w:i/>
        </w:rPr>
        <w:t></w:t>
      </w:r>
      <w:r w:rsidRPr="00687330">
        <w:rPr>
          <w:i/>
        </w:rPr>
        <w:t xml:space="preserve"> value.</w:t>
      </w:r>
    </w:p>
    <w:p w14:paraId="48FEE0C1" w14:textId="77777777" w:rsidR="00A13DDA" w:rsidRPr="00687330" w:rsidRDefault="00A13DDA" w:rsidP="00A13DDA">
      <w:pPr>
        <w:pStyle w:val="B1"/>
        <w:rPr>
          <w:i/>
        </w:rPr>
      </w:pPr>
      <w:r w:rsidRPr="00687330">
        <w:rPr>
          <w:i/>
        </w:rPr>
        <w:t>-</w:t>
      </w:r>
      <w:r w:rsidRPr="00687330">
        <w:rPr>
          <w:i/>
        </w:rPr>
        <w:tab/>
        <w:t xml:space="preserve">The direction determined by the maximum </w:t>
      </w:r>
      <w:r w:rsidRPr="00687330">
        <w:rPr>
          <w:rFonts w:ascii="Symbol" w:hAnsi="Symbol"/>
          <w:i/>
        </w:rPr>
        <w:t></w:t>
      </w:r>
      <w:r w:rsidRPr="00687330">
        <w:rPr>
          <w:i/>
        </w:rPr>
        <w:t xml:space="preserve"> value achievable inside the receiver target redirection range maintaining the receiver target reference direction </w:t>
      </w:r>
      <w:r w:rsidRPr="00687330">
        <w:rPr>
          <w:rFonts w:ascii="Symbol" w:hAnsi="Symbol"/>
          <w:i/>
        </w:rPr>
        <w:t></w:t>
      </w:r>
      <w:r w:rsidRPr="00687330">
        <w:rPr>
          <w:i/>
        </w:rPr>
        <w:t xml:space="preserve"> value.</w:t>
      </w:r>
    </w:p>
    <w:p w14:paraId="75011850" w14:textId="77777777" w:rsidR="00A13DDA" w:rsidRPr="00687330" w:rsidRDefault="00A13DDA" w:rsidP="00A13DDA">
      <w:pPr>
        <w:pStyle w:val="B1"/>
        <w:rPr>
          <w:i/>
        </w:rPr>
      </w:pPr>
      <w:r w:rsidRPr="00687330">
        <w:rPr>
          <w:i/>
        </w:rPr>
        <w:t>-</w:t>
      </w:r>
      <w:r w:rsidRPr="00687330">
        <w:rPr>
          <w:i/>
        </w:rPr>
        <w:tab/>
        <w:t xml:space="preserve">The direction determined by the minimum </w:t>
      </w:r>
      <w:r w:rsidRPr="00687330">
        <w:rPr>
          <w:rFonts w:ascii="Symbol" w:hAnsi="Symbol"/>
          <w:i/>
        </w:rPr>
        <w:t></w:t>
      </w:r>
      <w:r w:rsidRPr="00687330">
        <w:rPr>
          <w:i/>
        </w:rPr>
        <w:t xml:space="preserve"> value achievable inside the receiver target redirection range maintaining the receiver target reference direction </w:t>
      </w:r>
      <w:r w:rsidRPr="00687330">
        <w:rPr>
          <w:rFonts w:ascii="Symbol" w:hAnsi="Symbol"/>
          <w:i/>
        </w:rPr>
        <w:t></w:t>
      </w:r>
      <w:r w:rsidRPr="00687330">
        <w:rPr>
          <w:i/>
        </w:rPr>
        <w:t xml:space="preserve"> value.</w:t>
      </w:r>
    </w:p>
    <w:p w14:paraId="460EAADA" w14:textId="77777777" w:rsidR="00A13DDA" w:rsidRPr="00687330" w:rsidRDefault="00A13DDA" w:rsidP="00A13DDA">
      <w:pPr>
        <w:rPr>
          <w:i/>
        </w:rPr>
      </w:pPr>
      <w:r w:rsidRPr="00687330">
        <w:rPr>
          <w:i/>
        </w:rPr>
        <w:t xml:space="preserve">The manufacturer declares the five directions for conformance testing, the setting of the AAS BS to achieve conformance at each of the conformance test directions, and the resulting </w:t>
      </w:r>
      <w:r w:rsidRPr="00A13DDA">
        <w:rPr>
          <w:i/>
        </w:rPr>
        <w:t xml:space="preserve">sensitivity </w:t>
      </w:r>
      <w:proofErr w:type="spellStart"/>
      <w:r w:rsidRPr="00A13DDA">
        <w:rPr>
          <w:i/>
        </w:rPr>
        <w:t>RoAoA</w:t>
      </w:r>
      <w:proofErr w:type="spellEnd"/>
      <w:r w:rsidRPr="00687330">
        <w:rPr>
          <w:i/>
        </w:rPr>
        <w:t xml:space="preserve"> for each of these settings.</w:t>
      </w:r>
    </w:p>
    <w:p w14:paraId="3BBD355A" w14:textId="078410AC" w:rsidR="00A13DDA" w:rsidRPr="00687330" w:rsidRDefault="00A13DDA" w:rsidP="00A13DDA">
      <w:pPr>
        <w:pStyle w:val="TH"/>
        <w:rPr>
          <w:i/>
        </w:rPr>
      </w:pPr>
      <w:r w:rsidRPr="00687330">
        <w:rPr>
          <w:i/>
          <w:noProof/>
        </w:rPr>
        <w:lastRenderedPageBreak/>
        <w:drawing>
          <wp:inline distT="0" distB="0" distL="0" distR="0" wp14:anchorId="351773A5" wp14:editId="6C6F5E5D">
            <wp:extent cx="6122035" cy="3421380"/>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2035" cy="3421380"/>
                    </a:xfrm>
                    <a:prstGeom prst="rect">
                      <a:avLst/>
                    </a:prstGeom>
                    <a:noFill/>
                    <a:ln>
                      <a:noFill/>
                    </a:ln>
                  </pic:spPr>
                </pic:pic>
              </a:graphicData>
            </a:graphic>
          </wp:inline>
        </w:drawing>
      </w:r>
    </w:p>
    <w:p w14:paraId="64B49476" w14:textId="77777777" w:rsidR="00A13DDA" w:rsidRPr="00687330" w:rsidRDefault="00A13DDA" w:rsidP="00A13DDA">
      <w:pPr>
        <w:pStyle w:val="TF"/>
        <w:outlineLvl w:val="0"/>
        <w:rPr>
          <w:i/>
        </w:rPr>
      </w:pPr>
      <w:r w:rsidRPr="00687330">
        <w:rPr>
          <w:i/>
        </w:rPr>
        <w:t>Figure 7.3.3-2: OSDD with target redirection capability</w:t>
      </w:r>
    </w:p>
    <w:p w14:paraId="7EB059BD" w14:textId="77777777" w:rsidR="00A13DDA" w:rsidRPr="00687330" w:rsidRDefault="00A13DDA" w:rsidP="00A13DDA">
      <w:pPr>
        <w:rPr>
          <w:i/>
        </w:rPr>
      </w:pPr>
      <w:r w:rsidRPr="00687330">
        <w:rPr>
          <w:i/>
        </w:rPr>
        <w:t xml:space="preserve">In figure 7.3.3-2, a direction diagram is showing a </w:t>
      </w:r>
      <w:r w:rsidRPr="00A13DDA">
        <w:rPr>
          <w:i/>
        </w:rPr>
        <w:t>receiver target redirection range</w:t>
      </w:r>
      <w:r w:rsidRPr="00687330">
        <w:rPr>
          <w:i/>
        </w:rPr>
        <w:t xml:space="preserve"> (with discrete settings for the </w:t>
      </w:r>
      <w:r w:rsidRPr="00A13DDA">
        <w:rPr>
          <w:i/>
        </w:rPr>
        <w:t xml:space="preserve">sensitivity </w:t>
      </w:r>
      <w:proofErr w:type="spellStart"/>
      <w:r w:rsidRPr="00A13DDA">
        <w:rPr>
          <w:i/>
        </w:rPr>
        <w:t>RoAoA</w:t>
      </w:r>
      <w:proofErr w:type="spellEnd"/>
      <w:r w:rsidRPr="00687330">
        <w:rPr>
          <w:i/>
        </w:rPr>
        <w:t xml:space="preserve">). The </w:t>
      </w:r>
      <w:r w:rsidRPr="00A13DDA">
        <w:rPr>
          <w:i/>
        </w:rPr>
        <w:t>receiver target reference direction</w:t>
      </w:r>
      <w:r w:rsidRPr="00687330">
        <w:rPr>
          <w:i/>
        </w:rPr>
        <w:t xml:space="preserve"> and the extreme directions subject to conformance testing are marked by red crosses. The </w:t>
      </w:r>
      <w:r w:rsidRPr="00A13DDA">
        <w:rPr>
          <w:i/>
        </w:rPr>
        <w:t xml:space="preserve">sensitivity </w:t>
      </w:r>
      <w:proofErr w:type="spellStart"/>
      <w:r w:rsidRPr="00A13DDA">
        <w:rPr>
          <w:i/>
        </w:rPr>
        <w:t>RoAoA</w:t>
      </w:r>
      <w:proofErr w:type="spellEnd"/>
      <w:r w:rsidRPr="00687330">
        <w:rPr>
          <w:i/>
        </w:rPr>
        <w:t xml:space="preserve"> for each conformance test setting is shown as shaded. Note that each </w:t>
      </w:r>
      <w:r w:rsidRPr="00A13DDA">
        <w:rPr>
          <w:i/>
        </w:rPr>
        <w:t xml:space="preserve">sensitivity </w:t>
      </w:r>
      <w:proofErr w:type="spellStart"/>
      <w:r w:rsidRPr="00A13DDA">
        <w:rPr>
          <w:i/>
        </w:rPr>
        <w:t>RoAoA</w:t>
      </w:r>
      <w:proofErr w:type="spellEnd"/>
      <w:r w:rsidRPr="00687330">
        <w:rPr>
          <w:i/>
        </w:rPr>
        <w:t xml:space="preserve"> is exceptionally small compared to the </w:t>
      </w:r>
      <w:r w:rsidRPr="00A13DDA">
        <w:rPr>
          <w:i/>
        </w:rPr>
        <w:t>receiver target redirection range</w:t>
      </w:r>
      <w:r w:rsidRPr="00687330">
        <w:rPr>
          <w:i/>
        </w:rPr>
        <w:t>, for demonstration purposes.</w:t>
      </w:r>
    </w:p>
    <w:p w14:paraId="4E6FB6EC" w14:textId="708045C3" w:rsidR="00A13DDA" w:rsidRDefault="00A13DDA" w:rsidP="00A13DDA">
      <w:pPr>
        <w:rPr>
          <w:i/>
        </w:rPr>
      </w:pPr>
      <w:r w:rsidRPr="00687330">
        <w:rPr>
          <w:i/>
        </w:rPr>
        <w:t>The measured EIS should be less than the declared EIS + Test Tolerance Frequency range specific Test Tolerance values for the EIS are defined in table</w:t>
      </w:r>
      <w:r w:rsidRPr="00687330">
        <w:rPr>
          <w:i/>
          <w:lang w:eastAsia="ko-KR"/>
        </w:rPr>
        <w:t xml:space="preserve"> 10.3.2.3-2</w:t>
      </w:r>
      <w:r w:rsidRPr="00687330">
        <w:rPr>
          <w:i/>
        </w:rPr>
        <w:t>.</w:t>
      </w:r>
    </w:p>
    <w:p w14:paraId="04013B49" w14:textId="4657BC05" w:rsidR="00A13DDA" w:rsidRPr="000466BE" w:rsidRDefault="000466BE" w:rsidP="00A13DDA">
      <w:r>
        <w:t xml:space="preserve">This information can be included in TS 38.141 in an Annex or in a new </w:t>
      </w:r>
      <w:r w:rsidR="003A3CFA">
        <w:t>900-series TR.</w:t>
      </w:r>
    </w:p>
    <w:p w14:paraId="46C33C85" w14:textId="77777777" w:rsidR="00E8035B" w:rsidRDefault="00E8035B" w:rsidP="0062745C">
      <w:pPr>
        <w:pStyle w:val="BodyText"/>
      </w:pPr>
    </w:p>
    <w:p w14:paraId="2E4DE7F7" w14:textId="33095F49" w:rsidR="00E33A9C" w:rsidRPr="003C0B2F" w:rsidRDefault="00E33A9C" w:rsidP="00E33A9C">
      <w:pPr>
        <w:keepNext/>
        <w:keepLines/>
        <w:spacing w:after="0"/>
        <w:jc w:val="center"/>
        <w:rPr>
          <w:rFonts w:ascii="Arial" w:eastAsia="SimSun" w:hAnsi="Arial"/>
          <w:b/>
        </w:rPr>
      </w:pPr>
      <w:r w:rsidRPr="003C0B2F">
        <w:rPr>
          <w:rFonts w:ascii="Arial" w:eastAsia="SimSun" w:hAnsi="Arial"/>
          <w:b/>
        </w:rPr>
        <w:t>Table 2-</w:t>
      </w:r>
      <w:r>
        <w:rPr>
          <w:rFonts w:ascii="Arial" w:eastAsia="SimSun" w:hAnsi="Arial"/>
          <w:b/>
        </w:rPr>
        <w:t>2</w:t>
      </w:r>
      <w:r w:rsidRPr="003C0B2F">
        <w:rPr>
          <w:rFonts w:ascii="Arial" w:eastAsia="SimSun" w:hAnsi="Arial"/>
          <w:b/>
        </w:rPr>
        <w:t xml:space="preserve">: </w:t>
      </w:r>
      <w:r>
        <w:rPr>
          <w:rFonts w:ascii="Arial" w:eastAsia="SimSun" w:hAnsi="Arial"/>
          <w:b/>
        </w:rPr>
        <w:t>References to TR 37.843</w:t>
      </w:r>
      <w:r w:rsidRPr="003C0B2F">
        <w:rPr>
          <w:rFonts w:ascii="Arial" w:eastAsia="SimSun" w:hAnsi="Arial"/>
          <w:b/>
        </w:rPr>
        <w:t xml:space="preserve"> </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55"/>
        <w:gridCol w:w="7512"/>
      </w:tblGrid>
      <w:tr w:rsidR="0031467A" w:rsidRPr="000C0827" w14:paraId="41122DCA" w14:textId="77777777" w:rsidTr="0031467A">
        <w:trPr>
          <w:tblHeader/>
          <w:jc w:val="center"/>
        </w:trPr>
        <w:tc>
          <w:tcPr>
            <w:tcW w:w="1555" w:type="dxa"/>
          </w:tcPr>
          <w:p w14:paraId="7DC8BF80" w14:textId="77777777" w:rsidR="00E33A9C" w:rsidRDefault="00E33A9C" w:rsidP="00040169">
            <w:pPr>
              <w:keepNext/>
              <w:keepLines/>
              <w:spacing w:after="0"/>
              <w:jc w:val="center"/>
              <w:rPr>
                <w:rFonts w:ascii="Arial" w:hAnsi="Arial"/>
                <w:b/>
                <w:sz w:val="18"/>
              </w:rPr>
            </w:pPr>
            <w:r>
              <w:rPr>
                <w:rFonts w:ascii="Arial" w:hAnsi="Arial"/>
                <w:b/>
                <w:sz w:val="18"/>
              </w:rPr>
              <w:t>Subclause</w:t>
            </w:r>
          </w:p>
          <w:p w14:paraId="19678A5D" w14:textId="77777777" w:rsidR="00E33A9C" w:rsidRDefault="00E33A9C" w:rsidP="00040169">
            <w:pPr>
              <w:keepNext/>
              <w:keepLines/>
              <w:spacing w:after="0"/>
              <w:jc w:val="center"/>
              <w:rPr>
                <w:rFonts w:ascii="Arial" w:hAnsi="Arial"/>
                <w:b/>
                <w:sz w:val="18"/>
              </w:rPr>
            </w:pPr>
          </w:p>
        </w:tc>
        <w:tc>
          <w:tcPr>
            <w:tcW w:w="7512" w:type="dxa"/>
            <w:shd w:val="clear" w:color="auto" w:fill="auto"/>
          </w:tcPr>
          <w:p w14:paraId="3433C4D0" w14:textId="77777777" w:rsidR="00E33A9C" w:rsidRPr="000C0827" w:rsidRDefault="00E33A9C" w:rsidP="00040169">
            <w:pPr>
              <w:keepNext/>
              <w:keepLines/>
              <w:spacing w:after="0"/>
              <w:jc w:val="center"/>
              <w:rPr>
                <w:rFonts w:ascii="Arial" w:hAnsi="Arial"/>
                <w:b/>
                <w:sz w:val="18"/>
              </w:rPr>
            </w:pPr>
            <w:r>
              <w:rPr>
                <w:rFonts w:ascii="Arial" w:hAnsi="Arial"/>
                <w:b/>
                <w:sz w:val="18"/>
              </w:rPr>
              <w:t>Context</w:t>
            </w:r>
          </w:p>
        </w:tc>
      </w:tr>
      <w:tr w:rsidR="0031467A" w:rsidRPr="000C0827" w14:paraId="1A50F66A" w14:textId="77777777" w:rsidTr="006D09A3">
        <w:trPr>
          <w:trHeight w:val="619"/>
          <w:jc w:val="center"/>
        </w:trPr>
        <w:tc>
          <w:tcPr>
            <w:tcW w:w="1555" w:type="dxa"/>
          </w:tcPr>
          <w:p w14:paraId="71736A22" w14:textId="77777777" w:rsidR="00E33A9C" w:rsidRPr="006D09A3" w:rsidRDefault="00E33A9C" w:rsidP="00040169">
            <w:pPr>
              <w:keepNext/>
              <w:keepLines/>
              <w:spacing w:after="0"/>
              <w:jc w:val="center"/>
              <w:rPr>
                <w:rFonts w:ascii="Arial" w:hAnsi="Arial" w:cs="Arial"/>
                <w:sz w:val="18"/>
                <w:szCs w:val="18"/>
                <w:lang w:eastAsia="zh-CN"/>
              </w:rPr>
            </w:pPr>
            <w:r w:rsidRPr="0031467A">
              <w:rPr>
                <w:rFonts w:ascii="Arial" w:hAnsi="Arial" w:cs="Arial"/>
                <w:sz w:val="18"/>
                <w:szCs w:val="18"/>
                <w:lang w:eastAsia="zh-CN"/>
              </w:rPr>
              <w:t>4.1.2.1</w:t>
            </w:r>
            <w:r w:rsidRPr="006D09A3">
              <w:rPr>
                <w:rFonts w:ascii="Arial" w:hAnsi="Arial" w:cs="Arial"/>
                <w:sz w:val="18"/>
                <w:szCs w:val="18"/>
                <w:lang w:eastAsia="zh-CN"/>
              </w:rPr>
              <w:t xml:space="preserve"> </w:t>
            </w:r>
          </w:p>
        </w:tc>
        <w:tc>
          <w:tcPr>
            <w:tcW w:w="7512" w:type="dxa"/>
            <w:shd w:val="clear" w:color="auto" w:fill="auto"/>
          </w:tcPr>
          <w:p w14:paraId="7D114354" w14:textId="242CB0B8" w:rsidR="00E33A9C" w:rsidRPr="0031467A" w:rsidRDefault="00E33A9C" w:rsidP="006D09A3">
            <w:pPr>
              <w:rPr>
                <w:rFonts w:ascii="Arial" w:hAnsi="Arial" w:cs="Arial"/>
                <w:sz w:val="18"/>
                <w:szCs w:val="18"/>
              </w:rPr>
            </w:pPr>
            <w:r w:rsidRPr="006D09A3">
              <w:rPr>
                <w:rFonts w:ascii="Arial" w:hAnsi="Arial" w:cs="Arial"/>
                <w:sz w:val="18"/>
                <w:szCs w:val="18"/>
              </w:rPr>
              <w:t>For details on measurement uncertainty budget calculation, OTA measurement methodology description (including calibration and measurement stage for each test range), MU budget format and its contributions, refer to TR 37.843 [16]</w:t>
            </w:r>
            <w:r w:rsidRPr="006D09A3">
              <w:rPr>
                <w:rFonts w:ascii="Arial" w:hAnsi="Arial" w:cs="Arial"/>
                <w:snapToGrid w:val="0"/>
                <w:sz w:val="18"/>
                <w:szCs w:val="18"/>
              </w:rPr>
              <w:t>.</w:t>
            </w:r>
          </w:p>
        </w:tc>
      </w:tr>
      <w:tr w:rsidR="0031467A" w:rsidRPr="000C0827" w14:paraId="0EFC619C" w14:textId="77777777" w:rsidTr="0031467A">
        <w:trPr>
          <w:jc w:val="center"/>
        </w:trPr>
        <w:tc>
          <w:tcPr>
            <w:tcW w:w="1555" w:type="dxa"/>
          </w:tcPr>
          <w:p w14:paraId="2F09EE97" w14:textId="77777777" w:rsidR="00E33A9C" w:rsidRPr="006D09A3" w:rsidRDefault="00E33A9C" w:rsidP="00040169">
            <w:pPr>
              <w:keepNext/>
              <w:keepLines/>
              <w:spacing w:after="0"/>
              <w:jc w:val="center"/>
              <w:rPr>
                <w:rFonts w:ascii="Arial" w:hAnsi="Arial" w:cs="Arial"/>
                <w:sz w:val="18"/>
                <w:szCs w:val="18"/>
                <w:lang w:eastAsia="x-none"/>
              </w:rPr>
            </w:pPr>
            <w:r w:rsidRPr="0031467A">
              <w:rPr>
                <w:rFonts w:ascii="Arial" w:hAnsi="Arial" w:cs="Arial"/>
                <w:sz w:val="18"/>
                <w:szCs w:val="18"/>
                <w:lang w:eastAsia="x-none"/>
              </w:rPr>
              <w:t>4.1.2.2</w:t>
            </w:r>
          </w:p>
        </w:tc>
        <w:tc>
          <w:tcPr>
            <w:tcW w:w="7512" w:type="dxa"/>
            <w:shd w:val="clear" w:color="auto" w:fill="auto"/>
          </w:tcPr>
          <w:p w14:paraId="2B12E588" w14:textId="77777777" w:rsidR="00E33A9C" w:rsidRPr="0031467A" w:rsidRDefault="00E33A9C" w:rsidP="00040169">
            <w:pPr>
              <w:keepNext/>
              <w:keepLines/>
              <w:spacing w:after="0"/>
              <w:jc w:val="center"/>
              <w:rPr>
                <w:rFonts w:ascii="Arial" w:hAnsi="Arial" w:cs="Arial"/>
                <w:sz w:val="18"/>
                <w:szCs w:val="18"/>
                <w:lang w:eastAsia="x-none"/>
              </w:rPr>
            </w:pPr>
            <w:r w:rsidRPr="006D09A3">
              <w:rPr>
                <w:rFonts w:ascii="Arial" w:hAnsi="Arial" w:cs="Arial"/>
                <w:sz w:val="18"/>
                <w:szCs w:val="18"/>
              </w:rPr>
              <w:t xml:space="preserve">NOTE: Fulfilling the criteria for CLTA selection and placement in subclause 4.12 is deemed </w:t>
            </w:r>
            <w:proofErr w:type="gramStart"/>
            <w:r w:rsidRPr="006D09A3">
              <w:rPr>
                <w:rFonts w:ascii="Arial" w:hAnsi="Arial" w:cs="Arial"/>
                <w:sz w:val="18"/>
                <w:szCs w:val="18"/>
              </w:rPr>
              <w:t>sufficient</w:t>
            </w:r>
            <w:proofErr w:type="gramEnd"/>
            <w:r w:rsidRPr="006D09A3">
              <w:rPr>
                <w:rFonts w:ascii="Arial" w:hAnsi="Arial" w:cs="Arial"/>
                <w:sz w:val="18"/>
                <w:szCs w:val="18"/>
              </w:rPr>
              <w:t xml:space="preserve"> for the test purposes. When these criteria are met, the measurement uncertainty related to the selection of the co-location test antenna and its alignment as specified in the appropriate measurement uncertainty budget in TR 37.843 [16], subclause 10.6 shall be used for evaluating the test system uncertainty.</w:t>
            </w:r>
          </w:p>
        </w:tc>
      </w:tr>
      <w:tr w:rsidR="0031467A" w:rsidRPr="000C0827" w14:paraId="2D45140B" w14:textId="77777777" w:rsidTr="0031467A">
        <w:trPr>
          <w:jc w:val="center"/>
        </w:trPr>
        <w:tc>
          <w:tcPr>
            <w:tcW w:w="1555" w:type="dxa"/>
          </w:tcPr>
          <w:p w14:paraId="033950ED" w14:textId="77777777" w:rsidR="00E33A9C" w:rsidRPr="006D09A3" w:rsidRDefault="00E33A9C" w:rsidP="00040169">
            <w:pPr>
              <w:keepNext/>
              <w:keepLines/>
              <w:spacing w:after="0"/>
              <w:jc w:val="center"/>
              <w:rPr>
                <w:rFonts w:ascii="Arial" w:hAnsi="Arial" w:cs="Arial"/>
                <w:sz w:val="18"/>
                <w:szCs w:val="18"/>
                <w:lang w:eastAsia="x-none"/>
              </w:rPr>
            </w:pPr>
            <w:r w:rsidRPr="0031467A">
              <w:rPr>
                <w:rFonts w:ascii="Arial" w:hAnsi="Arial" w:cs="Arial"/>
                <w:sz w:val="18"/>
                <w:szCs w:val="18"/>
                <w:lang w:eastAsia="x-none"/>
              </w:rPr>
              <w:t>4.1.2.3</w:t>
            </w:r>
          </w:p>
        </w:tc>
        <w:tc>
          <w:tcPr>
            <w:tcW w:w="7512" w:type="dxa"/>
            <w:shd w:val="clear" w:color="auto" w:fill="auto"/>
          </w:tcPr>
          <w:p w14:paraId="48E250DD" w14:textId="77777777" w:rsidR="00E33A9C" w:rsidRPr="006D09A3" w:rsidRDefault="00E33A9C" w:rsidP="00040169">
            <w:pPr>
              <w:keepNext/>
              <w:keepLines/>
              <w:spacing w:after="0"/>
              <w:jc w:val="center"/>
              <w:rPr>
                <w:rFonts w:ascii="Arial" w:hAnsi="Arial" w:cs="Arial"/>
                <w:sz w:val="18"/>
                <w:szCs w:val="18"/>
                <w:lang w:eastAsia="x-none"/>
              </w:rPr>
            </w:pPr>
            <w:r w:rsidRPr="006D09A3">
              <w:rPr>
                <w:rFonts w:ascii="Arial" w:hAnsi="Arial" w:cs="Arial"/>
                <w:sz w:val="18"/>
                <w:szCs w:val="18"/>
                <w:lang w:eastAsia="x-none"/>
              </w:rPr>
              <w:t xml:space="preserve">NOTE: Fulfilling the criteria for CLTA selection and placement in subclause 4.12 is deemed </w:t>
            </w:r>
            <w:proofErr w:type="gramStart"/>
            <w:r w:rsidRPr="006D09A3">
              <w:rPr>
                <w:rFonts w:ascii="Arial" w:hAnsi="Arial" w:cs="Arial"/>
                <w:sz w:val="18"/>
                <w:szCs w:val="18"/>
                <w:lang w:eastAsia="x-none"/>
              </w:rPr>
              <w:t>sufficient</w:t>
            </w:r>
            <w:proofErr w:type="gramEnd"/>
            <w:r w:rsidRPr="006D09A3">
              <w:rPr>
                <w:rFonts w:ascii="Arial" w:hAnsi="Arial" w:cs="Arial"/>
                <w:sz w:val="18"/>
                <w:szCs w:val="18"/>
                <w:lang w:eastAsia="x-none"/>
              </w:rPr>
              <w:t xml:space="preserve"> for the test purposes. When these criteria are met, the measurement uncertainty related to the selection of the co-location test antenna and its alignment as specified in the appropriate measurement uncertainty budget in TR 37.843 [16], subclause 10.6 shall be used for evaluating the test system uncertainty.</w:t>
            </w:r>
          </w:p>
        </w:tc>
      </w:tr>
      <w:tr w:rsidR="0031467A" w:rsidRPr="000C0827" w14:paraId="025EC2BF" w14:textId="77777777" w:rsidTr="00687330">
        <w:trPr>
          <w:trHeight w:val="532"/>
          <w:jc w:val="center"/>
        </w:trPr>
        <w:tc>
          <w:tcPr>
            <w:tcW w:w="1555" w:type="dxa"/>
          </w:tcPr>
          <w:p w14:paraId="4E1EA7BD" w14:textId="77777777" w:rsidR="00E33A9C" w:rsidRPr="006D09A3" w:rsidRDefault="00E33A9C" w:rsidP="00040169">
            <w:pPr>
              <w:keepNext/>
              <w:keepLines/>
              <w:spacing w:after="0"/>
              <w:jc w:val="center"/>
              <w:rPr>
                <w:rFonts w:ascii="Arial" w:hAnsi="Arial" w:cs="Arial"/>
                <w:sz w:val="18"/>
                <w:szCs w:val="18"/>
                <w:lang w:eastAsia="x-none"/>
              </w:rPr>
            </w:pPr>
            <w:r w:rsidRPr="0031467A">
              <w:rPr>
                <w:rFonts w:ascii="Arial" w:hAnsi="Arial" w:cs="Arial"/>
                <w:sz w:val="18"/>
                <w:szCs w:val="18"/>
                <w:lang w:eastAsia="x-none"/>
              </w:rPr>
              <w:t>Annex D</w:t>
            </w:r>
          </w:p>
        </w:tc>
        <w:tc>
          <w:tcPr>
            <w:tcW w:w="7512" w:type="dxa"/>
            <w:shd w:val="clear" w:color="auto" w:fill="auto"/>
          </w:tcPr>
          <w:p w14:paraId="241630E7" w14:textId="393F2F56" w:rsidR="00E33A9C" w:rsidRPr="00687330" w:rsidRDefault="00E33A9C" w:rsidP="00687330">
            <w:pPr>
              <w:pStyle w:val="BodyText"/>
              <w:rPr>
                <w:rFonts w:ascii="Arial" w:hAnsi="Arial" w:cs="Arial"/>
                <w:sz w:val="18"/>
                <w:szCs w:val="18"/>
                <w:lang w:eastAsia="sv-SE"/>
              </w:rPr>
            </w:pPr>
            <w:r w:rsidRPr="00687330">
              <w:rPr>
                <w:rFonts w:ascii="Arial" w:hAnsi="Arial" w:cs="Arial"/>
                <w:sz w:val="18"/>
                <w:szCs w:val="18"/>
                <w:lang w:eastAsia="sv-SE"/>
              </w:rPr>
              <w:t xml:space="preserve">OTA test requirements specific and OTA measurement chamber specific calibration (and measurement) procedures were captured in </w:t>
            </w:r>
            <w:r w:rsidRPr="00687330">
              <w:rPr>
                <w:rFonts w:ascii="Arial" w:hAnsi="Arial" w:cs="Arial"/>
                <w:sz w:val="18"/>
                <w:szCs w:val="18"/>
              </w:rPr>
              <w:t>TR 37</w:t>
            </w:r>
            <w:r w:rsidRPr="00687330">
              <w:rPr>
                <w:rFonts w:ascii="Arial" w:hAnsi="Arial" w:cs="Arial"/>
                <w:sz w:val="18"/>
                <w:szCs w:val="18"/>
                <w:lang w:eastAsia="sv-SE"/>
              </w:rPr>
              <w:t>.843 [16] for the OTA AAS BS for the following requirements sets:</w:t>
            </w:r>
          </w:p>
        </w:tc>
      </w:tr>
      <w:tr w:rsidR="0031467A" w:rsidRPr="000C0827" w14:paraId="01611620" w14:textId="77777777" w:rsidTr="0031467A">
        <w:trPr>
          <w:jc w:val="center"/>
        </w:trPr>
        <w:tc>
          <w:tcPr>
            <w:tcW w:w="1555" w:type="dxa"/>
          </w:tcPr>
          <w:p w14:paraId="0861CF0A" w14:textId="77777777" w:rsidR="00E33A9C" w:rsidRPr="006D09A3" w:rsidRDefault="00E33A9C" w:rsidP="00040169">
            <w:pPr>
              <w:keepNext/>
              <w:keepLines/>
              <w:spacing w:after="0"/>
              <w:jc w:val="center"/>
              <w:rPr>
                <w:rFonts w:ascii="Arial" w:hAnsi="Arial" w:cs="Arial"/>
                <w:sz w:val="18"/>
                <w:szCs w:val="18"/>
                <w:lang w:eastAsia="x-none"/>
              </w:rPr>
            </w:pPr>
            <w:r w:rsidRPr="0031467A">
              <w:rPr>
                <w:rFonts w:ascii="Arial" w:hAnsi="Arial" w:cs="Arial"/>
                <w:sz w:val="18"/>
                <w:szCs w:val="18"/>
                <w:lang w:eastAsia="x-none"/>
              </w:rPr>
              <w:t>A</w:t>
            </w:r>
            <w:r w:rsidRPr="006D09A3">
              <w:rPr>
                <w:rFonts w:ascii="Arial" w:hAnsi="Arial" w:cs="Arial"/>
                <w:sz w:val="18"/>
                <w:szCs w:val="18"/>
                <w:lang w:eastAsia="x-none"/>
              </w:rPr>
              <w:t>nnex D</w:t>
            </w:r>
          </w:p>
        </w:tc>
        <w:tc>
          <w:tcPr>
            <w:tcW w:w="7512" w:type="dxa"/>
            <w:shd w:val="clear" w:color="auto" w:fill="auto"/>
          </w:tcPr>
          <w:p w14:paraId="46BAA537" w14:textId="396823E8" w:rsidR="00E33A9C" w:rsidRPr="006D09A3" w:rsidRDefault="00E33A9C" w:rsidP="00040169">
            <w:pPr>
              <w:rPr>
                <w:rFonts w:ascii="Arial" w:hAnsi="Arial" w:cs="Arial"/>
                <w:sz w:val="18"/>
                <w:szCs w:val="18"/>
                <w:lang w:eastAsia="sv-SE"/>
              </w:rPr>
            </w:pPr>
            <w:r w:rsidRPr="006D09A3">
              <w:rPr>
                <w:rFonts w:ascii="Arial" w:hAnsi="Arial" w:cs="Arial"/>
                <w:sz w:val="18"/>
                <w:szCs w:val="18"/>
                <w:lang w:eastAsia="sv-SE"/>
              </w:rPr>
              <w:t xml:space="preserve">All the calibrations procedures captured for OTA AAS BS in TR 37.843 [16] for the frequency range up to 4.2 GHz, are assumed to be also applicable to </w:t>
            </w:r>
            <w:r w:rsidRPr="006D09A3">
              <w:rPr>
                <w:rFonts w:ascii="Arial" w:hAnsi="Arial" w:cs="Arial"/>
                <w:i/>
                <w:sz w:val="18"/>
                <w:szCs w:val="18"/>
                <w:lang w:eastAsia="sv-SE"/>
              </w:rPr>
              <w:t>BS type 1-H</w:t>
            </w:r>
            <w:r w:rsidRPr="006D09A3">
              <w:rPr>
                <w:rFonts w:ascii="Arial" w:hAnsi="Arial" w:cs="Arial"/>
                <w:sz w:val="18"/>
                <w:szCs w:val="18"/>
                <w:lang w:eastAsia="sv-SE"/>
              </w:rPr>
              <w:t xml:space="preserve"> and </w:t>
            </w:r>
            <w:r w:rsidRPr="006D09A3">
              <w:rPr>
                <w:rFonts w:ascii="Arial" w:hAnsi="Arial" w:cs="Arial"/>
                <w:i/>
                <w:sz w:val="18"/>
                <w:szCs w:val="18"/>
                <w:lang w:eastAsia="sv-SE"/>
              </w:rPr>
              <w:t>BS type 1-O</w:t>
            </w:r>
            <w:r w:rsidRPr="006D09A3">
              <w:rPr>
                <w:rFonts w:ascii="Arial" w:hAnsi="Arial" w:cs="Arial"/>
                <w:sz w:val="18"/>
                <w:szCs w:val="18"/>
                <w:lang w:eastAsia="sv-SE"/>
              </w:rPr>
              <w:t xml:space="preserve"> for the FR1 frequency range, i.e. up to 6 GHz.</w:t>
            </w:r>
          </w:p>
        </w:tc>
      </w:tr>
    </w:tbl>
    <w:p w14:paraId="3C4E8CC3" w14:textId="2ED4DAF1" w:rsidR="00565C40" w:rsidRDefault="00565C40" w:rsidP="0062745C">
      <w:pPr>
        <w:pStyle w:val="BodyText"/>
      </w:pPr>
    </w:p>
    <w:p w14:paraId="36E02233" w14:textId="1D1F22E4" w:rsidR="003A3CFA" w:rsidRDefault="00664B4E" w:rsidP="0062745C">
      <w:pPr>
        <w:pStyle w:val="BodyText"/>
      </w:pPr>
      <w:r>
        <w:lastRenderedPageBreak/>
        <w:t xml:space="preserve">The references </w:t>
      </w:r>
      <w:r w:rsidR="006473EA">
        <w:t>to TR 37.843 points at clause 10, which holds</w:t>
      </w:r>
      <w:r w:rsidR="00742DA3">
        <w:t xml:space="preserve"> OTA conformance testing aspects, such as </w:t>
      </w:r>
      <w:r w:rsidR="001C09A3">
        <w:t xml:space="preserve">test method description and </w:t>
      </w:r>
      <w:r w:rsidR="00D16774">
        <w:t>measurement</w:t>
      </w:r>
      <w:r w:rsidR="001C09A3">
        <w:t xml:space="preserve"> </w:t>
      </w:r>
      <w:r w:rsidR="00D16774">
        <w:t>uncertainty</w:t>
      </w:r>
      <w:r w:rsidR="001C09A3">
        <w:t xml:space="preserve"> </w:t>
      </w:r>
      <w:r w:rsidR="000101BF">
        <w:t xml:space="preserve">evaluation. The </w:t>
      </w:r>
      <w:r w:rsidR="00D16774">
        <w:t>measurement uncertainty</w:t>
      </w:r>
      <w:r w:rsidR="000101BF">
        <w:t xml:space="preserve"> </w:t>
      </w:r>
      <w:r w:rsidR="00D16774">
        <w:t>evaluation</w:t>
      </w:r>
      <w:r w:rsidR="000101BF">
        <w:t xml:space="preserve"> is used as baseline for the test tolerance</w:t>
      </w:r>
      <w:r w:rsidR="00D16774">
        <w:t xml:space="preserve"> part of the test requirement.</w:t>
      </w:r>
      <w:r w:rsidR="009F6AA1">
        <w:t xml:space="preserve"> Clause 10 </w:t>
      </w:r>
      <w:r w:rsidR="00FB4F11">
        <w:t xml:space="preserve">holds essential information </w:t>
      </w:r>
      <w:r w:rsidR="00950A00">
        <w:t xml:space="preserve">regarding how different OTA test setups </w:t>
      </w:r>
      <w:r w:rsidR="004E6B65">
        <w:t xml:space="preserve">and corresponding test methods </w:t>
      </w:r>
      <w:r w:rsidR="00C87AB2">
        <w:t>can be used</w:t>
      </w:r>
      <w:r w:rsidR="006457D3">
        <w:t xml:space="preserve"> for different </w:t>
      </w:r>
      <w:r w:rsidR="00AE5F9D">
        <w:t>requirements</w:t>
      </w:r>
      <w:r w:rsidR="00C87AB2">
        <w:t>.</w:t>
      </w:r>
      <w:r w:rsidR="006457D3">
        <w:t xml:space="preserve"> </w:t>
      </w:r>
      <w:r w:rsidR="00BE4C4D">
        <w:t xml:space="preserve">The size of clause 10 is 155 pages </w:t>
      </w:r>
      <w:r w:rsidR="00703B45">
        <w:t xml:space="preserve">which </w:t>
      </w:r>
      <w:r w:rsidR="00BE4C4D">
        <w:t>correspond</w:t>
      </w:r>
      <w:r w:rsidR="00703B45">
        <w:t>s</w:t>
      </w:r>
      <w:r w:rsidR="00BE4C4D">
        <w:t xml:space="preserve"> to </w:t>
      </w:r>
      <w:r w:rsidR="00AE5F9D">
        <w:t>approximate 90 % of TR 37.843.</w:t>
      </w:r>
      <w:r w:rsidR="00703B45">
        <w:t xml:space="preserve"> Also, clause 10 refers to </w:t>
      </w:r>
      <w:r w:rsidR="007734D9">
        <w:t>TR 37.842</w:t>
      </w:r>
      <w:r w:rsidR="00301AB0">
        <w:t xml:space="preserve"> at multiple locations. </w:t>
      </w:r>
      <w:r w:rsidR="00AE5F9D">
        <w:t xml:space="preserve"> </w:t>
      </w:r>
      <w:r w:rsidR="00C87AB2">
        <w:t xml:space="preserve"> </w:t>
      </w:r>
      <w:r w:rsidR="00950A00">
        <w:t xml:space="preserve"> </w:t>
      </w:r>
    </w:p>
    <w:p w14:paraId="57879E49" w14:textId="77777777" w:rsidR="004B372C" w:rsidRDefault="004B372C" w:rsidP="0062745C">
      <w:pPr>
        <w:pStyle w:val="BodyText"/>
      </w:pPr>
    </w:p>
    <w:p w14:paraId="04517594" w14:textId="6B68B42F" w:rsidR="00E20B05" w:rsidRPr="003C0B2F" w:rsidRDefault="00E20B05" w:rsidP="00E20B05">
      <w:pPr>
        <w:keepNext/>
        <w:keepLines/>
        <w:spacing w:after="0"/>
        <w:jc w:val="center"/>
        <w:rPr>
          <w:rFonts w:ascii="Arial" w:eastAsia="SimSun" w:hAnsi="Arial"/>
          <w:b/>
        </w:rPr>
      </w:pPr>
      <w:r w:rsidRPr="003C0B2F">
        <w:rPr>
          <w:rFonts w:ascii="Arial" w:eastAsia="SimSun" w:hAnsi="Arial"/>
          <w:b/>
        </w:rPr>
        <w:t>Table 2-</w:t>
      </w:r>
      <w:r w:rsidR="004C37E9">
        <w:rPr>
          <w:rFonts w:ascii="Arial" w:eastAsia="SimSun" w:hAnsi="Arial"/>
          <w:b/>
        </w:rPr>
        <w:t>3</w:t>
      </w:r>
      <w:r w:rsidRPr="003C0B2F">
        <w:rPr>
          <w:rFonts w:ascii="Arial" w:eastAsia="SimSun" w:hAnsi="Arial"/>
          <w:b/>
        </w:rPr>
        <w:t xml:space="preserve">: </w:t>
      </w:r>
      <w:r w:rsidR="004E05FF">
        <w:rPr>
          <w:rFonts w:ascii="Arial" w:eastAsia="SimSun" w:hAnsi="Arial"/>
          <w:b/>
        </w:rPr>
        <w:t>References to TR</w:t>
      </w:r>
      <w:r w:rsidR="00CF6A42">
        <w:rPr>
          <w:rFonts w:ascii="Arial" w:eastAsia="SimSun" w:hAnsi="Arial"/>
          <w:b/>
        </w:rPr>
        <w:t xml:space="preserve"> 38.817-02</w:t>
      </w:r>
      <w:r w:rsidRPr="003C0B2F">
        <w:rPr>
          <w:rFonts w:ascii="Arial" w:eastAsia="SimSun" w:hAnsi="Arial"/>
          <w:b/>
        </w:rPr>
        <w:t xml:space="preserve"> </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60"/>
        <w:gridCol w:w="7507"/>
      </w:tblGrid>
      <w:tr w:rsidR="004E05FF" w:rsidRPr="000C0827" w14:paraId="4A74429E" w14:textId="77777777" w:rsidTr="006D09A3">
        <w:trPr>
          <w:tblHeader/>
          <w:jc w:val="center"/>
        </w:trPr>
        <w:tc>
          <w:tcPr>
            <w:tcW w:w="1560" w:type="dxa"/>
          </w:tcPr>
          <w:p w14:paraId="76A8D441" w14:textId="0BAA0C27" w:rsidR="004E05FF" w:rsidRDefault="004E05FF" w:rsidP="009C4F9B">
            <w:pPr>
              <w:keepNext/>
              <w:keepLines/>
              <w:spacing w:after="0"/>
              <w:jc w:val="center"/>
              <w:rPr>
                <w:rFonts w:ascii="Arial" w:hAnsi="Arial"/>
                <w:b/>
                <w:sz w:val="18"/>
              </w:rPr>
            </w:pPr>
            <w:r>
              <w:rPr>
                <w:rFonts w:ascii="Arial" w:hAnsi="Arial"/>
                <w:b/>
                <w:sz w:val="18"/>
              </w:rPr>
              <w:t>Subclause</w:t>
            </w:r>
          </w:p>
          <w:p w14:paraId="45E3A9EA" w14:textId="77777777" w:rsidR="004E05FF" w:rsidRDefault="004E05FF" w:rsidP="009C4F9B">
            <w:pPr>
              <w:keepNext/>
              <w:keepLines/>
              <w:spacing w:after="0"/>
              <w:jc w:val="center"/>
              <w:rPr>
                <w:rFonts w:ascii="Arial" w:hAnsi="Arial"/>
                <w:b/>
                <w:sz w:val="18"/>
              </w:rPr>
            </w:pPr>
          </w:p>
        </w:tc>
        <w:tc>
          <w:tcPr>
            <w:tcW w:w="7507" w:type="dxa"/>
            <w:shd w:val="clear" w:color="auto" w:fill="auto"/>
          </w:tcPr>
          <w:p w14:paraId="21F013DA" w14:textId="5302CCAE" w:rsidR="004E05FF" w:rsidRPr="000C0827" w:rsidRDefault="004E05FF" w:rsidP="009C4F9B">
            <w:pPr>
              <w:keepNext/>
              <w:keepLines/>
              <w:spacing w:after="0"/>
              <w:jc w:val="center"/>
              <w:rPr>
                <w:rFonts w:ascii="Arial" w:hAnsi="Arial"/>
                <w:b/>
                <w:sz w:val="18"/>
              </w:rPr>
            </w:pPr>
            <w:r>
              <w:rPr>
                <w:rFonts w:ascii="Arial" w:hAnsi="Arial"/>
                <w:b/>
                <w:sz w:val="18"/>
              </w:rPr>
              <w:t>Context</w:t>
            </w:r>
          </w:p>
        </w:tc>
      </w:tr>
      <w:tr w:rsidR="004E05FF" w:rsidRPr="000C0827" w14:paraId="62B6A76E" w14:textId="77777777" w:rsidTr="006D09A3">
        <w:trPr>
          <w:jc w:val="center"/>
        </w:trPr>
        <w:tc>
          <w:tcPr>
            <w:tcW w:w="1560" w:type="dxa"/>
          </w:tcPr>
          <w:p w14:paraId="692C8056" w14:textId="6D0AFCAF" w:rsidR="004E05FF" w:rsidRDefault="004E05FF" w:rsidP="009C4F9B">
            <w:pPr>
              <w:keepNext/>
              <w:keepLines/>
              <w:spacing w:after="0"/>
              <w:jc w:val="center"/>
              <w:rPr>
                <w:rFonts w:ascii="Arial" w:hAnsi="Arial"/>
                <w:sz w:val="18"/>
                <w:szCs w:val="18"/>
                <w:lang w:eastAsia="zh-CN"/>
              </w:rPr>
            </w:pPr>
            <w:r>
              <w:rPr>
                <w:rFonts w:ascii="Arial" w:hAnsi="Arial"/>
                <w:sz w:val="18"/>
                <w:szCs w:val="18"/>
                <w:lang w:eastAsia="zh-CN"/>
              </w:rPr>
              <w:t xml:space="preserve">4.1.2.2 </w:t>
            </w:r>
          </w:p>
        </w:tc>
        <w:tc>
          <w:tcPr>
            <w:tcW w:w="7507" w:type="dxa"/>
            <w:shd w:val="clear" w:color="auto" w:fill="auto"/>
          </w:tcPr>
          <w:p w14:paraId="6B445462" w14:textId="7872BCC4" w:rsidR="004E05FF" w:rsidRPr="000C0827" w:rsidRDefault="004E05FF" w:rsidP="009C4F9B">
            <w:pPr>
              <w:keepNext/>
              <w:keepLines/>
              <w:spacing w:after="0"/>
              <w:jc w:val="center"/>
              <w:rPr>
                <w:rFonts w:ascii="Arial" w:hAnsi="Arial"/>
                <w:sz w:val="18"/>
                <w:szCs w:val="18"/>
                <w:lang w:eastAsia="zh-CN"/>
              </w:rPr>
            </w:pPr>
            <w:r w:rsidRPr="00EC7834">
              <w:rPr>
                <w:rFonts w:ascii="Arial" w:hAnsi="Arial"/>
                <w:sz w:val="18"/>
                <w:szCs w:val="18"/>
                <w:lang w:eastAsia="zh-CN"/>
              </w:rPr>
              <w:t>The maximum OTA Test System uncertainty for OTA transmitter tests minimum requirements are given in tables 4.1.2.2-1 and 4.1.2.2-2. Details for derivation of OTA Test System uncertainty are given in corresponding subclauses in TR 38.817-02 [17].</w:t>
            </w:r>
          </w:p>
        </w:tc>
      </w:tr>
      <w:tr w:rsidR="004E05FF" w:rsidRPr="000C0827" w14:paraId="1BDD56B4" w14:textId="77777777" w:rsidTr="006D09A3">
        <w:trPr>
          <w:jc w:val="center"/>
        </w:trPr>
        <w:tc>
          <w:tcPr>
            <w:tcW w:w="1560" w:type="dxa"/>
          </w:tcPr>
          <w:p w14:paraId="144223F2" w14:textId="63CFA548" w:rsidR="004E05FF" w:rsidRDefault="004E05FF" w:rsidP="009C4F9B">
            <w:pPr>
              <w:keepNext/>
              <w:keepLines/>
              <w:spacing w:after="0"/>
              <w:jc w:val="center"/>
              <w:rPr>
                <w:rFonts w:ascii="Arial" w:hAnsi="Arial"/>
                <w:sz w:val="18"/>
                <w:lang w:eastAsia="x-none"/>
              </w:rPr>
            </w:pPr>
            <w:r>
              <w:rPr>
                <w:rFonts w:ascii="Arial" w:hAnsi="Arial"/>
                <w:sz w:val="18"/>
                <w:lang w:eastAsia="x-none"/>
              </w:rPr>
              <w:t>4.1.2.3</w:t>
            </w:r>
          </w:p>
        </w:tc>
        <w:tc>
          <w:tcPr>
            <w:tcW w:w="7507" w:type="dxa"/>
            <w:shd w:val="clear" w:color="auto" w:fill="auto"/>
          </w:tcPr>
          <w:p w14:paraId="4869AD7E" w14:textId="45DF7F28" w:rsidR="004E05FF" w:rsidRPr="000C0827" w:rsidRDefault="004E05FF" w:rsidP="009C4F9B">
            <w:pPr>
              <w:keepNext/>
              <w:keepLines/>
              <w:spacing w:after="0"/>
              <w:jc w:val="center"/>
              <w:rPr>
                <w:rFonts w:ascii="Arial" w:hAnsi="Arial"/>
                <w:sz w:val="18"/>
                <w:lang w:eastAsia="x-none"/>
              </w:rPr>
            </w:pPr>
            <w:r w:rsidRPr="002515C2">
              <w:rPr>
                <w:rFonts w:ascii="Arial" w:hAnsi="Arial"/>
                <w:sz w:val="18"/>
                <w:lang w:eastAsia="x-none"/>
              </w:rPr>
              <w:t>The maximum OTA Test System uncertainty for OTA receiver tests minimum requirements are given in tables 4.1.2.3-1 and 4.1.2.3-2. Details for derivation of OTA Test System uncertainty are given in corresponding subclauses in TR 38.817-02 [17].</w:t>
            </w:r>
          </w:p>
        </w:tc>
      </w:tr>
    </w:tbl>
    <w:p w14:paraId="08D044AB" w14:textId="77777777" w:rsidR="004B372C" w:rsidRDefault="004B372C" w:rsidP="0062745C">
      <w:pPr>
        <w:pStyle w:val="BodyText"/>
      </w:pPr>
    </w:p>
    <w:p w14:paraId="38E7080C" w14:textId="77777777" w:rsidR="004B372C" w:rsidRDefault="004B372C" w:rsidP="0062745C">
      <w:pPr>
        <w:pStyle w:val="BodyText"/>
      </w:pPr>
    </w:p>
    <w:p w14:paraId="3B33E3B1" w14:textId="48F83848" w:rsidR="007227B7" w:rsidRDefault="00213F4B" w:rsidP="00213F4B">
      <w:pPr>
        <w:pStyle w:val="BodyText"/>
      </w:pPr>
      <w:r>
        <w:t xml:space="preserve">The references to TR </w:t>
      </w:r>
      <w:r w:rsidR="00470041">
        <w:t>38.817-02</w:t>
      </w:r>
      <w:r>
        <w:t xml:space="preserve"> points at clause 1</w:t>
      </w:r>
      <w:r w:rsidR="007F1548">
        <w:t>2</w:t>
      </w:r>
      <w:r>
        <w:t>, which holds OTA conformance testing aspects</w:t>
      </w:r>
      <w:r w:rsidR="007F1548">
        <w:t xml:space="preserve"> relevant for FR2</w:t>
      </w:r>
      <w:r>
        <w:t>, such as test method description and measurement uncertainty evaluation. The measurement uncertainty evaluation is used as baseline for the test tolerance part of the test requirement. Clause 1</w:t>
      </w:r>
      <w:r w:rsidR="007F1548">
        <w:t>2</w:t>
      </w:r>
      <w:r>
        <w:t xml:space="preserve"> holds essential information regarding how different OTA test setups and corresponding test methods can be used for different requirements. The size of clause 1</w:t>
      </w:r>
      <w:r w:rsidR="007F1548">
        <w:t>2</w:t>
      </w:r>
      <w:r>
        <w:t xml:space="preserve"> is </w:t>
      </w:r>
      <w:r w:rsidR="001923AD">
        <w:t>43</w:t>
      </w:r>
      <w:r w:rsidR="00D475F7">
        <w:t xml:space="preserve"> pages</w:t>
      </w:r>
      <w:r>
        <w:t xml:space="preserve">. </w:t>
      </w:r>
      <w:r w:rsidR="00670EAC">
        <w:t>In</w:t>
      </w:r>
      <w:r>
        <w:t xml:space="preserve"> clause 1</w:t>
      </w:r>
      <w:r w:rsidR="00670EAC">
        <w:t>2</w:t>
      </w:r>
      <w:r>
        <w:t xml:space="preserve"> </w:t>
      </w:r>
      <w:r w:rsidR="00670EAC">
        <w:t xml:space="preserve">multiple references </w:t>
      </w:r>
      <w:r>
        <w:t xml:space="preserve">to TR 37.842 </w:t>
      </w:r>
      <w:r w:rsidR="00670EAC">
        <w:t>exists</w:t>
      </w:r>
      <w:r>
        <w:t xml:space="preserve">.   </w:t>
      </w:r>
    </w:p>
    <w:p w14:paraId="122C897B" w14:textId="77777777" w:rsidR="004B372C" w:rsidRDefault="004B372C" w:rsidP="004B372C">
      <w:pPr>
        <w:pStyle w:val="BodyText"/>
      </w:pPr>
    </w:p>
    <w:p w14:paraId="1A490ADB" w14:textId="68E4F33E" w:rsidR="0064739E" w:rsidRDefault="00894646" w:rsidP="00687330">
      <w:pPr>
        <w:pStyle w:val="BodyText"/>
      </w:pPr>
      <w:r>
        <w:t xml:space="preserve">In Figure 2-1, the </w:t>
      </w:r>
      <w:r w:rsidR="00687330">
        <w:t>induvial</w:t>
      </w:r>
      <w:r>
        <w:t xml:space="preserve"> references </w:t>
      </w:r>
      <w:r w:rsidR="00687330">
        <w:t xml:space="preserve">from TS 38.141-2 to internal .800-series technical reports is visualized. </w:t>
      </w:r>
    </w:p>
    <w:p w14:paraId="08FD0A7B" w14:textId="08D18CC4" w:rsidR="00F837A1" w:rsidRDefault="00F473A1" w:rsidP="00687330">
      <w:pPr>
        <w:pStyle w:val="BodyText"/>
        <w:ind w:firstLine="1701"/>
      </w:pPr>
      <w:r w:rsidRPr="00F473A1">
        <w:rPr>
          <w:noProof/>
        </w:rPr>
        <w:drawing>
          <wp:inline distT="0" distB="0" distL="0" distR="0" wp14:anchorId="05933B24" wp14:editId="2C1390F0">
            <wp:extent cx="3683635" cy="3024929"/>
            <wp:effectExtent l="0" t="0" r="0" b="444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690792" cy="3030806"/>
                    </a:xfrm>
                    <a:prstGeom prst="rect">
                      <a:avLst/>
                    </a:prstGeom>
                    <a:noFill/>
                    <a:ln>
                      <a:noFill/>
                    </a:ln>
                  </pic:spPr>
                </pic:pic>
              </a:graphicData>
            </a:graphic>
          </wp:inline>
        </w:drawing>
      </w:r>
    </w:p>
    <w:p w14:paraId="4232D464" w14:textId="571B4EB9" w:rsidR="0064739E" w:rsidRDefault="00F837A1" w:rsidP="003E6510">
      <w:pPr>
        <w:keepLines/>
        <w:spacing w:after="240"/>
        <w:jc w:val="center"/>
        <w:outlineLvl w:val="0"/>
        <w:rPr>
          <w:rFonts w:ascii="Arial" w:hAnsi="Arial"/>
          <w:b/>
          <w:lang w:eastAsia="x-none"/>
        </w:rPr>
      </w:pPr>
      <w:r>
        <w:rPr>
          <w:rFonts w:ascii="Arial" w:hAnsi="Arial"/>
          <w:b/>
          <w:lang w:eastAsia="x-none"/>
        </w:rPr>
        <w:t>Figure 2</w:t>
      </w:r>
      <w:r w:rsidRPr="009D1119">
        <w:rPr>
          <w:rFonts w:ascii="Arial" w:hAnsi="Arial"/>
          <w:b/>
          <w:lang w:eastAsia="x-none"/>
        </w:rPr>
        <w:t>-1:</w:t>
      </w:r>
      <w:r>
        <w:rPr>
          <w:rFonts w:ascii="Arial" w:hAnsi="Arial"/>
          <w:b/>
          <w:lang w:eastAsia="x-none"/>
        </w:rPr>
        <w:t xml:space="preserve"> </w:t>
      </w:r>
      <w:r w:rsidR="00AD057C">
        <w:rPr>
          <w:rFonts w:ascii="Arial" w:hAnsi="Arial"/>
          <w:b/>
          <w:lang w:eastAsia="x-none"/>
        </w:rPr>
        <w:t>Reference overview</w:t>
      </w:r>
    </w:p>
    <w:p w14:paraId="40AB88F3" w14:textId="17DBE0E6" w:rsidR="0064739E" w:rsidRDefault="009E58D9" w:rsidP="003E6510">
      <w:pPr>
        <w:pStyle w:val="BodyText"/>
      </w:pPr>
      <w:r>
        <w:t xml:space="preserve">In </w:t>
      </w:r>
      <w:r w:rsidR="003E6510">
        <w:t>general,</w:t>
      </w:r>
      <w:r>
        <w:t xml:space="preserve"> the references from TS 38.141-2 points to descriptions of </w:t>
      </w:r>
      <w:r w:rsidR="003E6510">
        <w:t>measurement</w:t>
      </w:r>
      <w:r>
        <w:t xml:space="preserve"> methods and </w:t>
      </w:r>
      <w:r w:rsidR="003E6510">
        <w:t xml:space="preserve">corresponding measurement uncertainty evaluations. This specific part of the technical report is typical very extensive, since all methods are described per requirement type (directional, TRP and co-location). </w:t>
      </w:r>
    </w:p>
    <w:p w14:paraId="23744B55" w14:textId="122DF211" w:rsidR="00850F9A" w:rsidRDefault="003E6510" w:rsidP="003E6510">
      <w:pPr>
        <w:pStyle w:val="BodyText"/>
      </w:pPr>
      <w:r>
        <w:t>Even though the composite text mass is massive, the information currently kept in internal specifications are important for TS 38.141-2 to described how OTA testing shall be conducted.</w:t>
      </w:r>
    </w:p>
    <w:p w14:paraId="07AC3B6A" w14:textId="756FFEB0" w:rsidR="00631A8C" w:rsidRDefault="00631A8C" w:rsidP="003E6510">
      <w:pPr>
        <w:pStyle w:val="BodyText"/>
      </w:pPr>
    </w:p>
    <w:p w14:paraId="648A9415" w14:textId="335FC412" w:rsidR="00631A8C" w:rsidRDefault="00631A8C" w:rsidP="003E6510">
      <w:pPr>
        <w:pStyle w:val="BodyText"/>
      </w:pPr>
    </w:p>
    <w:p w14:paraId="7BF1A33A" w14:textId="000FED39" w:rsidR="00631A8C" w:rsidRDefault="00631A8C" w:rsidP="003E6510">
      <w:pPr>
        <w:pStyle w:val="BodyText"/>
      </w:pPr>
    </w:p>
    <w:p w14:paraId="7E0C4EA3" w14:textId="77777777" w:rsidR="00631A8C" w:rsidRDefault="00631A8C" w:rsidP="003E6510">
      <w:pPr>
        <w:pStyle w:val="BodyText"/>
      </w:pPr>
    </w:p>
    <w:p w14:paraId="4E607B63" w14:textId="77777777" w:rsidR="003B61A8" w:rsidRDefault="003B61A8" w:rsidP="003B61A8">
      <w:pPr>
        <w:pBdr>
          <w:bottom w:val="single" w:sz="4" w:space="1" w:color="auto"/>
        </w:pBdr>
        <w:rPr>
          <w:rFonts w:ascii="Arial" w:hAnsi="Arial" w:cs="Arial"/>
        </w:rPr>
      </w:pPr>
    </w:p>
    <w:p w14:paraId="666A56A2" w14:textId="77777777" w:rsidR="003B61A8" w:rsidRDefault="003B61A8" w:rsidP="003B61A8">
      <w:pPr>
        <w:pStyle w:val="Heading1"/>
        <w:keepLines w:val="0"/>
        <w:numPr>
          <w:ilvl w:val="0"/>
          <w:numId w:val="5"/>
        </w:numPr>
        <w:pBdr>
          <w:top w:val="none" w:sz="0" w:space="0" w:color="auto"/>
        </w:pBdr>
        <w:spacing w:before="0" w:after="240"/>
        <w:ind w:right="284" w:hanging="720"/>
      </w:pPr>
      <w:r>
        <w:t>Conclusion</w:t>
      </w:r>
    </w:p>
    <w:p w14:paraId="188A849B" w14:textId="7815994F" w:rsidR="003B61A8" w:rsidRDefault="00454373" w:rsidP="003B61A8">
      <w:pPr>
        <w:pStyle w:val="BodyText"/>
      </w:pPr>
      <w:r>
        <w:t>Currently, the test specification describes the test object configuration</w:t>
      </w:r>
      <w:r w:rsidR="00786EFD">
        <w:t xml:space="preserve"> as well as a very abstract test procedure. However, OTA aspects related to the measurement uncertainty </w:t>
      </w:r>
      <w:r w:rsidR="00BE2A59">
        <w:t xml:space="preserve">evaluation </w:t>
      </w:r>
      <w:r w:rsidR="00786EFD">
        <w:t xml:space="preserve">is </w:t>
      </w:r>
      <w:r w:rsidR="003A5790">
        <w:t xml:space="preserve">currently not captured in the test specification. </w:t>
      </w:r>
    </w:p>
    <w:p w14:paraId="28C6B47D" w14:textId="46AB2B7B" w:rsidR="007227B7" w:rsidRDefault="0088246D" w:rsidP="003B61A8">
      <w:pPr>
        <w:pStyle w:val="BodyText"/>
      </w:pPr>
      <w:r>
        <w:t xml:space="preserve">All technical details of OTA testing (including description and measurement </w:t>
      </w:r>
      <w:r w:rsidR="00600D7F">
        <w:t>uncertainty</w:t>
      </w:r>
      <w:r>
        <w:t xml:space="preserve"> evaluation) is captured in three different technical reports; TR 37.842, TR 37.843 and TR 38.817-02.</w:t>
      </w:r>
      <w:r w:rsidR="00600D7F">
        <w:t xml:space="preserve"> </w:t>
      </w:r>
    </w:p>
    <w:p w14:paraId="2FAFF0BD" w14:textId="44938DEF" w:rsidR="00600D7F" w:rsidRDefault="00600D7F" w:rsidP="003B61A8">
      <w:pPr>
        <w:pStyle w:val="BodyText"/>
      </w:pPr>
      <w:r>
        <w:t xml:space="preserve">Since OTA testing </w:t>
      </w:r>
      <w:r w:rsidR="000A5385">
        <w:t>is new for the communication industry, 3GPP should spread the technical background informatio</w:t>
      </w:r>
      <w:r w:rsidR="00267739">
        <w:t xml:space="preserve">n to other forums. </w:t>
      </w:r>
    </w:p>
    <w:p w14:paraId="6BB8E7DB" w14:textId="514588A9" w:rsidR="00D44282" w:rsidRPr="007D610C" w:rsidRDefault="00D44282" w:rsidP="003B61A8">
      <w:pPr>
        <w:pStyle w:val="BodyText"/>
      </w:pPr>
      <w:r>
        <w:t xml:space="preserve">Option 1 and Option </w:t>
      </w:r>
      <w:r w:rsidR="00647654">
        <w:t xml:space="preserve">3 </w:t>
      </w:r>
      <w:r w:rsidR="00631A8C">
        <w:t>describes</w:t>
      </w:r>
      <w:r w:rsidR="00647654">
        <w:t xml:space="preserve"> two solutions to solve the issue </w:t>
      </w:r>
      <w:r w:rsidR="00631A8C">
        <w:t xml:space="preserve">with references to internal technical reports. </w:t>
      </w:r>
    </w:p>
    <w:p w14:paraId="150DFC89" w14:textId="77777777" w:rsidR="003B61A8" w:rsidRDefault="003B61A8" w:rsidP="003B61A8">
      <w:pPr>
        <w:pBdr>
          <w:bottom w:val="single" w:sz="4" w:space="1" w:color="auto"/>
        </w:pBdr>
        <w:rPr>
          <w:rFonts w:ascii="Arial" w:hAnsi="Arial" w:cs="Arial"/>
        </w:rPr>
      </w:pPr>
    </w:p>
    <w:p w14:paraId="549DDF85" w14:textId="77777777" w:rsidR="003B61A8" w:rsidRDefault="003B61A8" w:rsidP="003B61A8">
      <w:pPr>
        <w:pStyle w:val="Heading1"/>
        <w:keepLines w:val="0"/>
        <w:numPr>
          <w:ilvl w:val="0"/>
          <w:numId w:val="5"/>
        </w:numPr>
        <w:pBdr>
          <w:top w:val="none" w:sz="0" w:space="0" w:color="auto"/>
        </w:pBdr>
        <w:spacing w:before="0" w:after="240"/>
        <w:ind w:right="284" w:hanging="720"/>
      </w:pPr>
      <w:r>
        <w:t>References</w:t>
      </w:r>
    </w:p>
    <w:p w14:paraId="4794E3A8" w14:textId="1B861F11" w:rsidR="003B61A8" w:rsidRDefault="003B61A8" w:rsidP="003B61A8">
      <w:pPr>
        <w:ind w:left="709" w:hanging="709"/>
      </w:pPr>
      <w:r>
        <w:t>[1]</w:t>
      </w:r>
      <w:r>
        <w:tab/>
      </w:r>
      <w:r w:rsidR="001512E5" w:rsidRPr="001512E5">
        <w:t>3GPP TR 37.842: "E-UTRA and UTRA; Radio Frequency (RF) requirement background for Active Antenna System (AAS) Base Station (BS)"</w:t>
      </w:r>
    </w:p>
    <w:p w14:paraId="35EE84EA" w14:textId="6F377691" w:rsidR="003B61A8" w:rsidRDefault="003B61A8" w:rsidP="003B61A8">
      <w:pPr>
        <w:ind w:left="709" w:hanging="709"/>
      </w:pPr>
      <w:r>
        <w:t xml:space="preserve">[2] </w:t>
      </w:r>
      <w:r>
        <w:tab/>
      </w:r>
      <w:r w:rsidR="00050EF3" w:rsidRPr="00050EF3">
        <w:t>3GPP TR 37.843: "E-UTRA and UTRA; Radio Frequency (RF) requirement background for Active Antenna System (AAS) Base Station (BS) radiated requirements"</w:t>
      </w:r>
    </w:p>
    <w:p w14:paraId="3DCC8553" w14:textId="0CADAED3" w:rsidR="00050EF3" w:rsidRDefault="00050EF3" w:rsidP="003B61A8">
      <w:pPr>
        <w:ind w:left="709" w:hanging="709"/>
      </w:pPr>
      <w:r>
        <w:t>[3]</w:t>
      </w:r>
      <w:r>
        <w:tab/>
      </w:r>
      <w:r w:rsidR="004E05FF" w:rsidRPr="004E05FF">
        <w:t>3GPP TR 38.817-02: "NR; General aspects for Base Station (BS) Radio Frequency (RF) for NR"</w:t>
      </w:r>
    </w:p>
    <w:p w14:paraId="7E189C21" w14:textId="48284182" w:rsidR="00693C67" w:rsidRDefault="00693C67" w:rsidP="003B61A8">
      <w:pPr>
        <w:ind w:left="709" w:hanging="709"/>
      </w:pPr>
      <w:r>
        <w:t>[4]</w:t>
      </w:r>
      <w:r w:rsidR="000D6D49">
        <w:tab/>
      </w:r>
      <w:r w:rsidR="00DE19DE">
        <w:t>R4-1910613, “</w:t>
      </w:r>
      <w:r w:rsidR="00236066" w:rsidRPr="00236066">
        <w:t>WF on fixing references to internal 3x.8xx TRs in BS specifications</w:t>
      </w:r>
      <w:r w:rsidR="00DE19DE">
        <w:t>”, Huawei</w:t>
      </w:r>
    </w:p>
    <w:p w14:paraId="4B65F85C" w14:textId="488B26C0" w:rsidR="00850F9A" w:rsidRDefault="00850F9A" w:rsidP="003B61A8">
      <w:pPr>
        <w:ind w:left="709" w:hanging="709"/>
      </w:pPr>
      <w:r>
        <w:t>[5]</w:t>
      </w:r>
      <w:r>
        <w:tab/>
        <w:t>3GPP TR</w:t>
      </w:r>
      <w:r w:rsidR="0022173F">
        <w:t xml:space="preserve"> 21.801, “Specification drafting rules”</w:t>
      </w:r>
    </w:p>
    <w:bookmarkEnd w:id="0"/>
    <w:p w14:paraId="7185828F" w14:textId="77777777" w:rsidR="005C7173" w:rsidRDefault="005C7173" w:rsidP="005C7173"/>
    <w:sectPr w:rsidR="005C7173">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7EC6E2" w14:textId="77777777" w:rsidR="00B8748D" w:rsidRDefault="00B8748D">
      <w:r>
        <w:separator/>
      </w:r>
    </w:p>
  </w:endnote>
  <w:endnote w:type="continuationSeparator" w:id="0">
    <w:p w14:paraId="15D8A67E" w14:textId="77777777" w:rsidR="00B8748D" w:rsidRDefault="00B874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F32E08" w14:textId="77777777" w:rsidR="00EF1FC5" w:rsidRDefault="00EF1FC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8472AA" w14:textId="77777777" w:rsidR="00B8748D" w:rsidRDefault="00B8748D">
      <w:r>
        <w:separator/>
      </w:r>
    </w:p>
  </w:footnote>
  <w:footnote w:type="continuationSeparator" w:id="0">
    <w:p w14:paraId="6F850497" w14:textId="77777777" w:rsidR="00B8748D" w:rsidRDefault="00B874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6C2AB4" w14:textId="77777777" w:rsidR="00EF1FC5" w:rsidRDefault="00EF1FC5">
    <w:pPr>
      <w:framePr w:h="284" w:hRule="exact" w:wrap="around" w:vAnchor="text" w:hAnchor="margin" w:xAlign="right" w:y="1"/>
      <w:rPr>
        <w:rFonts w:ascii="Arial" w:hAnsi="Arial" w:cs="Arial"/>
        <w:b/>
        <w:sz w:val="18"/>
        <w:szCs w:val="18"/>
      </w:rPr>
    </w:pPr>
  </w:p>
  <w:p w14:paraId="43AEEDAB" w14:textId="77777777" w:rsidR="00EF1FC5" w:rsidRDefault="00EF1FC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B380A">
      <w:rPr>
        <w:rFonts w:ascii="Arial" w:hAnsi="Arial" w:cs="Arial"/>
        <w:b/>
        <w:noProof/>
        <w:sz w:val="18"/>
        <w:szCs w:val="18"/>
      </w:rPr>
      <w:t>2</w:t>
    </w:r>
    <w:r>
      <w:rPr>
        <w:rFonts w:ascii="Arial" w:hAnsi="Arial" w:cs="Arial"/>
        <w:b/>
        <w:sz w:val="18"/>
        <w:szCs w:val="18"/>
      </w:rPr>
      <w:fldChar w:fldCharType="end"/>
    </w:r>
  </w:p>
  <w:p w14:paraId="28E08E64" w14:textId="77777777" w:rsidR="00EF1FC5" w:rsidRDefault="00EF1FC5">
    <w:pPr>
      <w:framePr w:h="284" w:hRule="exact" w:wrap="around" w:vAnchor="text" w:hAnchor="margin" w:y="7"/>
      <w:rPr>
        <w:rFonts w:ascii="Arial" w:hAnsi="Arial" w:cs="Arial"/>
        <w:b/>
        <w:sz w:val="18"/>
        <w:szCs w:val="18"/>
      </w:rPr>
    </w:pPr>
  </w:p>
  <w:p w14:paraId="49C360ED" w14:textId="77777777" w:rsidR="00EF1FC5" w:rsidRDefault="00EF1F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2CB26821"/>
    <w:multiLevelType w:val="hybridMultilevel"/>
    <w:tmpl w:val="4F9C9E7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48B209C6"/>
    <w:multiLevelType w:val="hybridMultilevel"/>
    <w:tmpl w:val="BBF2B46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5AFB2B08"/>
    <w:multiLevelType w:val="hybridMultilevel"/>
    <w:tmpl w:val="272C3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5406428"/>
    <w:multiLevelType w:val="hybridMultilevel"/>
    <w:tmpl w:val="94D2B77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4"/>
  </w:num>
  <w:num w:numId="6">
    <w:abstractNumId w:val="5"/>
  </w:num>
  <w:num w:numId="7">
    <w:abstractNumId w:val="3"/>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1BF"/>
    <w:rsid w:val="000125A5"/>
    <w:rsid w:val="0003315E"/>
    <w:rsid w:val="00033397"/>
    <w:rsid w:val="00040095"/>
    <w:rsid w:val="000466BE"/>
    <w:rsid w:val="00050EF3"/>
    <w:rsid w:val="00051834"/>
    <w:rsid w:val="00054A22"/>
    <w:rsid w:val="000560CC"/>
    <w:rsid w:val="000655A6"/>
    <w:rsid w:val="00070AA5"/>
    <w:rsid w:val="00080512"/>
    <w:rsid w:val="000875A8"/>
    <w:rsid w:val="00094D53"/>
    <w:rsid w:val="0009526A"/>
    <w:rsid w:val="00096009"/>
    <w:rsid w:val="000A5385"/>
    <w:rsid w:val="000D58AB"/>
    <w:rsid w:val="000D696C"/>
    <w:rsid w:val="000D6D49"/>
    <w:rsid w:val="000E1DEA"/>
    <w:rsid w:val="000E632F"/>
    <w:rsid w:val="000E72B7"/>
    <w:rsid w:val="000F0805"/>
    <w:rsid w:val="00106D0B"/>
    <w:rsid w:val="00106F91"/>
    <w:rsid w:val="00142229"/>
    <w:rsid w:val="001512E5"/>
    <w:rsid w:val="00155B44"/>
    <w:rsid w:val="00156218"/>
    <w:rsid w:val="001667C4"/>
    <w:rsid w:val="00172CB0"/>
    <w:rsid w:val="00176C71"/>
    <w:rsid w:val="001862BC"/>
    <w:rsid w:val="001923AD"/>
    <w:rsid w:val="001B0597"/>
    <w:rsid w:val="001C09A3"/>
    <w:rsid w:val="001C1DF4"/>
    <w:rsid w:val="001D02C2"/>
    <w:rsid w:val="001D30AA"/>
    <w:rsid w:val="001E5BF3"/>
    <w:rsid w:val="001E62AA"/>
    <w:rsid w:val="001F168B"/>
    <w:rsid w:val="001F33FD"/>
    <w:rsid w:val="00202663"/>
    <w:rsid w:val="00213F4B"/>
    <w:rsid w:val="0022173F"/>
    <w:rsid w:val="00231DE5"/>
    <w:rsid w:val="0023254C"/>
    <w:rsid w:val="00233DFB"/>
    <w:rsid w:val="002347A2"/>
    <w:rsid w:val="00236066"/>
    <w:rsid w:val="00241D8F"/>
    <w:rsid w:val="002515C2"/>
    <w:rsid w:val="00267739"/>
    <w:rsid w:val="00272272"/>
    <w:rsid w:val="00280CDB"/>
    <w:rsid w:val="00283312"/>
    <w:rsid w:val="00290FB6"/>
    <w:rsid w:val="002A0978"/>
    <w:rsid w:val="002A7BB1"/>
    <w:rsid w:val="002B067D"/>
    <w:rsid w:val="002B0AA9"/>
    <w:rsid w:val="002B0B48"/>
    <w:rsid w:val="002E24DA"/>
    <w:rsid w:val="002E2D39"/>
    <w:rsid w:val="002F1E03"/>
    <w:rsid w:val="002F2BB2"/>
    <w:rsid w:val="00301AB0"/>
    <w:rsid w:val="00301F32"/>
    <w:rsid w:val="0031467A"/>
    <w:rsid w:val="0031542C"/>
    <w:rsid w:val="003172DC"/>
    <w:rsid w:val="0032449D"/>
    <w:rsid w:val="003348D7"/>
    <w:rsid w:val="00351796"/>
    <w:rsid w:val="0035462D"/>
    <w:rsid w:val="003568FF"/>
    <w:rsid w:val="00361E87"/>
    <w:rsid w:val="003A03CF"/>
    <w:rsid w:val="003A3CFA"/>
    <w:rsid w:val="003A5790"/>
    <w:rsid w:val="003B1D4A"/>
    <w:rsid w:val="003B61A8"/>
    <w:rsid w:val="003C0B2F"/>
    <w:rsid w:val="003C3971"/>
    <w:rsid w:val="003E308D"/>
    <w:rsid w:val="003E6510"/>
    <w:rsid w:val="0040604C"/>
    <w:rsid w:val="004162E1"/>
    <w:rsid w:val="004239C7"/>
    <w:rsid w:val="00424BFB"/>
    <w:rsid w:val="00454373"/>
    <w:rsid w:val="00470041"/>
    <w:rsid w:val="00490EF6"/>
    <w:rsid w:val="004A4210"/>
    <w:rsid w:val="004B372C"/>
    <w:rsid w:val="004B5078"/>
    <w:rsid w:val="004C2EC8"/>
    <w:rsid w:val="004C37E9"/>
    <w:rsid w:val="004C43A9"/>
    <w:rsid w:val="004D3578"/>
    <w:rsid w:val="004D3FD5"/>
    <w:rsid w:val="004E05FF"/>
    <w:rsid w:val="004E0C1D"/>
    <w:rsid w:val="004E213A"/>
    <w:rsid w:val="004E29CC"/>
    <w:rsid w:val="004E6B65"/>
    <w:rsid w:val="004F4D5A"/>
    <w:rsid w:val="00500DAC"/>
    <w:rsid w:val="00503659"/>
    <w:rsid w:val="00524DE4"/>
    <w:rsid w:val="00543E6C"/>
    <w:rsid w:val="00562810"/>
    <w:rsid w:val="00565087"/>
    <w:rsid w:val="00565C40"/>
    <w:rsid w:val="00567D27"/>
    <w:rsid w:val="00582285"/>
    <w:rsid w:val="00592A9D"/>
    <w:rsid w:val="005933D7"/>
    <w:rsid w:val="00594E26"/>
    <w:rsid w:val="005A1794"/>
    <w:rsid w:val="005B3C73"/>
    <w:rsid w:val="005B4A0A"/>
    <w:rsid w:val="005C2897"/>
    <w:rsid w:val="005C3959"/>
    <w:rsid w:val="005C7173"/>
    <w:rsid w:val="005D2E01"/>
    <w:rsid w:val="005D3EE8"/>
    <w:rsid w:val="00600D7F"/>
    <w:rsid w:val="00604BF7"/>
    <w:rsid w:val="00612061"/>
    <w:rsid w:val="00614FDF"/>
    <w:rsid w:val="006229D2"/>
    <w:rsid w:val="00625621"/>
    <w:rsid w:val="0062745C"/>
    <w:rsid w:val="00631A8C"/>
    <w:rsid w:val="006437A9"/>
    <w:rsid w:val="00644B8D"/>
    <w:rsid w:val="006457D3"/>
    <w:rsid w:val="0064739E"/>
    <w:rsid w:val="006473EA"/>
    <w:rsid w:val="00647654"/>
    <w:rsid w:val="006639DB"/>
    <w:rsid w:val="00664B4E"/>
    <w:rsid w:val="00670EAC"/>
    <w:rsid w:val="00674E7D"/>
    <w:rsid w:val="00687330"/>
    <w:rsid w:val="00693C67"/>
    <w:rsid w:val="006B7DA0"/>
    <w:rsid w:val="006D09A3"/>
    <w:rsid w:val="006D10E3"/>
    <w:rsid w:val="006D1100"/>
    <w:rsid w:val="006E5C86"/>
    <w:rsid w:val="006F08DC"/>
    <w:rsid w:val="00703B45"/>
    <w:rsid w:val="007148E4"/>
    <w:rsid w:val="00714AEA"/>
    <w:rsid w:val="007170B2"/>
    <w:rsid w:val="007227B7"/>
    <w:rsid w:val="00734A5B"/>
    <w:rsid w:val="00742DA3"/>
    <w:rsid w:val="00744E76"/>
    <w:rsid w:val="007577CB"/>
    <w:rsid w:val="007649B2"/>
    <w:rsid w:val="00771315"/>
    <w:rsid w:val="007734D9"/>
    <w:rsid w:val="00776EA2"/>
    <w:rsid w:val="00781F0F"/>
    <w:rsid w:val="00786EFD"/>
    <w:rsid w:val="007A0F21"/>
    <w:rsid w:val="007A2E78"/>
    <w:rsid w:val="007B4A73"/>
    <w:rsid w:val="007C4C45"/>
    <w:rsid w:val="007E35C0"/>
    <w:rsid w:val="007F1548"/>
    <w:rsid w:val="007F52D4"/>
    <w:rsid w:val="008028A4"/>
    <w:rsid w:val="00805820"/>
    <w:rsid w:val="00823816"/>
    <w:rsid w:val="00826F97"/>
    <w:rsid w:val="00841B42"/>
    <w:rsid w:val="00843454"/>
    <w:rsid w:val="00850F9A"/>
    <w:rsid w:val="00872E34"/>
    <w:rsid w:val="008768CA"/>
    <w:rsid w:val="0088246D"/>
    <w:rsid w:val="00887043"/>
    <w:rsid w:val="008877E6"/>
    <w:rsid w:val="00894646"/>
    <w:rsid w:val="008B735F"/>
    <w:rsid w:val="008C0085"/>
    <w:rsid w:val="008C2529"/>
    <w:rsid w:val="008F15B4"/>
    <w:rsid w:val="008F6912"/>
    <w:rsid w:val="00901507"/>
    <w:rsid w:val="0090271F"/>
    <w:rsid w:val="00902E23"/>
    <w:rsid w:val="0090598A"/>
    <w:rsid w:val="00907978"/>
    <w:rsid w:val="0091348E"/>
    <w:rsid w:val="00917CCB"/>
    <w:rsid w:val="009228DF"/>
    <w:rsid w:val="0092774C"/>
    <w:rsid w:val="00935DA8"/>
    <w:rsid w:val="00942EC2"/>
    <w:rsid w:val="00944C13"/>
    <w:rsid w:val="00950A00"/>
    <w:rsid w:val="00974355"/>
    <w:rsid w:val="009751F0"/>
    <w:rsid w:val="009A2D2D"/>
    <w:rsid w:val="009B13F6"/>
    <w:rsid w:val="009B5100"/>
    <w:rsid w:val="009D173A"/>
    <w:rsid w:val="009D6EBC"/>
    <w:rsid w:val="009D75A7"/>
    <w:rsid w:val="009E58D9"/>
    <w:rsid w:val="009F37B7"/>
    <w:rsid w:val="009F6AA1"/>
    <w:rsid w:val="00A0019A"/>
    <w:rsid w:val="00A10F02"/>
    <w:rsid w:val="00A13DDA"/>
    <w:rsid w:val="00A164B4"/>
    <w:rsid w:val="00A2163B"/>
    <w:rsid w:val="00A53724"/>
    <w:rsid w:val="00A632DA"/>
    <w:rsid w:val="00A6396C"/>
    <w:rsid w:val="00A67C84"/>
    <w:rsid w:val="00A82346"/>
    <w:rsid w:val="00A866EC"/>
    <w:rsid w:val="00AB0B6C"/>
    <w:rsid w:val="00AC17A1"/>
    <w:rsid w:val="00AC275F"/>
    <w:rsid w:val="00AD057C"/>
    <w:rsid w:val="00AE0248"/>
    <w:rsid w:val="00AE5F9D"/>
    <w:rsid w:val="00AF09C5"/>
    <w:rsid w:val="00B14246"/>
    <w:rsid w:val="00B15449"/>
    <w:rsid w:val="00B32901"/>
    <w:rsid w:val="00B41BAB"/>
    <w:rsid w:val="00B476B7"/>
    <w:rsid w:val="00B57386"/>
    <w:rsid w:val="00B65376"/>
    <w:rsid w:val="00B65495"/>
    <w:rsid w:val="00B70ED4"/>
    <w:rsid w:val="00B735BA"/>
    <w:rsid w:val="00B76433"/>
    <w:rsid w:val="00B813B8"/>
    <w:rsid w:val="00B8748D"/>
    <w:rsid w:val="00B92729"/>
    <w:rsid w:val="00B96C0C"/>
    <w:rsid w:val="00BB1EB0"/>
    <w:rsid w:val="00BB4600"/>
    <w:rsid w:val="00BB4F80"/>
    <w:rsid w:val="00BC0F7D"/>
    <w:rsid w:val="00BD55BF"/>
    <w:rsid w:val="00BE2A59"/>
    <w:rsid w:val="00BE4C4D"/>
    <w:rsid w:val="00BF1095"/>
    <w:rsid w:val="00BF1C81"/>
    <w:rsid w:val="00BF30F7"/>
    <w:rsid w:val="00C17A60"/>
    <w:rsid w:val="00C33079"/>
    <w:rsid w:val="00C371B3"/>
    <w:rsid w:val="00C45231"/>
    <w:rsid w:val="00C5429A"/>
    <w:rsid w:val="00C6035E"/>
    <w:rsid w:val="00C72833"/>
    <w:rsid w:val="00C87AB2"/>
    <w:rsid w:val="00C91C4A"/>
    <w:rsid w:val="00C92C8B"/>
    <w:rsid w:val="00C93F40"/>
    <w:rsid w:val="00CA3B1D"/>
    <w:rsid w:val="00CA3D0C"/>
    <w:rsid w:val="00CA3D41"/>
    <w:rsid w:val="00CA47BF"/>
    <w:rsid w:val="00CA7786"/>
    <w:rsid w:val="00CB380A"/>
    <w:rsid w:val="00CC3F7F"/>
    <w:rsid w:val="00CD110C"/>
    <w:rsid w:val="00CD2E52"/>
    <w:rsid w:val="00CD6BF8"/>
    <w:rsid w:val="00CE12D3"/>
    <w:rsid w:val="00CF21EF"/>
    <w:rsid w:val="00CF6A42"/>
    <w:rsid w:val="00CF703E"/>
    <w:rsid w:val="00D11B3A"/>
    <w:rsid w:val="00D15384"/>
    <w:rsid w:val="00D16774"/>
    <w:rsid w:val="00D2544C"/>
    <w:rsid w:val="00D30549"/>
    <w:rsid w:val="00D33E9F"/>
    <w:rsid w:val="00D36A3A"/>
    <w:rsid w:val="00D44282"/>
    <w:rsid w:val="00D4682F"/>
    <w:rsid w:val="00D475F7"/>
    <w:rsid w:val="00D47AEB"/>
    <w:rsid w:val="00D55C6A"/>
    <w:rsid w:val="00D56778"/>
    <w:rsid w:val="00D738D6"/>
    <w:rsid w:val="00D755EB"/>
    <w:rsid w:val="00D87E00"/>
    <w:rsid w:val="00D9134D"/>
    <w:rsid w:val="00D96451"/>
    <w:rsid w:val="00DA2DBA"/>
    <w:rsid w:val="00DA7A03"/>
    <w:rsid w:val="00DB1818"/>
    <w:rsid w:val="00DB57B0"/>
    <w:rsid w:val="00DC309B"/>
    <w:rsid w:val="00DC4DA2"/>
    <w:rsid w:val="00DD0E8B"/>
    <w:rsid w:val="00DE19DE"/>
    <w:rsid w:val="00DF2B1F"/>
    <w:rsid w:val="00DF62CD"/>
    <w:rsid w:val="00E12052"/>
    <w:rsid w:val="00E13370"/>
    <w:rsid w:val="00E20B05"/>
    <w:rsid w:val="00E30B99"/>
    <w:rsid w:val="00E33A9C"/>
    <w:rsid w:val="00E41C4A"/>
    <w:rsid w:val="00E448DE"/>
    <w:rsid w:val="00E575E0"/>
    <w:rsid w:val="00E6245C"/>
    <w:rsid w:val="00E77645"/>
    <w:rsid w:val="00E8035B"/>
    <w:rsid w:val="00E87D45"/>
    <w:rsid w:val="00E9313F"/>
    <w:rsid w:val="00EA7C61"/>
    <w:rsid w:val="00EB2F73"/>
    <w:rsid w:val="00EB5051"/>
    <w:rsid w:val="00EC4A25"/>
    <w:rsid w:val="00EC7834"/>
    <w:rsid w:val="00ED7268"/>
    <w:rsid w:val="00EF1994"/>
    <w:rsid w:val="00EF1FC5"/>
    <w:rsid w:val="00F025A2"/>
    <w:rsid w:val="00F03195"/>
    <w:rsid w:val="00F04712"/>
    <w:rsid w:val="00F22EC7"/>
    <w:rsid w:val="00F26CEE"/>
    <w:rsid w:val="00F473A1"/>
    <w:rsid w:val="00F53987"/>
    <w:rsid w:val="00F653B8"/>
    <w:rsid w:val="00F837A1"/>
    <w:rsid w:val="00FA1266"/>
    <w:rsid w:val="00FB4F11"/>
    <w:rsid w:val="00FB6104"/>
    <w:rsid w:val="00FC1192"/>
    <w:rsid w:val="00FC20FA"/>
    <w:rsid w:val="00FC6150"/>
    <w:rsid w:val="00FE11B9"/>
    <w:rsid w:val="00FE181B"/>
    <w:rsid w:val="00FF1F52"/>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46124CEC"/>
  <w15:chartTrackingRefBased/>
  <w15:docId w15:val="{169D93AB-A4AB-4A57-A311-2307D9D2E4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Body Tex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TALChar">
    <w:name w:val="TAL Char"/>
    <w:link w:val="TAL"/>
    <w:rsid w:val="009B5100"/>
    <w:rPr>
      <w:rFonts w:ascii="Arial" w:hAnsi="Arial"/>
      <w:sz w:val="18"/>
      <w:lang w:val="en-GB"/>
    </w:rPr>
  </w:style>
  <w:style w:type="paragraph" w:styleId="BodyText">
    <w:name w:val="Body Text"/>
    <w:basedOn w:val="Normal"/>
    <w:link w:val="BodyTextChar"/>
    <w:uiPriority w:val="99"/>
    <w:rsid w:val="009B13F6"/>
    <w:pPr>
      <w:spacing w:after="120"/>
    </w:pPr>
  </w:style>
  <w:style w:type="character" w:customStyle="1" w:styleId="BodyTextChar">
    <w:name w:val="Body Text Char"/>
    <w:link w:val="BodyText"/>
    <w:uiPriority w:val="99"/>
    <w:rsid w:val="009B13F6"/>
    <w:rPr>
      <w:lang w:val="en-GB"/>
    </w:rPr>
  </w:style>
  <w:style w:type="character" w:customStyle="1" w:styleId="THChar">
    <w:name w:val="TH Char"/>
    <w:link w:val="TH"/>
    <w:rsid w:val="000E1DEA"/>
    <w:rPr>
      <w:rFonts w:ascii="Arial" w:hAnsi="Arial"/>
      <w:b/>
      <w:lang w:val="en-GB"/>
    </w:rPr>
  </w:style>
  <w:style w:type="paragraph" w:styleId="Caption">
    <w:name w:val="caption"/>
    <w:basedOn w:val="Normal"/>
    <w:next w:val="Normal"/>
    <w:unhideWhenUsed/>
    <w:qFormat/>
    <w:rsid w:val="000E1DEA"/>
    <w:rPr>
      <w:b/>
      <w:bCs/>
    </w:rPr>
  </w:style>
  <w:style w:type="character" w:customStyle="1" w:styleId="TACChar">
    <w:name w:val="TAC Char"/>
    <w:link w:val="TAC"/>
    <w:rsid w:val="008B735F"/>
    <w:rPr>
      <w:rFonts w:ascii="Arial" w:hAnsi="Arial"/>
      <w:sz w:val="18"/>
      <w:lang w:val="en-GB"/>
    </w:rPr>
  </w:style>
  <w:style w:type="character" w:customStyle="1" w:styleId="TAHCar">
    <w:name w:val="TAH Car"/>
    <w:link w:val="TAH"/>
    <w:rsid w:val="008B735F"/>
    <w:rPr>
      <w:rFonts w:ascii="Arial" w:hAnsi="Arial"/>
      <w:b/>
      <w:sz w:val="18"/>
      <w:lang w:val="en-GB"/>
    </w:rPr>
  </w:style>
  <w:style w:type="paragraph" w:styleId="BalloonText">
    <w:name w:val="Balloon Text"/>
    <w:basedOn w:val="Normal"/>
    <w:link w:val="BalloonTextChar"/>
    <w:rsid w:val="000560CC"/>
    <w:pPr>
      <w:spacing w:after="0"/>
    </w:pPr>
    <w:rPr>
      <w:rFonts w:ascii="Segoe UI" w:hAnsi="Segoe UI" w:cs="Segoe UI"/>
      <w:sz w:val="18"/>
      <w:szCs w:val="18"/>
    </w:rPr>
  </w:style>
  <w:style w:type="character" w:customStyle="1" w:styleId="BalloonTextChar">
    <w:name w:val="Balloon Text Char"/>
    <w:link w:val="BalloonText"/>
    <w:rsid w:val="000560CC"/>
    <w:rPr>
      <w:rFonts w:ascii="Segoe UI" w:hAnsi="Segoe UI" w:cs="Segoe UI"/>
      <w:sz w:val="18"/>
      <w:szCs w:val="18"/>
      <w:lang w:val="en-GB"/>
    </w:rPr>
  </w:style>
  <w:style w:type="character" w:customStyle="1" w:styleId="HeaderChar">
    <w:name w:val="Header Char"/>
    <w:basedOn w:val="DefaultParagraphFont"/>
    <w:link w:val="Header"/>
    <w:rsid w:val="00567D27"/>
    <w:rPr>
      <w:rFonts w:ascii="Arial" w:hAnsi="Arial"/>
      <w:b/>
      <w:noProof/>
      <w:sz w:val="18"/>
      <w:lang w:val="en-GB" w:eastAsia="ja-JP"/>
    </w:rPr>
  </w:style>
  <w:style w:type="character" w:customStyle="1" w:styleId="FooterChar">
    <w:name w:val="Footer Char"/>
    <w:basedOn w:val="DefaultParagraphFont"/>
    <w:link w:val="Footer"/>
    <w:rsid w:val="00567D27"/>
    <w:rPr>
      <w:rFonts w:ascii="Arial" w:hAnsi="Arial"/>
      <w:b/>
      <w:i/>
      <w:noProof/>
      <w:sz w:val="18"/>
      <w:lang w:val="en-GB" w:eastAsia="ja-JP"/>
    </w:rPr>
  </w:style>
  <w:style w:type="character" w:customStyle="1" w:styleId="B1Char">
    <w:name w:val="B1 Char"/>
    <w:link w:val="B1"/>
    <w:locked/>
    <w:rsid w:val="00A13DDA"/>
    <w:rPr>
      <w:lang w:val="en-GB" w:eastAsia="en-US"/>
    </w:rPr>
  </w:style>
  <w:style w:type="character" w:customStyle="1" w:styleId="TFChar">
    <w:name w:val="TF Char"/>
    <w:link w:val="TF"/>
    <w:locked/>
    <w:rsid w:val="00A13DD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2184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702EF7-9D38-4E5B-808B-5F57C7F172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1417</TotalTime>
  <Pages>6</Pages>
  <Words>1726</Words>
  <Characters>9917</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11620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Torbjörn Elfström</cp:lastModifiedBy>
  <cp:revision>191</cp:revision>
  <dcterms:created xsi:type="dcterms:W3CDTF">2018-11-16T18:00:00Z</dcterms:created>
  <dcterms:modified xsi:type="dcterms:W3CDTF">2019-10-04T13:43:00Z</dcterms:modified>
</cp:coreProperties>
</file>