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8809D3" w14:textId="161DB5EE" w:rsidR="00841BCD" w:rsidRPr="00D251ED"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GB" w:eastAsia="zh-CN"/>
        </w:rPr>
      </w:pPr>
      <w:bookmarkStart w:id="0" w:name="OLE_LINK5"/>
      <w:bookmarkStart w:id="1" w:name="OLE_LINK6"/>
      <w:r w:rsidRPr="00841BCD">
        <w:rPr>
          <w:rFonts w:ascii="Arial" w:eastAsia="SimSun" w:hAnsi="Arial" w:cs="Times New Roman"/>
          <w:b/>
          <w:bCs/>
          <w:sz w:val="24"/>
          <w:szCs w:val="20"/>
          <w:lang w:val="en-GB"/>
        </w:rPr>
        <w:t>3GPP T</w:t>
      </w:r>
      <w:bookmarkStart w:id="2" w:name="_Ref452454252"/>
      <w:bookmarkEnd w:id="2"/>
      <w:r w:rsidRPr="00841BCD">
        <w:rPr>
          <w:rFonts w:ascii="Arial" w:eastAsia="SimSun" w:hAnsi="Arial" w:cs="Times New Roman"/>
          <w:b/>
          <w:bCs/>
          <w:sz w:val="24"/>
          <w:szCs w:val="20"/>
          <w:lang w:val="en-GB"/>
        </w:rPr>
        <w:t xml:space="preserve">SG-RAN </w:t>
      </w:r>
      <w:r w:rsidR="00BA724E">
        <w:rPr>
          <w:rFonts w:ascii="Arial" w:eastAsia="SimSun" w:hAnsi="Arial" w:cs="Times New Roman"/>
          <w:b/>
          <w:sz w:val="24"/>
          <w:szCs w:val="20"/>
          <w:lang w:val="en-GB"/>
        </w:rPr>
        <w:t>WG4 Meeting#</w:t>
      </w:r>
      <w:r w:rsidR="00DD555A">
        <w:rPr>
          <w:rFonts w:ascii="Arial" w:eastAsia="SimSun" w:hAnsi="Arial" w:cs="Times New Roman"/>
          <w:b/>
          <w:sz w:val="24"/>
          <w:szCs w:val="20"/>
          <w:lang w:val="en-GB"/>
        </w:rPr>
        <w:t>9</w:t>
      </w:r>
      <w:r w:rsidR="00D27872">
        <w:rPr>
          <w:rFonts w:ascii="Arial" w:eastAsia="SimSun" w:hAnsi="Arial" w:cs="Times New Roman"/>
          <w:b/>
          <w:sz w:val="24"/>
          <w:szCs w:val="20"/>
          <w:lang w:val="en-GB"/>
        </w:rPr>
        <w:t>2bis</w:t>
      </w:r>
      <w:r w:rsidRPr="00841BCD">
        <w:rPr>
          <w:rFonts w:ascii="Arial" w:eastAsia="SimSun" w:hAnsi="Arial" w:cs="Times New Roman"/>
          <w:b/>
          <w:sz w:val="24"/>
          <w:szCs w:val="20"/>
          <w:lang w:val="en-GB"/>
        </w:rPr>
        <w:t xml:space="preserve">                </w:t>
      </w:r>
      <w:r w:rsidRPr="00841BCD">
        <w:rPr>
          <w:rFonts w:ascii="Arial" w:eastAsia="SimSun" w:hAnsi="Arial" w:cs="Times New Roman"/>
          <w:b/>
          <w:bCs/>
          <w:sz w:val="24"/>
          <w:szCs w:val="20"/>
          <w:lang w:val="en-GB"/>
        </w:rPr>
        <w:tab/>
      </w:r>
      <w:r w:rsidRPr="00841BCD">
        <w:rPr>
          <w:rFonts w:ascii="Arial" w:eastAsia="SimSun" w:hAnsi="Arial" w:cs="Times New Roman" w:hint="eastAsia"/>
          <w:b/>
          <w:bCs/>
          <w:sz w:val="24"/>
          <w:szCs w:val="20"/>
          <w:lang w:val="en-GB" w:eastAsia="ja-JP"/>
        </w:rPr>
        <w:t>R</w:t>
      </w:r>
      <w:r w:rsidRPr="00841BCD">
        <w:rPr>
          <w:rFonts w:ascii="Arial" w:eastAsia="SimSun" w:hAnsi="Arial" w:cs="Times New Roman"/>
          <w:b/>
          <w:bCs/>
          <w:sz w:val="24"/>
          <w:szCs w:val="20"/>
          <w:lang w:val="en-GB" w:eastAsia="ja-JP"/>
        </w:rPr>
        <w:t>4</w:t>
      </w:r>
      <w:r w:rsidRPr="00841BCD">
        <w:rPr>
          <w:rFonts w:ascii="Arial" w:eastAsia="SimSun" w:hAnsi="Arial" w:cs="Times New Roman" w:hint="eastAsia"/>
          <w:b/>
          <w:bCs/>
          <w:sz w:val="24"/>
          <w:szCs w:val="20"/>
          <w:lang w:val="en-GB" w:eastAsia="ja-JP"/>
        </w:rPr>
        <w:t>-</w:t>
      </w:r>
      <w:r w:rsidR="00D251ED" w:rsidRPr="00D251ED">
        <w:rPr>
          <w:rFonts w:ascii="Arial" w:eastAsia="SimSun" w:hAnsi="Arial" w:cs="Times New Roman"/>
          <w:b/>
          <w:bCs/>
          <w:sz w:val="24"/>
          <w:szCs w:val="20"/>
          <w:lang w:val="en-GB" w:eastAsia="zh-CN"/>
        </w:rPr>
        <w:t>1912124</w:t>
      </w:r>
    </w:p>
    <w:p w14:paraId="3DEDC117" w14:textId="316BAC68" w:rsidR="00841BCD" w:rsidRPr="00841BCD" w:rsidRDefault="00D27872"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GB"/>
        </w:rPr>
      </w:pPr>
      <w:r>
        <w:rPr>
          <w:rFonts w:ascii="Arial" w:eastAsia="SimSun" w:hAnsi="Arial" w:cs="Times New Roman"/>
          <w:b/>
          <w:sz w:val="24"/>
          <w:szCs w:val="20"/>
          <w:lang w:val="en-GB"/>
        </w:rPr>
        <w:t>Chongqing</w:t>
      </w:r>
      <w:r w:rsidR="00176671">
        <w:rPr>
          <w:rFonts w:ascii="Arial" w:eastAsia="SimSun" w:hAnsi="Arial" w:cs="Times New Roman"/>
          <w:b/>
          <w:sz w:val="24"/>
          <w:szCs w:val="20"/>
          <w:lang w:val="en-GB"/>
        </w:rPr>
        <w:t xml:space="preserve">, </w:t>
      </w:r>
      <w:r>
        <w:rPr>
          <w:rFonts w:ascii="Arial" w:eastAsia="SimSun" w:hAnsi="Arial" w:cs="Times New Roman"/>
          <w:b/>
          <w:sz w:val="24"/>
          <w:szCs w:val="20"/>
          <w:lang w:val="en-GB"/>
        </w:rPr>
        <w:t>China</w:t>
      </w:r>
      <w:r w:rsidR="00176671">
        <w:rPr>
          <w:rFonts w:ascii="Arial" w:eastAsia="SimSun" w:hAnsi="Arial" w:cs="Times New Roman"/>
          <w:b/>
          <w:sz w:val="24"/>
          <w:szCs w:val="20"/>
          <w:lang w:val="en-GB"/>
        </w:rPr>
        <w:t xml:space="preserve">, </w:t>
      </w:r>
      <w:r>
        <w:rPr>
          <w:rFonts w:ascii="Arial" w:eastAsia="SimSun" w:hAnsi="Arial" w:cs="Times New Roman"/>
          <w:b/>
          <w:sz w:val="24"/>
          <w:szCs w:val="20"/>
          <w:lang w:val="en-GB"/>
        </w:rPr>
        <w:t>October</w:t>
      </w:r>
      <w:r w:rsidR="001C2F6D">
        <w:rPr>
          <w:rFonts w:ascii="Arial" w:eastAsia="SimSun" w:hAnsi="Arial" w:cs="Times New Roman"/>
          <w:b/>
          <w:sz w:val="24"/>
          <w:szCs w:val="20"/>
          <w:lang w:val="en-GB"/>
        </w:rPr>
        <w:t xml:space="preserve"> </w:t>
      </w:r>
      <w:r w:rsidR="00363CF1">
        <w:rPr>
          <w:rFonts w:ascii="Arial" w:eastAsia="SimSun" w:hAnsi="Arial" w:cs="Times New Roman"/>
          <w:b/>
          <w:sz w:val="24"/>
          <w:szCs w:val="20"/>
          <w:lang w:val="en-GB"/>
        </w:rPr>
        <w:t>1</w:t>
      </w:r>
      <w:r>
        <w:rPr>
          <w:rFonts w:ascii="Arial" w:eastAsia="SimSun" w:hAnsi="Arial" w:cs="Times New Roman"/>
          <w:b/>
          <w:sz w:val="24"/>
          <w:szCs w:val="20"/>
          <w:lang w:val="en-GB"/>
        </w:rPr>
        <w:t>4</w:t>
      </w:r>
      <w:r w:rsidR="00BA724E" w:rsidRPr="00BA724E">
        <w:rPr>
          <w:rFonts w:ascii="Arial" w:eastAsia="SimSun" w:hAnsi="Arial" w:cs="Times New Roman"/>
          <w:b/>
          <w:sz w:val="24"/>
          <w:szCs w:val="20"/>
          <w:vertAlign w:val="superscript"/>
          <w:lang w:val="en-GB"/>
        </w:rPr>
        <w:t>th</w:t>
      </w:r>
      <w:r w:rsidR="00BA724E">
        <w:rPr>
          <w:rFonts w:ascii="Arial" w:eastAsia="SimSun" w:hAnsi="Arial" w:cs="Times New Roman"/>
          <w:b/>
          <w:sz w:val="24"/>
          <w:szCs w:val="20"/>
          <w:lang w:val="en-GB"/>
        </w:rPr>
        <w:t xml:space="preserve"> </w:t>
      </w:r>
      <w:r w:rsidR="00176671">
        <w:rPr>
          <w:rFonts w:ascii="Arial" w:eastAsia="SimSun" w:hAnsi="Arial" w:cs="Times New Roman"/>
          <w:b/>
          <w:sz w:val="24"/>
          <w:szCs w:val="20"/>
          <w:lang w:val="en-GB"/>
        </w:rPr>
        <w:t xml:space="preserve">– </w:t>
      </w:r>
      <w:r w:rsidR="00DD555A">
        <w:rPr>
          <w:rFonts w:ascii="Arial" w:eastAsia="SimSun" w:hAnsi="Arial" w:cs="Times New Roman"/>
          <w:b/>
          <w:sz w:val="24"/>
          <w:szCs w:val="20"/>
          <w:lang w:val="en-GB"/>
        </w:rPr>
        <w:t>1</w:t>
      </w:r>
      <w:r>
        <w:rPr>
          <w:rFonts w:ascii="Arial" w:eastAsia="SimSun" w:hAnsi="Arial" w:cs="Times New Roman"/>
          <w:b/>
          <w:sz w:val="24"/>
          <w:szCs w:val="20"/>
          <w:lang w:val="en-GB"/>
        </w:rPr>
        <w:t>8</w:t>
      </w:r>
      <w:r w:rsidR="00176671" w:rsidRPr="00001C9B">
        <w:rPr>
          <w:rFonts w:ascii="Arial" w:eastAsia="SimSun" w:hAnsi="Arial" w:cs="Times New Roman"/>
          <w:b/>
          <w:sz w:val="24"/>
          <w:szCs w:val="20"/>
          <w:vertAlign w:val="superscript"/>
          <w:lang w:val="en-GB"/>
        </w:rPr>
        <w:t>th</w:t>
      </w:r>
      <w:r w:rsidR="00176671">
        <w:rPr>
          <w:rFonts w:ascii="Arial" w:eastAsia="SimSun" w:hAnsi="Arial" w:cs="Times New Roman"/>
          <w:b/>
          <w:sz w:val="24"/>
          <w:szCs w:val="20"/>
          <w:lang w:val="en-GB"/>
        </w:rPr>
        <w:t xml:space="preserve"> </w:t>
      </w:r>
      <w:r w:rsidR="00176671" w:rsidRPr="00841BCD">
        <w:rPr>
          <w:rFonts w:ascii="Arial" w:eastAsia="SimSun" w:hAnsi="Arial" w:cs="Times New Roman"/>
          <w:b/>
          <w:bCs/>
          <w:noProof/>
          <w:sz w:val="24"/>
          <w:szCs w:val="20"/>
          <w:lang w:eastAsia="zh-CN"/>
        </w:rPr>
        <w:t>201</w:t>
      </w:r>
      <w:r w:rsidR="00DD555A">
        <w:rPr>
          <w:rFonts w:ascii="Arial" w:eastAsia="SimSun" w:hAnsi="Arial" w:cs="Times New Roman"/>
          <w:b/>
          <w:bCs/>
          <w:noProof/>
          <w:sz w:val="24"/>
          <w:szCs w:val="20"/>
          <w:lang w:eastAsia="zh-CN"/>
        </w:rPr>
        <w:t>9</w:t>
      </w:r>
    </w:p>
    <w:bookmarkEnd w:id="0"/>
    <w:bookmarkEnd w:id="1"/>
    <w:p w14:paraId="6515563C" w14:textId="77777777" w:rsidR="00841BCD" w:rsidRPr="00841BCD"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GB" w:eastAsia="ja-JP"/>
        </w:rPr>
      </w:pPr>
    </w:p>
    <w:p w14:paraId="7E9A358D" w14:textId="77777777" w:rsidR="00841BCD" w:rsidRPr="00841BCD" w:rsidRDefault="00841BCD" w:rsidP="00841BCD">
      <w:pPr>
        <w:tabs>
          <w:tab w:val="left" w:pos="1985"/>
        </w:tabs>
        <w:ind w:left="1985" w:hanging="1985"/>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sidR="0043750A">
        <w:rPr>
          <w:rFonts w:ascii="Arial" w:eastAsia="Calibri" w:hAnsi="Arial" w:cs="Arial"/>
          <w:b/>
          <w:bCs/>
          <w:sz w:val="24"/>
          <w:lang w:val="en-GB"/>
        </w:rPr>
        <w:t>Nokia</w:t>
      </w:r>
      <w:r w:rsidRPr="00841BCD">
        <w:rPr>
          <w:rFonts w:ascii="Arial" w:eastAsia="Calibri" w:hAnsi="Arial" w:cs="Arial"/>
          <w:b/>
          <w:bCs/>
          <w:sz w:val="24"/>
          <w:lang w:val="en-GB"/>
        </w:rPr>
        <w:t xml:space="preserve"> Shanghai Bell</w:t>
      </w:r>
      <w:r w:rsidRPr="00841BCD" w:rsidDel="00636277">
        <w:rPr>
          <w:rFonts w:ascii="Arial" w:eastAsia="Calibri" w:hAnsi="Arial" w:cs="Arial"/>
          <w:b/>
          <w:bCs/>
          <w:sz w:val="24"/>
          <w:lang w:val="en-GB"/>
        </w:rPr>
        <w:t xml:space="preserve"> </w:t>
      </w:r>
    </w:p>
    <w:p w14:paraId="7D0568CA" w14:textId="4FBB50A5" w:rsidR="00841BCD" w:rsidRPr="009F508E" w:rsidRDefault="00841BCD" w:rsidP="00841BCD">
      <w:pPr>
        <w:ind w:left="1985" w:hanging="1985"/>
        <w:rPr>
          <w:rFonts w:ascii="Arial" w:eastAsia="Calibri" w:hAnsi="Arial" w:cs="Arial"/>
          <w:b/>
          <w:bCs/>
          <w:sz w:val="24"/>
        </w:rPr>
      </w:pPr>
      <w:r w:rsidRPr="00841BCD">
        <w:rPr>
          <w:rFonts w:ascii="Arial" w:eastAsia="Calibri" w:hAnsi="Arial" w:cs="Arial"/>
          <w:b/>
          <w:bCs/>
          <w:sz w:val="24"/>
          <w:lang w:val="en-GB"/>
        </w:rPr>
        <w:t>Title:</w:t>
      </w:r>
      <w:r w:rsidRPr="00841BCD">
        <w:rPr>
          <w:rFonts w:ascii="Arial" w:eastAsia="Calibri" w:hAnsi="Arial" w:cs="Arial"/>
          <w:b/>
          <w:bCs/>
          <w:sz w:val="24"/>
          <w:lang w:val="en-GB"/>
        </w:rPr>
        <w:tab/>
      </w:r>
      <w:r w:rsidR="009F508E" w:rsidRPr="009F508E">
        <w:rPr>
          <w:rFonts w:ascii="Arial" w:eastAsia="Calibri" w:hAnsi="Arial" w:cs="Arial"/>
          <w:b/>
          <w:bCs/>
          <w:sz w:val="24"/>
          <w:lang w:val="en-GB"/>
        </w:rPr>
        <w:t>LS discussion related to fast SCell activation</w:t>
      </w:r>
      <w:r w:rsidRPr="009F508E" w:rsidDel="000A742C">
        <w:rPr>
          <w:rFonts w:ascii="Arial" w:eastAsia="Calibri" w:hAnsi="Arial" w:cs="Arial"/>
          <w:b/>
          <w:bCs/>
          <w:sz w:val="24"/>
          <w:lang w:val="en-GB"/>
        </w:rPr>
        <w:t xml:space="preserve"> </w:t>
      </w:r>
    </w:p>
    <w:p w14:paraId="53921647" w14:textId="5DE6289E" w:rsidR="00841BCD" w:rsidRPr="009F508E" w:rsidRDefault="00841BCD" w:rsidP="00841BCD">
      <w:pPr>
        <w:tabs>
          <w:tab w:val="left" w:pos="1985"/>
        </w:tabs>
        <w:spacing w:after="120" w:line="240" w:lineRule="auto"/>
        <w:rPr>
          <w:rFonts w:ascii="Arial" w:eastAsia="MS Mincho" w:hAnsi="Arial" w:cs="Arial"/>
          <w:b/>
          <w:bCs/>
          <w:sz w:val="24"/>
          <w:szCs w:val="20"/>
          <w:lang w:val="en-GB"/>
        </w:rPr>
      </w:pPr>
      <w:r w:rsidRPr="009F508E">
        <w:rPr>
          <w:rFonts w:ascii="Arial" w:eastAsia="MS Mincho" w:hAnsi="Arial" w:cs="Arial"/>
          <w:b/>
          <w:bCs/>
          <w:sz w:val="24"/>
          <w:szCs w:val="20"/>
          <w:lang w:val="en-GB"/>
        </w:rPr>
        <w:t>Agenda item:</w:t>
      </w:r>
      <w:r w:rsidRPr="009F508E">
        <w:rPr>
          <w:rFonts w:ascii="Arial" w:eastAsia="MS Mincho" w:hAnsi="Arial" w:cs="Arial"/>
          <w:b/>
          <w:bCs/>
          <w:sz w:val="24"/>
          <w:szCs w:val="20"/>
          <w:lang w:val="en-GB"/>
        </w:rPr>
        <w:tab/>
      </w:r>
      <w:r w:rsidR="009F508E" w:rsidRPr="009F508E">
        <w:rPr>
          <w:rFonts w:ascii="Arial" w:eastAsia="MS Mincho" w:hAnsi="Arial" w:cs="Arial"/>
          <w:b/>
          <w:bCs/>
          <w:sz w:val="24"/>
          <w:szCs w:val="20"/>
          <w:lang w:val="en-GB"/>
        </w:rPr>
        <w:t>8</w:t>
      </w:r>
      <w:r w:rsidRPr="009F508E">
        <w:rPr>
          <w:rFonts w:ascii="Arial" w:eastAsia="MS Mincho" w:hAnsi="Arial" w:cs="Arial"/>
          <w:b/>
          <w:bCs/>
          <w:sz w:val="24"/>
          <w:szCs w:val="20"/>
          <w:lang w:val="en-GB"/>
        </w:rPr>
        <w:t>.</w:t>
      </w:r>
      <w:r w:rsidR="009F508E" w:rsidRPr="009F508E">
        <w:rPr>
          <w:rFonts w:ascii="Arial" w:eastAsia="MS Mincho" w:hAnsi="Arial" w:cs="Arial"/>
          <w:b/>
          <w:bCs/>
          <w:sz w:val="24"/>
          <w:szCs w:val="20"/>
          <w:lang w:val="en-GB"/>
        </w:rPr>
        <w:t>6</w:t>
      </w:r>
      <w:r w:rsidRPr="009F508E">
        <w:rPr>
          <w:rFonts w:ascii="Arial" w:eastAsia="MS Mincho" w:hAnsi="Arial" w:cs="Arial"/>
          <w:b/>
          <w:bCs/>
          <w:sz w:val="24"/>
          <w:szCs w:val="20"/>
          <w:lang w:val="en-GB"/>
        </w:rPr>
        <w:t>.</w:t>
      </w:r>
      <w:r w:rsidR="009F508E" w:rsidRPr="009F508E">
        <w:rPr>
          <w:rFonts w:ascii="Arial" w:eastAsia="MS Mincho" w:hAnsi="Arial" w:cs="Arial"/>
          <w:b/>
          <w:bCs/>
          <w:sz w:val="24"/>
          <w:szCs w:val="20"/>
          <w:lang w:val="en-GB"/>
        </w:rPr>
        <w:t>3</w:t>
      </w:r>
      <w:r w:rsidR="006B7010" w:rsidRPr="009F508E">
        <w:rPr>
          <w:rFonts w:ascii="Arial" w:eastAsia="MS Mincho" w:hAnsi="Arial" w:cs="Arial"/>
          <w:b/>
          <w:bCs/>
          <w:sz w:val="24"/>
          <w:szCs w:val="20"/>
          <w:lang w:val="en-GB"/>
        </w:rPr>
        <w:t>.2</w:t>
      </w:r>
    </w:p>
    <w:p w14:paraId="266D763D" w14:textId="77777777" w:rsidR="00841BCD" w:rsidRPr="00841BCD" w:rsidRDefault="00841BCD" w:rsidP="00841BCD">
      <w:pPr>
        <w:tabs>
          <w:tab w:val="left" w:pos="1985"/>
        </w:tabs>
        <w:rPr>
          <w:rFonts w:ascii="Arial" w:eastAsia="Calibri" w:hAnsi="Arial" w:cs="Arial"/>
          <w:b/>
          <w:bCs/>
          <w:sz w:val="24"/>
          <w:lang w:val="en-GB"/>
        </w:rPr>
      </w:pPr>
      <w:r w:rsidRPr="009F508E">
        <w:rPr>
          <w:rFonts w:ascii="Arial" w:eastAsia="Calibri" w:hAnsi="Arial" w:cs="Arial"/>
          <w:b/>
          <w:bCs/>
          <w:sz w:val="24"/>
          <w:lang w:val="en-GB"/>
        </w:rPr>
        <w:t>Document for:</w:t>
      </w:r>
      <w:r w:rsidRPr="009F508E">
        <w:rPr>
          <w:rFonts w:ascii="Arial" w:eastAsia="Calibri" w:hAnsi="Arial" w:cs="Arial"/>
          <w:b/>
          <w:bCs/>
          <w:sz w:val="24"/>
          <w:lang w:val="en-GB"/>
        </w:rPr>
        <w:tab/>
        <w:t>Discussion</w:t>
      </w:r>
    </w:p>
    <w:p w14:paraId="505DD0D6" w14:textId="77777777" w:rsidR="00841BCD" w:rsidRPr="00841BCD" w:rsidRDefault="00841BCD" w:rsidP="00A37002">
      <w:pPr>
        <w:pStyle w:val="RAN4H1"/>
      </w:pPr>
      <w:r w:rsidRPr="00AE56B1">
        <w:t>Intro</w:t>
      </w:r>
      <w:r w:rsidRPr="00AE56B1">
        <w:rPr>
          <w:rStyle w:val="RAN4H1Char"/>
        </w:rPr>
        <w:t>ductio</w:t>
      </w:r>
      <w:r w:rsidRPr="00AE56B1">
        <w:t>n</w:t>
      </w:r>
    </w:p>
    <w:p w14:paraId="3A2170F1" w14:textId="79E90B79" w:rsidR="00A22B78" w:rsidRDefault="0031380A" w:rsidP="00841BCD">
      <w:pPr>
        <w:ind w:right="-22"/>
        <w:rPr>
          <w:rFonts w:eastAsia="Calibri" w:cs="Times New Roman"/>
          <w:szCs w:val="20"/>
          <w:lang w:val="en-GB"/>
        </w:rPr>
      </w:pPr>
      <w:r>
        <w:rPr>
          <w:rFonts w:eastAsia="Calibri" w:cs="Times New Roman"/>
          <w:szCs w:val="20"/>
          <w:lang w:val="en-GB"/>
        </w:rPr>
        <w:t>In [</w:t>
      </w:r>
      <w:r w:rsidR="00642AA2">
        <w:rPr>
          <w:rFonts w:eastAsia="Calibri" w:cs="Times New Roman"/>
          <w:szCs w:val="20"/>
          <w:lang w:val="en-GB"/>
        </w:rPr>
        <w:t>3</w:t>
      </w:r>
      <w:r>
        <w:rPr>
          <w:rFonts w:eastAsia="Calibri" w:cs="Times New Roman"/>
          <w:szCs w:val="20"/>
          <w:lang w:val="en-GB"/>
        </w:rPr>
        <w:t xml:space="preserve">] RAN1 sent </w:t>
      </w:r>
      <w:proofErr w:type="gramStart"/>
      <w:r>
        <w:rPr>
          <w:rFonts w:eastAsia="Calibri" w:cs="Times New Roman"/>
          <w:szCs w:val="20"/>
          <w:lang w:val="en-GB"/>
        </w:rPr>
        <w:t>an</w:t>
      </w:r>
      <w:proofErr w:type="gramEnd"/>
      <w:r>
        <w:rPr>
          <w:rFonts w:eastAsia="Calibri" w:cs="Times New Roman"/>
          <w:szCs w:val="20"/>
          <w:lang w:val="en-GB"/>
        </w:rPr>
        <w:t xml:space="preserve"> LS to RAN4 and RAN2 asking RAN4 further questions related to fast SCell activation</w:t>
      </w:r>
      <w:r w:rsidR="002C2D19">
        <w:rPr>
          <w:rFonts w:eastAsia="Calibri" w:cs="Times New Roman"/>
          <w:szCs w:val="20"/>
          <w:lang w:val="en-GB"/>
        </w:rPr>
        <w:t>.</w:t>
      </w:r>
      <w:r>
        <w:rPr>
          <w:rFonts w:eastAsia="Calibri" w:cs="Times New Roman"/>
          <w:szCs w:val="20"/>
          <w:lang w:val="en-GB"/>
        </w:rPr>
        <w:t xml:space="preserve"> In this paper we discuss the RAN4 related reply concerning the question to RAN4.</w:t>
      </w:r>
      <w:r w:rsidR="002C2D19">
        <w:rPr>
          <w:rFonts w:eastAsia="Calibri" w:cs="Times New Roman"/>
          <w:szCs w:val="20"/>
          <w:lang w:val="en-GB"/>
        </w:rPr>
        <w:t xml:space="preserve"> </w:t>
      </w:r>
    </w:p>
    <w:p w14:paraId="2FF6A72B" w14:textId="77777777" w:rsidR="003B659E" w:rsidRPr="00841BCD" w:rsidRDefault="003B659E" w:rsidP="00AE56B1">
      <w:pPr>
        <w:pStyle w:val="RAN4H1"/>
      </w:pPr>
      <w:r w:rsidRPr="00AE56B1">
        <w:t>Discussion</w:t>
      </w:r>
    </w:p>
    <w:p w14:paraId="19F884E6" w14:textId="781F31F8" w:rsidR="0031380A" w:rsidRDefault="0031380A" w:rsidP="0031380A">
      <w:pPr>
        <w:ind w:right="-22"/>
        <w:rPr>
          <w:rFonts w:eastAsia="Calibri" w:cs="Times New Roman"/>
          <w:szCs w:val="20"/>
          <w:lang w:val="en-GB"/>
        </w:rPr>
      </w:pPr>
      <w:r>
        <w:rPr>
          <w:rFonts w:eastAsia="Calibri" w:cs="Times New Roman"/>
          <w:szCs w:val="20"/>
          <w:lang w:val="en-GB"/>
        </w:rPr>
        <w:t>In [1] RAN1 ask RAN4 following:</w:t>
      </w:r>
    </w:p>
    <w:p w14:paraId="5FCCFEDD" w14:textId="5FD19A80" w:rsidR="0031380A" w:rsidRDefault="0031380A" w:rsidP="0031380A">
      <w:pPr>
        <w:ind w:left="720" w:right="-22"/>
        <w:rPr>
          <w:rFonts w:eastAsia="Calibri" w:cs="Times New Roman"/>
          <w:szCs w:val="20"/>
          <w:lang w:val="en-GB"/>
        </w:rPr>
      </w:pPr>
      <w:r w:rsidRPr="0031380A">
        <w:rPr>
          <w:rFonts w:ascii="Arial" w:hAnsi="Arial" w:cs="Arial"/>
          <w:highlight w:val="yellow"/>
        </w:rPr>
        <w:t>RAN1 kindly asks</w:t>
      </w:r>
      <w:r w:rsidRPr="004D47C9">
        <w:rPr>
          <w:rFonts w:ascii="Arial" w:hAnsi="Arial" w:cs="Arial"/>
        </w:rPr>
        <w:t xml:space="preserve"> </w:t>
      </w:r>
      <w:r>
        <w:rPr>
          <w:rFonts w:ascii="Arial" w:hAnsi="Arial" w:cs="Arial"/>
        </w:rPr>
        <w:t>RAN2 to take the above information</w:t>
      </w:r>
      <w:r w:rsidRPr="004D47C9">
        <w:rPr>
          <w:rFonts w:ascii="Arial" w:hAnsi="Arial" w:cs="Arial"/>
        </w:rPr>
        <w:t xml:space="preserve"> into</w:t>
      </w:r>
      <w:r>
        <w:rPr>
          <w:rFonts w:ascii="Arial" w:hAnsi="Arial" w:cs="Arial"/>
        </w:rPr>
        <w:t xml:space="preserve"> account, and </w:t>
      </w:r>
      <w:r w:rsidRPr="0031380A">
        <w:rPr>
          <w:rFonts w:ascii="Arial" w:hAnsi="Arial" w:cs="Arial"/>
          <w:highlight w:val="yellow"/>
        </w:rPr>
        <w:t xml:space="preserve">RAN4 to kindly </w:t>
      </w:r>
      <w:proofErr w:type="gramStart"/>
      <w:r w:rsidRPr="0031380A">
        <w:rPr>
          <w:rFonts w:ascii="Arial" w:hAnsi="Arial" w:cs="Arial"/>
          <w:highlight w:val="yellow"/>
        </w:rPr>
        <w:t>provide  information</w:t>
      </w:r>
      <w:proofErr w:type="gramEnd"/>
      <w:r w:rsidRPr="0031380A">
        <w:rPr>
          <w:rFonts w:ascii="Arial" w:hAnsi="Arial" w:cs="Arial"/>
          <w:highlight w:val="yellow"/>
        </w:rPr>
        <w:t xml:space="preserve"> on whether the existing BWP switch delay requirements are adequate, or whether different delay requirement should be defined for the transition between ‘dormancy’ and ‘non-dormancy’ </w:t>
      </w:r>
      <w:proofErr w:type="spellStart"/>
      <w:r w:rsidRPr="0031380A">
        <w:rPr>
          <w:rFonts w:ascii="Arial" w:hAnsi="Arial" w:cs="Arial"/>
          <w:highlight w:val="yellow"/>
        </w:rPr>
        <w:t>behaviour</w:t>
      </w:r>
      <w:proofErr w:type="spellEnd"/>
      <w:r w:rsidRPr="0031380A">
        <w:rPr>
          <w:rFonts w:ascii="Arial" w:hAnsi="Arial" w:cs="Arial"/>
          <w:highlight w:val="yellow"/>
        </w:rPr>
        <w:t xml:space="preserve"> in the case BWP framework is used.</w:t>
      </w:r>
      <w:r>
        <w:rPr>
          <w:rFonts w:ascii="Arial" w:hAnsi="Arial" w:cs="Arial"/>
        </w:rPr>
        <w:t xml:space="preserve"> </w:t>
      </w:r>
      <w:r w:rsidRPr="00751754">
        <w:rPr>
          <w:rFonts w:ascii="Arial" w:hAnsi="Arial" w:cs="Arial"/>
        </w:rPr>
        <w:t>RAN1 would also like to kindly remind RAN4 to provide response to R1-1905912 sent in RAN1 #96b</w:t>
      </w:r>
    </w:p>
    <w:p w14:paraId="67235369" w14:textId="38D06AD2" w:rsidR="0031380A" w:rsidRDefault="0031380A" w:rsidP="0031380A">
      <w:pPr>
        <w:ind w:right="-22"/>
        <w:rPr>
          <w:rFonts w:eastAsia="Calibri" w:cs="Times New Roman"/>
          <w:szCs w:val="20"/>
          <w:lang w:val="en-GB"/>
        </w:rPr>
      </w:pPr>
      <w:r>
        <w:rPr>
          <w:rFonts w:eastAsia="Calibri" w:cs="Times New Roman"/>
          <w:szCs w:val="20"/>
          <w:lang w:val="en-GB"/>
        </w:rPr>
        <w:t xml:space="preserve">Current agreement in RAN2, from RAN2#106, for a cell applying dormancy behaviour, means that the UE may stop monitoring the PDCCH of the cell, but the UE shall continue other activities including necessary measurements for CSI reporting, AGC and beam management: </w:t>
      </w:r>
    </w:p>
    <w:p w14:paraId="3E6A41E4" w14:textId="58DA5782" w:rsidR="0031380A" w:rsidRDefault="0031380A" w:rsidP="0031380A">
      <w:pPr>
        <w:ind w:left="540" w:right="-22"/>
        <w:rPr>
          <w:rFonts w:eastAsia="Calibri" w:cs="Times New Roman"/>
          <w:szCs w:val="20"/>
          <w:lang w:val="en-GB"/>
        </w:rPr>
      </w:pPr>
      <w:r>
        <w:t xml:space="preserve">The 'dormancy' </w:t>
      </w:r>
      <w:proofErr w:type="spellStart"/>
      <w:r>
        <w:t>behaviour</w:t>
      </w:r>
      <w:proofErr w:type="spellEnd"/>
      <w:r>
        <w:t xml:space="preserve"> implies that the UE stops monitoring PDCCH but continues other activities such as CSI measurements, AGC and beam management. RAN1/4 input required on feasibility and benefit</w:t>
      </w:r>
    </w:p>
    <w:p w14:paraId="68066840" w14:textId="0715BCD8" w:rsidR="0031380A" w:rsidRDefault="008A381C" w:rsidP="0031380A">
      <w:pPr>
        <w:ind w:right="-22"/>
        <w:rPr>
          <w:rFonts w:eastAsia="Calibri" w:cs="Times New Roman"/>
          <w:szCs w:val="20"/>
          <w:lang w:val="en-GB"/>
        </w:rPr>
      </w:pPr>
      <w:r>
        <w:rPr>
          <w:rFonts w:eastAsia="Calibri" w:cs="Times New Roman"/>
          <w:szCs w:val="20"/>
          <w:lang w:val="en-GB"/>
        </w:rPr>
        <w:t xml:space="preserve">I.e. dormancy behaviour implies that the UE activity necessary to track the cell including keeping AGC and perform at least CQI and beam management related measurements. This behaviour is basically </w:t>
      </w:r>
      <w:proofErr w:type="gramStart"/>
      <w:r>
        <w:rPr>
          <w:rFonts w:eastAsia="Calibri" w:cs="Times New Roman"/>
          <w:szCs w:val="20"/>
          <w:lang w:val="en-GB"/>
        </w:rPr>
        <w:t>similar to</w:t>
      </w:r>
      <w:proofErr w:type="gramEnd"/>
      <w:r>
        <w:rPr>
          <w:rFonts w:eastAsia="Calibri" w:cs="Times New Roman"/>
          <w:szCs w:val="20"/>
          <w:lang w:val="en-GB"/>
        </w:rPr>
        <w:t xml:space="preserve"> an activated cell except UE may skip PDCCH decoding.</w:t>
      </w:r>
    </w:p>
    <w:p w14:paraId="67FA5061" w14:textId="5565C648" w:rsidR="008A381C" w:rsidRDefault="008A381C" w:rsidP="0031380A">
      <w:pPr>
        <w:ind w:right="-22"/>
        <w:rPr>
          <w:rFonts w:eastAsia="Calibri" w:cs="Times New Roman"/>
          <w:szCs w:val="20"/>
          <w:lang w:val="en-GB"/>
        </w:rPr>
      </w:pPr>
      <w:r>
        <w:rPr>
          <w:rFonts w:eastAsia="Calibri" w:cs="Times New Roman"/>
          <w:szCs w:val="20"/>
          <w:lang w:val="en-GB"/>
        </w:rPr>
        <w:t>Based on this the only difference between dormancy behaviour and active state is the PDCCH decoding requirements, and it should be feasible to apply the BWP framework for changing between active and dormancy behaviour and from dormancy behaviour and active behaviour.</w:t>
      </w:r>
    </w:p>
    <w:p w14:paraId="3C749DD6" w14:textId="0E507B88" w:rsidR="008A381C" w:rsidRDefault="008A381C" w:rsidP="0031380A">
      <w:pPr>
        <w:ind w:right="-22"/>
        <w:rPr>
          <w:rFonts w:eastAsia="Calibri" w:cs="Times New Roman"/>
          <w:szCs w:val="20"/>
          <w:lang w:val="en-GB"/>
        </w:rPr>
      </w:pPr>
      <w:r>
        <w:rPr>
          <w:rFonts w:eastAsia="Calibri" w:cs="Times New Roman"/>
          <w:szCs w:val="20"/>
          <w:lang w:val="en-GB"/>
        </w:rPr>
        <w:t>We propose to reply to RAN1 that from RAN4 point of view it is feasible to use the BWP framework for changing to and from dormancy behaviour.</w:t>
      </w:r>
    </w:p>
    <w:p w14:paraId="7950C665" w14:textId="5729E8BB" w:rsidR="008A381C" w:rsidRDefault="008A381C" w:rsidP="008A381C">
      <w:pPr>
        <w:pStyle w:val="RAN4proposal"/>
        <w:rPr>
          <w:lang w:val="en-GB"/>
        </w:rPr>
      </w:pPr>
      <w:r>
        <w:rPr>
          <w:lang w:val="en-GB"/>
        </w:rPr>
        <w:t>Indicate to RAN1 that from RAN4 point using the BWP framework for controlling dormancy behaviour is feasible.</w:t>
      </w:r>
    </w:p>
    <w:p w14:paraId="7DD226B8" w14:textId="08AF5645" w:rsidR="008A381C" w:rsidRDefault="003D373B" w:rsidP="008A381C">
      <w:pPr>
        <w:rPr>
          <w:lang w:val="en-GB"/>
        </w:rPr>
      </w:pPr>
      <w:r>
        <w:rPr>
          <w:lang w:val="en-GB"/>
        </w:rPr>
        <w:t>RAN1 is asking whether existing BWP switch delay requirement would be adequate for going from active to dormancy behaviour and from dormancy to active behaviour. As discussed, the dormancy behaviour requires the UE to continue to keep tight tracking of the cell applying dormancy</w:t>
      </w:r>
      <w:r w:rsidR="003C2AFC">
        <w:rPr>
          <w:lang w:val="en-GB"/>
        </w:rPr>
        <w:t xml:space="preserve">. In fact, the tracking should be very close to what is necessary for active cell except for PDCCH decoding </w:t>
      </w:r>
      <w:r w:rsidR="00260F04">
        <w:rPr>
          <w:lang w:val="en-GB"/>
        </w:rPr>
        <w:t xml:space="preserve">which </w:t>
      </w:r>
      <w:r w:rsidR="003C2AFC">
        <w:rPr>
          <w:lang w:val="en-GB"/>
        </w:rPr>
        <w:t>can be omitted.</w:t>
      </w:r>
    </w:p>
    <w:p w14:paraId="1CA23B4B" w14:textId="1276CD5A" w:rsidR="003C2AFC" w:rsidRDefault="003C2AFC" w:rsidP="008A381C">
      <w:pPr>
        <w:rPr>
          <w:lang w:val="en-GB"/>
        </w:rPr>
      </w:pPr>
      <w:r>
        <w:rPr>
          <w:lang w:val="en-GB"/>
        </w:rPr>
        <w:t>Current BWP switch delays are:</w:t>
      </w:r>
    </w:p>
    <w:p w14:paraId="31C17559" w14:textId="77777777" w:rsidR="00BB4C6E" w:rsidRPr="00BE78B0" w:rsidRDefault="00BB4C6E" w:rsidP="00BB4C6E">
      <w:pPr>
        <w:pStyle w:val="TH"/>
      </w:pPr>
      <w:r w:rsidRPr="00BE78B0">
        <w:lastRenderedPageBreak/>
        <w:t>Table 8.6.2-1: BWP switch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gridCol w:w="1969"/>
      </w:tblGrid>
      <w:tr w:rsidR="00BB4C6E" w:rsidRPr="00BE78B0" w14:paraId="1CBCB85B" w14:textId="77777777" w:rsidTr="00E83DE2">
        <w:trPr>
          <w:trHeight w:val="305"/>
          <w:jc w:val="center"/>
        </w:trPr>
        <w:tc>
          <w:tcPr>
            <w:tcW w:w="649" w:type="dxa"/>
            <w:vMerge w:val="restart"/>
            <w:shd w:val="clear" w:color="auto" w:fill="auto"/>
            <w:vAlign w:val="center"/>
          </w:tcPr>
          <w:p w14:paraId="65BFB3B7" w14:textId="77777777" w:rsidR="00BB4C6E" w:rsidRPr="00BE78B0" w:rsidRDefault="00BB4C6E" w:rsidP="00E83DE2">
            <w:pPr>
              <w:pStyle w:val="TAH"/>
            </w:pPr>
            <w:r w:rsidRPr="00BE78B0">
              <w:rPr>
                <w:noProof/>
                <w:lang w:val="en-US" w:eastAsia="zh-CN"/>
              </w:rPr>
              <w:drawing>
                <wp:inline distT="0" distB="0" distL="0" distR="0" wp14:anchorId="4A7CC379" wp14:editId="2F63CEFA">
                  <wp:extent cx="142875" cy="161925"/>
                  <wp:effectExtent l="0" t="0" r="0" b="0"/>
                  <wp:docPr id="7"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p>
        </w:tc>
        <w:tc>
          <w:tcPr>
            <w:tcW w:w="992" w:type="dxa"/>
            <w:vMerge w:val="restart"/>
          </w:tcPr>
          <w:p w14:paraId="065E7243" w14:textId="77777777" w:rsidR="00BB4C6E" w:rsidRPr="00BE78B0" w:rsidRDefault="00BB4C6E" w:rsidP="00E83DE2">
            <w:pPr>
              <w:pStyle w:val="TAH"/>
            </w:pPr>
            <w:r w:rsidRPr="00BE78B0">
              <w:t>NR Slot length (</w:t>
            </w:r>
            <w:proofErr w:type="spellStart"/>
            <w:r w:rsidRPr="00BE78B0">
              <w:t>ms</w:t>
            </w:r>
            <w:proofErr w:type="spellEnd"/>
            <w:r w:rsidRPr="00BE78B0">
              <w:t>)</w:t>
            </w:r>
          </w:p>
        </w:tc>
        <w:tc>
          <w:tcPr>
            <w:tcW w:w="3938" w:type="dxa"/>
            <w:gridSpan w:val="2"/>
          </w:tcPr>
          <w:p w14:paraId="705234B3" w14:textId="77777777" w:rsidR="00BB4C6E" w:rsidRPr="00BE78B0" w:rsidRDefault="00BB4C6E" w:rsidP="00E83DE2">
            <w:pPr>
              <w:pStyle w:val="TAH"/>
              <w:rPr>
                <w:lang w:eastAsia="zh-CN"/>
              </w:rPr>
            </w:pPr>
            <w:r w:rsidRPr="00BE78B0">
              <w:rPr>
                <w:lang w:eastAsia="zh-CN"/>
              </w:rPr>
              <w:t xml:space="preserve">BWP switch delay </w:t>
            </w:r>
            <w:proofErr w:type="spellStart"/>
            <w:r w:rsidRPr="00BE78B0">
              <w:rPr>
                <w:lang w:eastAsia="zh-CN"/>
              </w:rPr>
              <w:t>T</w:t>
            </w:r>
            <w:r w:rsidRPr="00BE78B0">
              <w:rPr>
                <w:vertAlign w:val="subscript"/>
                <w:lang w:eastAsia="zh-CN"/>
              </w:rPr>
              <w:t>BWPswitchDelay</w:t>
            </w:r>
            <w:proofErr w:type="spellEnd"/>
            <w:r w:rsidRPr="00BE78B0">
              <w:rPr>
                <w:lang w:eastAsia="zh-CN"/>
              </w:rPr>
              <w:t xml:space="preserve"> (slots)</w:t>
            </w:r>
          </w:p>
        </w:tc>
      </w:tr>
      <w:tr w:rsidR="00BB4C6E" w:rsidRPr="00BE78B0" w14:paraId="5EFA84F5" w14:textId="77777777" w:rsidTr="00E83DE2">
        <w:trPr>
          <w:trHeight w:val="306"/>
          <w:jc w:val="center"/>
        </w:trPr>
        <w:tc>
          <w:tcPr>
            <w:tcW w:w="649" w:type="dxa"/>
            <w:vMerge/>
            <w:shd w:val="clear" w:color="auto" w:fill="auto"/>
            <w:vAlign w:val="center"/>
          </w:tcPr>
          <w:p w14:paraId="0EF94252" w14:textId="77777777" w:rsidR="00BB4C6E" w:rsidRPr="00BE78B0" w:rsidRDefault="00BB4C6E" w:rsidP="00E83DE2">
            <w:pPr>
              <w:pStyle w:val="TAH"/>
            </w:pPr>
          </w:p>
        </w:tc>
        <w:tc>
          <w:tcPr>
            <w:tcW w:w="992" w:type="dxa"/>
            <w:vMerge/>
          </w:tcPr>
          <w:p w14:paraId="0B71ED4E" w14:textId="77777777" w:rsidR="00BB4C6E" w:rsidRPr="00BE78B0" w:rsidRDefault="00BB4C6E" w:rsidP="00E83DE2">
            <w:pPr>
              <w:pStyle w:val="TAH"/>
            </w:pPr>
          </w:p>
        </w:tc>
        <w:tc>
          <w:tcPr>
            <w:tcW w:w="1969" w:type="dxa"/>
          </w:tcPr>
          <w:p w14:paraId="2CA96E94" w14:textId="77777777" w:rsidR="00BB4C6E" w:rsidRPr="00BE78B0" w:rsidRDefault="00BB4C6E" w:rsidP="00E83DE2">
            <w:pPr>
              <w:pStyle w:val="TAH"/>
              <w:rPr>
                <w:vertAlign w:val="superscript"/>
                <w:lang w:eastAsia="zh-CN"/>
              </w:rPr>
            </w:pPr>
            <w:r w:rsidRPr="00BE78B0">
              <w:rPr>
                <w:lang w:eastAsia="zh-CN"/>
              </w:rPr>
              <w:t>Type 1</w:t>
            </w:r>
            <w:r w:rsidRPr="00BE78B0">
              <w:rPr>
                <w:vertAlign w:val="superscript"/>
                <w:lang w:eastAsia="zh-CN"/>
              </w:rPr>
              <w:t>Note 1</w:t>
            </w:r>
          </w:p>
        </w:tc>
        <w:tc>
          <w:tcPr>
            <w:tcW w:w="1969" w:type="dxa"/>
          </w:tcPr>
          <w:p w14:paraId="7B03E1CE" w14:textId="77777777" w:rsidR="00BB4C6E" w:rsidRPr="00BE78B0" w:rsidRDefault="00BB4C6E" w:rsidP="00E83DE2">
            <w:pPr>
              <w:pStyle w:val="TAH"/>
              <w:rPr>
                <w:vertAlign w:val="superscript"/>
                <w:lang w:eastAsia="zh-CN"/>
              </w:rPr>
            </w:pPr>
            <w:r w:rsidRPr="00BE78B0">
              <w:rPr>
                <w:lang w:eastAsia="zh-CN"/>
              </w:rPr>
              <w:t>Type 2</w:t>
            </w:r>
            <w:r w:rsidRPr="00BE78B0">
              <w:rPr>
                <w:vertAlign w:val="superscript"/>
                <w:lang w:eastAsia="zh-CN"/>
              </w:rPr>
              <w:t>Note 1</w:t>
            </w:r>
          </w:p>
        </w:tc>
      </w:tr>
      <w:tr w:rsidR="00BB4C6E" w:rsidRPr="00BE78B0" w:rsidDel="00FC0501" w14:paraId="5A5A1A72" w14:textId="77777777" w:rsidTr="00E83DE2">
        <w:trPr>
          <w:jc w:val="center"/>
        </w:trPr>
        <w:tc>
          <w:tcPr>
            <w:tcW w:w="649" w:type="dxa"/>
            <w:shd w:val="clear" w:color="auto" w:fill="auto"/>
          </w:tcPr>
          <w:p w14:paraId="4BCBA536" w14:textId="77777777" w:rsidR="00BB4C6E" w:rsidRPr="00BE78B0" w:rsidRDefault="00BB4C6E" w:rsidP="00E83DE2">
            <w:pPr>
              <w:pStyle w:val="TAC"/>
            </w:pPr>
            <w:r w:rsidRPr="00BE78B0">
              <w:t>0</w:t>
            </w:r>
          </w:p>
        </w:tc>
        <w:tc>
          <w:tcPr>
            <w:tcW w:w="992" w:type="dxa"/>
          </w:tcPr>
          <w:p w14:paraId="5E8DEC45" w14:textId="77777777" w:rsidR="00BB4C6E" w:rsidRPr="00BE78B0" w:rsidRDefault="00BB4C6E" w:rsidP="00E83DE2">
            <w:pPr>
              <w:pStyle w:val="TAC"/>
            </w:pPr>
            <w:r w:rsidRPr="00BE78B0">
              <w:t>1</w:t>
            </w:r>
          </w:p>
        </w:tc>
        <w:tc>
          <w:tcPr>
            <w:tcW w:w="1969" w:type="dxa"/>
            <w:shd w:val="clear" w:color="auto" w:fill="auto"/>
          </w:tcPr>
          <w:p w14:paraId="05AE033D" w14:textId="77777777" w:rsidR="00BB4C6E" w:rsidRPr="00BE78B0" w:rsidRDefault="00BB4C6E" w:rsidP="00E83DE2">
            <w:pPr>
              <w:pStyle w:val="TAC"/>
            </w:pPr>
            <w:r w:rsidRPr="00BE78B0">
              <w:t>1</w:t>
            </w:r>
          </w:p>
        </w:tc>
        <w:tc>
          <w:tcPr>
            <w:tcW w:w="1969" w:type="dxa"/>
          </w:tcPr>
          <w:p w14:paraId="7FBEEB69" w14:textId="77777777" w:rsidR="00BB4C6E" w:rsidRPr="00BE78B0" w:rsidRDefault="00BB4C6E" w:rsidP="00E83DE2">
            <w:pPr>
              <w:pStyle w:val="TAC"/>
            </w:pPr>
            <w:r w:rsidRPr="00BE78B0">
              <w:t>3</w:t>
            </w:r>
          </w:p>
        </w:tc>
      </w:tr>
      <w:tr w:rsidR="00BB4C6E" w:rsidRPr="00BE78B0" w:rsidDel="00FC0501" w14:paraId="003056E5" w14:textId="77777777" w:rsidTr="00E83DE2">
        <w:trPr>
          <w:jc w:val="center"/>
        </w:trPr>
        <w:tc>
          <w:tcPr>
            <w:tcW w:w="649" w:type="dxa"/>
            <w:shd w:val="clear" w:color="auto" w:fill="auto"/>
          </w:tcPr>
          <w:p w14:paraId="4DB578A1" w14:textId="77777777" w:rsidR="00BB4C6E" w:rsidRPr="00BE78B0" w:rsidRDefault="00BB4C6E" w:rsidP="00E83DE2">
            <w:pPr>
              <w:pStyle w:val="TAC"/>
            </w:pPr>
            <w:r w:rsidRPr="00BE78B0">
              <w:t>1</w:t>
            </w:r>
          </w:p>
        </w:tc>
        <w:tc>
          <w:tcPr>
            <w:tcW w:w="992" w:type="dxa"/>
          </w:tcPr>
          <w:p w14:paraId="45E1A3EF" w14:textId="77777777" w:rsidR="00BB4C6E" w:rsidRPr="00BE78B0" w:rsidRDefault="00BB4C6E" w:rsidP="00E83DE2">
            <w:pPr>
              <w:pStyle w:val="TAC"/>
            </w:pPr>
            <w:r w:rsidRPr="00BE78B0">
              <w:t>0.5</w:t>
            </w:r>
          </w:p>
        </w:tc>
        <w:tc>
          <w:tcPr>
            <w:tcW w:w="1969" w:type="dxa"/>
            <w:shd w:val="clear" w:color="auto" w:fill="auto"/>
          </w:tcPr>
          <w:p w14:paraId="7C5AF3CB" w14:textId="77777777" w:rsidR="00BB4C6E" w:rsidRPr="00BE78B0" w:rsidRDefault="00BB4C6E" w:rsidP="00E83DE2">
            <w:pPr>
              <w:pStyle w:val="TAC"/>
            </w:pPr>
            <w:r w:rsidRPr="00BE78B0">
              <w:t>2</w:t>
            </w:r>
          </w:p>
        </w:tc>
        <w:tc>
          <w:tcPr>
            <w:tcW w:w="1969" w:type="dxa"/>
          </w:tcPr>
          <w:p w14:paraId="4847A922" w14:textId="77777777" w:rsidR="00BB4C6E" w:rsidRPr="00BE78B0" w:rsidRDefault="00BB4C6E" w:rsidP="00E83DE2">
            <w:pPr>
              <w:pStyle w:val="TAC"/>
            </w:pPr>
            <w:r w:rsidRPr="00BE78B0">
              <w:t>5</w:t>
            </w:r>
          </w:p>
        </w:tc>
      </w:tr>
      <w:tr w:rsidR="00BB4C6E" w:rsidRPr="00BE78B0" w:rsidDel="00FC0501" w14:paraId="51A908C0" w14:textId="77777777" w:rsidTr="00E83DE2">
        <w:trPr>
          <w:jc w:val="center"/>
        </w:trPr>
        <w:tc>
          <w:tcPr>
            <w:tcW w:w="649" w:type="dxa"/>
            <w:shd w:val="clear" w:color="auto" w:fill="auto"/>
          </w:tcPr>
          <w:p w14:paraId="598244FD" w14:textId="77777777" w:rsidR="00BB4C6E" w:rsidRPr="00BE78B0" w:rsidRDefault="00BB4C6E" w:rsidP="00E83DE2">
            <w:pPr>
              <w:pStyle w:val="TAC"/>
            </w:pPr>
            <w:r w:rsidRPr="00BE78B0">
              <w:t>2</w:t>
            </w:r>
          </w:p>
        </w:tc>
        <w:tc>
          <w:tcPr>
            <w:tcW w:w="992" w:type="dxa"/>
          </w:tcPr>
          <w:p w14:paraId="759D87C8" w14:textId="77777777" w:rsidR="00BB4C6E" w:rsidRPr="00BE78B0" w:rsidRDefault="00BB4C6E" w:rsidP="00E83DE2">
            <w:pPr>
              <w:pStyle w:val="TAC"/>
            </w:pPr>
            <w:r w:rsidRPr="00BE78B0">
              <w:t>0.25</w:t>
            </w:r>
          </w:p>
        </w:tc>
        <w:tc>
          <w:tcPr>
            <w:tcW w:w="1969" w:type="dxa"/>
            <w:shd w:val="clear" w:color="auto" w:fill="auto"/>
          </w:tcPr>
          <w:p w14:paraId="376F0522" w14:textId="77777777" w:rsidR="00BB4C6E" w:rsidRPr="00BE78B0" w:rsidRDefault="00BB4C6E" w:rsidP="00E83DE2">
            <w:pPr>
              <w:pStyle w:val="TAC"/>
            </w:pPr>
            <w:r w:rsidRPr="00BE78B0">
              <w:t>3</w:t>
            </w:r>
          </w:p>
        </w:tc>
        <w:tc>
          <w:tcPr>
            <w:tcW w:w="1969" w:type="dxa"/>
          </w:tcPr>
          <w:p w14:paraId="3924BE65" w14:textId="77777777" w:rsidR="00BB4C6E" w:rsidRPr="00BE78B0" w:rsidRDefault="00BB4C6E" w:rsidP="00E83DE2">
            <w:pPr>
              <w:pStyle w:val="TAC"/>
            </w:pPr>
            <w:r w:rsidRPr="00BE78B0">
              <w:t>9</w:t>
            </w:r>
          </w:p>
        </w:tc>
      </w:tr>
      <w:tr w:rsidR="00BB4C6E" w:rsidRPr="00BE78B0" w:rsidDel="00FC0501" w14:paraId="4E46DE25" w14:textId="77777777" w:rsidTr="00E83DE2">
        <w:trPr>
          <w:jc w:val="center"/>
        </w:trPr>
        <w:tc>
          <w:tcPr>
            <w:tcW w:w="649" w:type="dxa"/>
            <w:shd w:val="clear" w:color="auto" w:fill="auto"/>
          </w:tcPr>
          <w:p w14:paraId="5CC18258" w14:textId="77777777" w:rsidR="00BB4C6E" w:rsidRPr="00BE78B0" w:rsidRDefault="00BB4C6E" w:rsidP="00E83DE2">
            <w:pPr>
              <w:pStyle w:val="TAC"/>
            </w:pPr>
            <w:r w:rsidRPr="00BE78B0">
              <w:t>3</w:t>
            </w:r>
          </w:p>
        </w:tc>
        <w:tc>
          <w:tcPr>
            <w:tcW w:w="992" w:type="dxa"/>
          </w:tcPr>
          <w:p w14:paraId="06B24695" w14:textId="77777777" w:rsidR="00BB4C6E" w:rsidRPr="00BE78B0" w:rsidRDefault="00BB4C6E" w:rsidP="00E83DE2">
            <w:pPr>
              <w:pStyle w:val="TAC"/>
            </w:pPr>
            <w:r w:rsidRPr="00BE78B0">
              <w:t>0.125</w:t>
            </w:r>
          </w:p>
        </w:tc>
        <w:tc>
          <w:tcPr>
            <w:tcW w:w="1969" w:type="dxa"/>
            <w:shd w:val="clear" w:color="auto" w:fill="auto"/>
          </w:tcPr>
          <w:p w14:paraId="004A8917" w14:textId="77777777" w:rsidR="00BB4C6E" w:rsidRPr="00BE78B0" w:rsidRDefault="00BB4C6E" w:rsidP="00E83DE2">
            <w:pPr>
              <w:pStyle w:val="TAC"/>
            </w:pPr>
            <w:r w:rsidRPr="00BE78B0">
              <w:t>6</w:t>
            </w:r>
          </w:p>
        </w:tc>
        <w:tc>
          <w:tcPr>
            <w:tcW w:w="1969" w:type="dxa"/>
          </w:tcPr>
          <w:p w14:paraId="4679EB5B" w14:textId="77777777" w:rsidR="00BB4C6E" w:rsidRPr="00BE78B0" w:rsidRDefault="00BB4C6E" w:rsidP="00E83DE2">
            <w:pPr>
              <w:pStyle w:val="TAC"/>
            </w:pPr>
            <w:r w:rsidRPr="00BE78B0">
              <w:t>18</w:t>
            </w:r>
          </w:p>
        </w:tc>
      </w:tr>
      <w:tr w:rsidR="00BB4C6E" w:rsidRPr="00BE78B0" w:rsidDel="00FC0501" w14:paraId="57AE082E" w14:textId="77777777" w:rsidTr="00E83DE2">
        <w:trPr>
          <w:jc w:val="center"/>
        </w:trPr>
        <w:tc>
          <w:tcPr>
            <w:tcW w:w="5579" w:type="dxa"/>
            <w:gridSpan w:val="4"/>
            <w:shd w:val="clear" w:color="auto" w:fill="auto"/>
          </w:tcPr>
          <w:p w14:paraId="0FC522BC" w14:textId="77777777" w:rsidR="00BB4C6E" w:rsidRPr="00BE78B0" w:rsidRDefault="00BB4C6E" w:rsidP="00E83DE2">
            <w:pPr>
              <w:pStyle w:val="TAN"/>
            </w:pPr>
            <w:r w:rsidRPr="00BE78B0">
              <w:t>Note 1:</w:t>
            </w:r>
            <w:r w:rsidRPr="00BE78B0">
              <w:tab/>
              <w:t>Depends on UE capability.</w:t>
            </w:r>
          </w:p>
          <w:p w14:paraId="18D2525A" w14:textId="77777777" w:rsidR="00BB4C6E" w:rsidRPr="00BE78B0" w:rsidRDefault="00BB4C6E" w:rsidP="00E83DE2">
            <w:pPr>
              <w:pStyle w:val="TAN"/>
            </w:pPr>
            <w:r w:rsidRPr="00BE78B0">
              <w:t>Note 2:</w:t>
            </w:r>
            <w:r w:rsidRPr="00BE78B0">
              <w:tab/>
              <w:t>If the BWP switch involves changing of SCS, the BWP switch delay is determined by the larger one between the SCS before BWP switch and the SCS after BWP switch.</w:t>
            </w:r>
          </w:p>
        </w:tc>
      </w:tr>
    </w:tbl>
    <w:p w14:paraId="4525C732" w14:textId="3A0B1C50" w:rsidR="003C2AFC" w:rsidRDefault="003C2AFC" w:rsidP="008A381C"/>
    <w:p w14:paraId="5749F8EF" w14:textId="78ECB955" w:rsidR="003C2AFC" w:rsidRDefault="00260F04" w:rsidP="008A381C">
      <w:pPr>
        <w:rPr>
          <w:lang w:val="en-GB"/>
        </w:rPr>
      </w:pPr>
      <w:r>
        <w:t>Hence,</w:t>
      </w:r>
      <w:r w:rsidR="003C2AFC">
        <w:t xml:space="preserve"> </w:t>
      </w:r>
      <w:r w:rsidR="003C2AFC">
        <w:rPr>
          <w:lang w:val="en-GB"/>
        </w:rPr>
        <w:t>f</w:t>
      </w:r>
      <w:r w:rsidR="003C2AFC" w:rsidRPr="003C2AFC">
        <w:rPr>
          <w:lang w:val="en-GB"/>
        </w:rPr>
        <w:t xml:space="preserve">or DCI-based BWP switch, after the UE receives BWP switching request at DL slot n on a serving cell, UE shall be able to receive PDSCH (for DL active BWP switch) or transmit PUSCH (for UL active BWP switch) on the new BWP on the serving cell on which BWP switch on the first DL or UL slot occurs right after the beginning of DL slot n+ </w:t>
      </w:r>
      <w:proofErr w:type="spellStart"/>
      <w:r w:rsidR="003C2AFC" w:rsidRPr="003C2AFC">
        <w:rPr>
          <w:lang w:val="en-GB"/>
        </w:rPr>
        <w:t>T</w:t>
      </w:r>
      <w:r w:rsidR="003C2AFC" w:rsidRPr="003C2AFC">
        <w:rPr>
          <w:vertAlign w:val="subscript"/>
          <w:lang w:val="en-GB"/>
        </w:rPr>
        <w:t>BWPswitchDelay</w:t>
      </w:r>
      <w:proofErr w:type="spellEnd"/>
      <w:r w:rsidR="003C2AFC" w:rsidRPr="003C2AFC">
        <w:rPr>
          <w:lang w:val="en-GB"/>
        </w:rPr>
        <w:t>.</w:t>
      </w:r>
    </w:p>
    <w:p w14:paraId="1964C0DB" w14:textId="77777777" w:rsidR="00CB3FD3" w:rsidRDefault="00CB3FD3" w:rsidP="008A381C">
      <w:pPr>
        <w:rPr>
          <w:lang w:val="en-GB"/>
        </w:rPr>
      </w:pPr>
      <w:r>
        <w:rPr>
          <w:lang w:val="en-GB"/>
        </w:rPr>
        <w:t>In order to analyse the estimated delay in switching the SCell between dormancy behaviour and active behaviour, we look at the current activation delays applicable for an SCell in FR1 and FR2 respectively.</w:t>
      </w:r>
    </w:p>
    <w:p w14:paraId="4D24C12F" w14:textId="16357CCA" w:rsidR="009528F5" w:rsidRDefault="009528F5" w:rsidP="008A381C">
      <w:pPr>
        <w:rPr>
          <w:lang w:val="en-GB"/>
        </w:rPr>
      </w:pPr>
      <w:r>
        <w:rPr>
          <w:lang w:val="en-GB"/>
        </w:rPr>
        <w:t xml:space="preserve">The details of the SCell activation delay components were already discussed in last meeting </w:t>
      </w:r>
      <w:r w:rsidR="00260F04">
        <w:rPr>
          <w:lang w:val="en-GB"/>
        </w:rPr>
        <w:t>[e.g. 1</w:t>
      </w:r>
      <w:r>
        <w:rPr>
          <w:lang w:val="en-GB"/>
        </w:rPr>
        <w:t>] and the basic requirements for FR1 and FR2 SCell activation delay is:</w:t>
      </w:r>
    </w:p>
    <w:p w14:paraId="7A2275F6" w14:textId="03FE32E5" w:rsidR="009528F5" w:rsidRPr="003C2AFC" w:rsidRDefault="009528F5" w:rsidP="009528F5">
      <w:pPr>
        <w:ind w:left="720"/>
      </w:pPr>
      <w:r>
        <w:rPr>
          <w:i/>
          <w:iCs/>
          <w:szCs w:val="20"/>
        </w:rPr>
        <w:t>n</w:t>
      </w:r>
      <w:r>
        <w:rPr>
          <w:szCs w:val="20"/>
        </w:rPr>
        <w:t>+ [T</w:t>
      </w:r>
      <w:r>
        <w:rPr>
          <w:sz w:val="13"/>
          <w:szCs w:val="13"/>
        </w:rPr>
        <w:t xml:space="preserve">HARQ </w:t>
      </w:r>
      <w:r>
        <w:rPr>
          <w:szCs w:val="20"/>
        </w:rPr>
        <w:t xml:space="preserve">+ </w:t>
      </w:r>
      <w:proofErr w:type="spellStart"/>
      <w:r>
        <w:rPr>
          <w:szCs w:val="20"/>
        </w:rPr>
        <w:t>T</w:t>
      </w:r>
      <w:r>
        <w:rPr>
          <w:sz w:val="13"/>
          <w:szCs w:val="13"/>
        </w:rPr>
        <w:t>activation_time</w:t>
      </w:r>
      <w:proofErr w:type="spellEnd"/>
      <w:r>
        <w:rPr>
          <w:sz w:val="13"/>
          <w:szCs w:val="13"/>
        </w:rPr>
        <w:t xml:space="preserve"> </w:t>
      </w:r>
      <w:r>
        <w:rPr>
          <w:szCs w:val="20"/>
        </w:rPr>
        <w:t xml:space="preserve">+ </w:t>
      </w:r>
      <w:proofErr w:type="spellStart"/>
      <w:r>
        <w:rPr>
          <w:szCs w:val="20"/>
        </w:rPr>
        <w:t>T</w:t>
      </w:r>
      <w:r>
        <w:rPr>
          <w:sz w:val="13"/>
          <w:szCs w:val="13"/>
        </w:rPr>
        <w:t>CSI_Reporting</w:t>
      </w:r>
      <w:proofErr w:type="spellEnd"/>
      <w:r>
        <w:rPr>
          <w:szCs w:val="20"/>
        </w:rPr>
        <w:t>]</w:t>
      </w:r>
    </w:p>
    <w:p w14:paraId="65C247ED" w14:textId="4A95C294" w:rsidR="009528F5" w:rsidRDefault="009528F5" w:rsidP="008A381C">
      <w:pPr>
        <w:rPr>
          <w:lang w:val="en-GB"/>
        </w:rPr>
      </w:pPr>
      <w:r>
        <w:rPr>
          <w:lang w:val="en-GB"/>
        </w:rPr>
        <w:t>As BWP switch is assumed performed using DCI command there is no T</w:t>
      </w:r>
      <w:r w:rsidRPr="009528F5">
        <w:rPr>
          <w:vertAlign w:val="subscript"/>
          <w:lang w:val="en-GB"/>
        </w:rPr>
        <w:t>HARQ</w:t>
      </w:r>
      <w:r>
        <w:rPr>
          <w:lang w:val="en-GB"/>
        </w:rPr>
        <w:t xml:space="preserve"> delay</w:t>
      </w:r>
      <w:r w:rsidR="00260F04">
        <w:rPr>
          <w:lang w:val="en-GB"/>
        </w:rPr>
        <w:t>.</w:t>
      </w:r>
      <w:r>
        <w:rPr>
          <w:lang w:val="en-GB"/>
        </w:rPr>
        <w:t xml:space="preserve"> </w:t>
      </w:r>
      <w:r w:rsidR="00260F04">
        <w:rPr>
          <w:lang w:val="en-GB"/>
        </w:rPr>
        <w:t xml:space="preserve">Additionally, </w:t>
      </w:r>
      <w:r>
        <w:rPr>
          <w:lang w:val="en-GB"/>
        </w:rPr>
        <w:t>in the principles of BWP switch there is no need for</w:t>
      </w:r>
      <w:r w:rsidR="00260F04">
        <w:rPr>
          <w:lang w:val="en-GB"/>
        </w:rPr>
        <w:t xml:space="preserve"> the</w:t>
      </w:r>
      <w:r>
        <w:rPr>
          <w:lang w:val="en-GB"/>
        </w:rPr>
        <w:t xml:space="preserve"> </w:t>
      </w:r>
      <w:proofErr w:type="spellStart"/>
      <w:r>
        <w:rPr>
          <w:lang w:val="en-GB"/>
        </w:rPr>
        <w:t>T</w:t>
      </w:r>
      <w:r w:rsidRPr="009528F5">
        <w:rPr>
          <w:vertAlign w:val="subscript"/>
          <w:lang w:val="en-GB"/>
        </w:rPr>
        <w:t>CSI_Reporting</w:t>
      </w:r>
      <w:proofErr w:type="spellEnd"/>
      <w:r>
        <w:rPr>
          <w:lang w:val="en-GB"/>
        </w:rPr>
        <w:t xml:space="preserve"> either. The only component left is </w:t>
      </w:r>
      <w:proofErr w:type="spellStart"/>
      <w:r>
        <w:rPr>
          <w:lang w:val="en-GB"/>
        </w:rPr>
        <w:t>T</w:t>
      </w:r>
      <w:r w:rsidRPr="009528F5">
        <w:rPr>
          <w:vertAlign w:val="subscript"/>
          <w:lang w:val="en-GB"/>
        </w:rPr>
        <w:t>activation_time</w:t>
      </w:r>
      <w:proofErr w:type="spellEnd"/>
      <w:r>
        <w:rPr>
          <w:lang w:val="en-GB"/>
        </w:rPr>
        <w:t xml:space="preserve">. </w:t>
      </w:r>
    </w:p>
    <w:p w14:paraId="4EDF940D" w14:textId="769653CC" w:rsidR="00CB3FD3" w:rsidRDefault="009C0F63" w:rsidP="00CB3FD3">
      <w:pPr>
        <w:pStyle w:val="RAN4observation0"/>
      </w:pPr>
      <w:r>
        <w:t>Using</w:t>
      </w:r>
      <w:r w:rsidR="00CB3FD3">
        <w:t xml:space="preserve"> BWP switch </w:t>
      </w:r>
      <w:r>
        <w:t xml:space="preserve">for controlling Dormancy behaviour, </w:t>
      </w:r>
      <w:r w:rsidR="00CB3FD3">
        <w:t xml:space="preserve">there is no </w:t>
      </w:r>
      <w:r>
        <w:t>HARQ feedback delay, T</w:t>
      </w:r>
      <w:r w:rsidRPr="009C0F63">
        <w:rPr>
          <w:vertAlign w:val="subscript"/>
        </w:rPr>
        <w:t>HARQ</w:t>
      </w:r>
      <w:r>
        <w:t xml:space="preserve"> = 0.</w:t>
      </w:r>
    </w:p>
    <w:p w14:paraId="40665B14" w14:textId="62EC7A40" w:rsidR="009C0F63" w:rsidRDefault="009C0F63" w:rsidP="009C0F63">
      <w:pPr>
        <w:pStyle w:val="RAN4observation0"/>
      </w:pPr>
      <w:r>
        <w:t xml:space="preserve">Using BWP switch for controlling Dormancy behaviour, there is no </w:t>
      </w:r>
      <w:proofErr w:type="spellStart"/>
      <w:r>
        <w:t>T</w:t>
      </w:r>
      <w:r w:rsidRPr="009528F5">
        <w:rPr>
          <w:vertAlign w:val="subscript"/>
        </w:rPr>
        <w:t>CSI_Reporting</w:t>
      </w:r>
      <w:proofErr w:type="spellEnd"/>
      <w:r>
        <w:t xml:space="preserve"> delay, </w:t>
      </w:r>
      <w:proofErr w:type="spellStart"/>
      <w:r>
        <w:t>T</w:t>
      </w:r>
      <w:r w:rsidRPr="009528F5">
        <w:rPr>
          <w:vertAlign w:val="subscript"/>
        </w:rPr>
        <w:t>CSI_Reporting</w:t>
      </w:r>
      <w:proofErr w:type="spellEnd"/>
      <w:r>
        <w:t xml:space="preserve"> = 0.</w:t>
      </w:r>
    </w:p>
    <w:p w14:paraId="1917AA34" w14:textId="0888D24E" w:rsidR="009C0F63" w:rsidRPr="009C0F63" w:rsidRDefault="009C0F63" w:rsidP="009C0F63">
      <w:pPr>
        <w:pStyle w:val="RAN4observation0"/>
      </w:pPr>
      <w:r>
        <w:t xml:space="preserve">Using BWP switch for controlling Dormancy behaviour, the only latency component </w:t>
      </w:r>
      <w:r w:rsidR="00260F04">
        <w:t xml:space="preserve">to consider </w:t>
      </w:r>
      <w:r>
        <w:t xml:space="preserve">is </w:t>
      </w:r>
      <w:proofErr w:type="spellStart"/>
      <w:r>
        <w:t>T</w:t>
      </w:r>
      <w:r w:rsidRPr="009528F5">
        <w:rPr>
          <w:vertAlign w:val="subscript"/>
        </w:rPr>
        <w:t>activation_time</w:t>
      </w:r>
      <w:proofErr w:type="spellEnd"/>
      <w:r>
        <w:t>.</w:t>
      </w:r>
    </w:p>
    <w:p w14:paraId="1B288123" w14:textId="7EC4B4BB" w:rsidR="00377B01" w:rsidRDefault="00377B01" w:rsidP="008A381C">
      <w:pPr>
        <w:rPr>
          <w:lang w:val="en-GB"/>
        </w:rPr>
      </w:pPr>
      <w:r>
        <w:rPr>
          <w:lang w:val="en-GB"/>
        </w:rPr>
        <w:t xml:space="preserve">Looking at </w:t>
      </w:r>
      <w:proofErr w:type="spellStart"/>
      <w:r w:rsidR="009528F5">
        <w:rPr>
          <w:lang w:val="en-GB"/>
        </w:rPr>
        <w:t>T</w:t>
      </w:r>
      <w:r w:rsidR="009528F5" w:rsidRPr="009528F5">
        <w:rPr>
          <w:vertAlign w:val="subscript"/>
          <w:lang w:val="en-GB"/>
        </w:rPr>
        <w:t>activation_time</w:t>
      </w:r>
      <w:proofErr w:type="spellEnd"/>
      <w:r w:rsidR="009528F5">
        <w:rPr>
          <w:lang w:val="en-GB"/>
        </w:rPr>
        <w:t xml:space="preserve"> for </w:t>
      </w:r>
      <w:r>
        <w:rPr>
          <w:lang w:val="en-GB"/>
        </w:rPr>
        <w:t>the current SCell activation requirements for FR1:</w:t>
      </w:r>
    </w:p>
    <w:p w14:paraId="3DB2788C" w14:textId="77777777" w:rsidR="00377B01" w:rsidRPr="00377B01" w:rsidRDefault="00377B01" w:rsidP="00377B01">
      <w:pPr>
        <w:autoSpaceDE w:val="0"/>
        <w:autoSpaceDN w:val="0"/>
        <w:adjustRightInd w:val="0"/>
        <w:spacing w:after="0" w:line="240" w:lineRule="auto"/>
        <w:ind w:left="360"/>
        <w:rPr>
          <w:rFonts w:cs="Times New Roman"/>
          <w:color w:val="000000"/>
          <w:szCs w:val="20"/>
          <w:lang w:val="en-GB"/>
        </w:rPr>
      </w:pPr>
      <w:r w:rsidRPr="00377B01">
        <w:rPr>
          <w:rFonts w:cs="Times New Roman"/>
          <w:color w:val="000000"/>
          <w:szCs w:val="20"/>
          <w:lang w:val="en-GB"/>
        </w:rPr>
        <w:t xml:space="preserve">If the SCell is known and belongs to FR1, </w:t>
      </w:r>
      <w:proofErr w:type="spellStart"/>
      <w:r w:rsidRPr="00377B01">
        <w:rPr>
          <w:rFonts w:cs="Times New Roman"/>
          <w:color w:val="000000"/>
          <w:szCs w:val="20"/>
          <w:lang w:val="en-GB"/>
        </w:rPr>
        <w:t>T</w:t>
      </w:r>
      <w:r w:rsidRPr="00377B01">
        <w:rPr>
          <w:rFonts w:cs="Times New Roman"/>
          <w:color w:val="000000"/>
          <w:sz w:val="13"/>
          <w:szCs w:val="13"/>
          <w:lang w:val="en-GB"/>
        </w:rPr>
        <w:t>activation_time</w:t>
      </w:r>
      <w:proofErr w:type="spellEnd"/>
      <w:r w:rsidRPr="00377B01">
        <w:rPr>
          <w:rFonts w:cs="Times New Roman"/>
          <w:color w:val="000000"/>
          <w:sz w:val="13"/>
          <w:szCs w:val="13"/>
          <w:lang w:val="en-GB"/>
        </w:rPr>
        <w:t xml:space="preserve"> </w:t>
      </w:r>
      <w:r w:rsidRPr="00377B01">
        <w:rPr>
          <w:rFonts w:cs="Times New Roman"/>
          <w:color w:val="000000"/>
          <w:szCs w:val="20"/>
          <w:lang w:val="en-GB"/>
        </w:rPr>
        <w:t xml:space="preserve">is: </w:t>
      </w:r>
    </w:p>
    <w:p w14:paraId="4D7B8333" w14:textId="41F18ADF" w:rsidR="00377B01" w:rsidRPr="00377B01" w:rsidRDefault="00377B01" w:rsidP="00377B01">
      <w:pPr>
        <w:pStyle w:val="ListParagraph"/>
        <w:numPr>
          <w:ilvl w:val="0"/>
          <w:numId w:val="22"/>
        </w:numPr>
        <w:ind w:left="1080"/>
        <w:rPr>
          <w:lang w:val="en-GB"/>
        </w:rPr>
      </w:pPr>
      <w:r w:rsidRPr="00377B01">
        <w:rPr>
          <w:rFonts w:cs="Times New Roman"/>
          <w:color w:val="000000"/>
          <w:szCs w:val="20"/>
          <w:lang w:val="en-GB"/>
        </w:rPr>
        <w:t>[</w:t>
      </w:r>
      <w:proofErr w:type="spellStart"/>
      <w:r w:rsidRPr="00377B01">
        <w:rPr>
          <w:rFonts w:cs="Times New Roman"/>
          <w:color w:val="000000"/>
          <w:szCs w:val="20"/>
          <w:lang w:val="en-GB"/>
        </w:rPr>
        <w:t>T</w:t>
      </w:r>
      <w:r w:rsidRPr="00377B01">
        <w:rPr>
          <w:rFonts w:cs="Times New Roman"/>
          <w:color w:val="000000"/>
          <w:sz w:val="13"/>
          <w:szCs w:val="13"/>
          <w:lang w:val="en-GB"/>
        </w:rPr>
        <w:t>SMTC_SCell</w:t>
      </w:r>
      <w:proofErr w:type="spellEnd"/>
      <w:r w:rsidRPr="00377B01">
        <w:rPr>
          <w:rFonts w:cs="Times New Roman"/>
          <w:color w:val="000000"/>
          <w:sz w:val="13"/>
          <w:szCs w:val="13"/>
          <w:lang w:val="en-GB"/>
        </w:rPr>
        <w:t xml:space="preserve"> </w:t>
      </w:r>
      <w:r w:rsidRPr="00377B01">
        <w:rPr>
          <w:rFonts w:cs="Times New Roman"/>
          <w:color w:val="000000"/>
          <w:szCs w:val="20"/>
          <w:lang w:val="en-GB"/>
        </w:rPr>
        <w:t>+ 5ms], if the SCell measurement cycle is equal to or smaller than [160ms].</w:t>
      </w:r>
    </w:p>
    <w:p w14:paraId="21095615" w14:textId="752A0BEF" w:rsidR="00377B01" w:rsidRDefault="00377B01" w:rsidP="008A381C">
      <w:pPr>
        <w:rPr>
          <w:lang w:val="en-GB"/>
        </w:rPr>
      </w:pPr>
      <w:r>
        <w:rPr>
          <w:lang w:val="en-GB"/>
        </w:rPr>
        <w:t xml:space="preserve">Assuming the cell operating in dormancy, the UE will have good time </w:t>
      </w:r>
      <w:r w:rsidR="00260F04">
        <w:rPr>
          <w:lang w:val="en-GB"/>
        </w:rPr>
        <w:t xml:space="preserve">and frequency </w:t>
      </w:r>
      <w:r>
        <w:rPr>
          <w:lang w:val="en-GB"/>
        </w:rPr>
        <w:t xml:space="preserve">tracking on the cell </w:t>
      </w:r>
      <w:r w:rsidR="009528F5">
        <w:rPr>
          <w:lang w:val="en-GB"/>
        </w:rPr>
        <w:t>a</w:t>
      </w:r>
      <w:r>
        <w:rPr>
          <w:lang w:val="en-GB"/>
        </w:rPr>
        <w:t xml:space="preserve">nd there </w:t>
      </w:r>
      <w:r w:rsidR="009528F5">
        <w:rPr>
          <w:lang w:val="en-GB"/>
        </w:rPr>
        <w:t>w</w:t>
      </w:r>
      <w:r>
        <w:rPr>
          <w:lang w:val="en-GB"/>
        </w:rPr>
        <w:t xml:space="preserve">ould be no need to receive an SSB for </w:t>
      </w:r>
      <w:r w:rsidR="009528F5">
        <w:rPr>
          <w:lang w:val="en-GB"/>
        </w:rPr>
        <w:t>this</w:t>
      </w:r>
      <w:r>
        <w:rPr>
          <w:lang w:val="en-GB"/>
        </w:rPr>
        <w:t xml:space="preserve"> purpose.</w:t>
      </w:r>
      <w:r w:rsidR="00CB3FD3">
        <w:rPr>
          <w:lang w:val="en-GB"/>
        </w:rPr>
        <w:t xml:space="preserve"> Additionally, this also means that the 5ms additional time is not needed. I.e. for FR1</w:t>
      </w:r>
      <w:r w:rsidR="008C556E">
        <w:rPr>
          <w:lang w:val="en-GB"/>
        </w:rPr>
        <w:t>,</w:t>
      </w:r>
      <w:r w:rsidR="00CB3FD3">
        <w:rPr>
          <w:lang w:val="en-GB"/>
        </w:rPr>
        <w:t xml:space="preserve"> the switch time between acting in dormancy or active would </w:t>
      </w:r>
      <w:r w:rsidR="008C556E">
        <w:rPr>
          <w:lang w:val="en-GB"/>
        </w:rPr>
        <w:t xml:space="preserve">originate from </w:t>
      </w:r>
      <w:r w:rsidR="00CB3FD3">
        <w:rPr>
          <w:lang w:val="en-GB"/>
        </w:rPr>
        <w:t xml:space="preserve">starting to receive </w:t>
      </w:r>
      <w:r w:rsidR="008C556E">
        <w:rPr>
          <w:lang w:val="en-GB"/>
        </w:rPr>
        <w:t xml:space="preserve">the </w:t>
      </w:r>
      <w:r w:rsidR="00CB3FD3">
        <w:rPr>
          <w:lang w:val="en-GB"/>
        </w:rPr>
        <w:t>PDCCH</w:t>
      </w:r>
      <w:r w:rsidR="008C556E">
        <w:rPr>
          <w:lang w:val="en-GB"/>
        </w:rPr>
        <w:t>,</w:t>
      </w:r>
      <w:r w:rsidR="00CB3FD3">
        <w:rPr>
          <w:lang w:val="en-GB"/>
        </w:rPr>
        <w:t xml:space="preserve"> which at most would impact the current slot</w:t>
      </w:r>
      <w:r w:rsidR="00260F04">
        <w:rPr>
          <w:lang w:val="en-GB"/>
        </w:rPr>
        <w:t xml:space="preserve"> where the BWP DCI command is received</w:t>
      </w:r>
      <w:r w:rsidR="00CB3FD3">
        <w:rPr>
          <w:lang w:val="en-GB"/>
        </w:rPr>
        <w:t>.</w:t>
      </w:r>
    </w:p>
    <w:p w14:paraId="26589B7D" w14:textId="21B8E893" w:rsidR="00CB3FD3" w:rsidRDefault="00CB3FD3" w:rsidP="00CB3FD3">
      <w:pPr>
        <w:pStyle w:val="RAN4observation0"/>
      </w:pPr>
      <w:r>
        <w:t>For FR1, the switch time between acting in dormancy or active at most impact the current slot.</w:t>
      </w:r>
    </w:p>
    <w:p w14:paraId="5C59A358" w14:textId="6BA33382" w:rsidR="009528F5" w:rsidRDefault="009528F5" w:rsidP="008A381C">
      <w:pPr>
        <w:rPr>
          <w:lang w:val="en-GB"/>
        </w:rPr>
      </w:pPr>
      <w:r>
        <w:rPr>
          <w:lang w:val="en-GB"/>
        </w:rPr>
        <w:t xml:space="preserve">For FR2 the </w:t>
      </w:r>
      <w:proofErr w:type="spellStart"/>
      <w:r w:rsidR="00E536A6">
        <w:rPr>
          <w:lang w:val="en-GB"/>
        </w:rPr>
        <w:t>T</w:t>
      </w:r>
      <w:r w:rsidR="00E536A6" w:rsidRPr="009528F5">
        <w:rPr>
          <w:vertAlign w:val="subscript"/>
          <w:lang w:val="en-GB"/>
        </w:rPr>
        <w:t>activation_time</w:t>
      </w:r>
      <w:proofErr w:type="spellEnd"/>
      <w:r w:rsidR="00E536A6">
        <w:rPr>
          <w:lang w:val="en-GB"/>
        </w:rPr>
        <w:t xml:space="preserve"> for the SCell activation requirements </w:t>
      </w:r>
      <w:r w:rsidR="00BB4C6E">
        <w:rPr>
          <w:lang w:val="en-GB"/>
        </w:rPr>
        <w:t xml:space="preserve">depends on whether there is already an active cell in the band where the SCell is being activated or not. However, </w:t>
      </w:r>
      <w:proofErr w:type="gramStart"/>
      <w:r w:rsidR="00BB4C6E">
        <w:rPr>
          <w:lang w:val="en-GB"/>
        </w:rPr>
        <w:t>assuming that</w:t>
      </w:r>
      <w:proofErr w:type="gramEnd"/>
      <w:r w:rsidR="00BB4C6E">
        <w:rPr>
          <w:lang w:val="en-GB"/>
        </w:rPr>
        <w:t xml:space="preserve"> the </w:t>
      </w:r>
      <w:r w:rsidR="008C556E">
        <w:rPr>
          <w:lang w:val="en-GB"/>
        </w:rPr>
        <w:t>SC</w:t>
      </w:r>
      <w:r w:rsidR="00BB4C6E">
        <w:rPr>
          <w:lang w:val="en-GB"/>
        </w:rPr>
        <w:t xml:space="preserve">ell with dormancy behaviour is required to perform measurements for beam management etc. the </w:t>
      </w:r>
      <w:proofErr w:type="spellStart"/>
      <w:r w:rsidR="008C556E">
        <w:rPr>
          <w:lang w:val="en-GB"/>
        </w:rPr>
        <w:t>T</w:t>
      </w:r>
      <w:r w:rsidR="008C556E" w:rsidRPr="009528F5">
        <w:rPr>
          <w:vertAlign w:val="subscript"/>
          <w:lang w:val="en-GB"/>
        </w:rPr>
        <w:t>activation_time</w:t>
      </w:r>
      <w:proofErr w:type="spellEnd"/>
      <w:r w:rsidR="008C556E">
        <w:rPr>
          <w:lang w:val="en-GB"/>
        </w:rPr>
        <w:t xml:space="preserve"> </w:t>
      </w:r>
      <w:r w:rsidR="00BB4C6E">
        <w:rPr>
          <w:lang w:val="en-GB"/>
        </w:rPr>
        <w:t>for when there is an active cell in the band can be used</w:t>
      </w:r>
      <w:r w:rsidR="00E536A6">
        <w:rPr>
          <w:lang w:val="en-GB"/>
        </w:rPr>
        <w:t>:</w:t>
      </w:r>
    </w:p>
    <w:p w14:paraId="7A8F576A" w14:textId="681989B2" w:rsidR="00BB4C6E" w:rsidRDefault="00BB4C6E" w:rsidP="00BB4C6E">
      <w:pPr>
        <w:ind w:left="720"/>
        <w:rPr>
          <w:lang w:val="en-GB"/>
        </w:rPr>
      </w:pPr>
      <w:r>
        <w:rPr>
          <w:szCs w:val="20"/>
        </w:rPr>
        <w:t xml:space="preserve">If the SCell being activated belongs to FR2 and there is at least one active serving cell on that FR2 band, if the UE is not provided with any SMTC for the target SCell, </w:t>
      </w:r>
      <w:proofErr w:type="spellStart"/>
      <w:r>
        <w:rPr>
          <w:szCs w:val="20"/>
        </w:rPr>
        <w:t>T</w:t>
      </w:r>
      <w:r>
        <w:rPr>
          <w:sz w:val="13"/>
          <w:szCs w:val="13"/>
        </w:rPr>
        <w:t>activation_time</w:t>
      </w:r>
      <w:proofErr w:type="spellEnd"/>
      <w:r>
        <w:rPr>
          <w:sz w:val="13"/>
          <w:szCs w:val="13"/>
        </w:rPr>
        <w:t xml:space="preserve"> </w:t>
      </w:r>
      <w:r>
        <w:rPr>
          <w:szCs w:val="20"/>
        </w:rPr>
        <w:t xml:space="preserve">is 3 </w:t>
      </w:r>
      <w:proofErr w:type="spellStart"/>
      <w:r>
        <w:rPr>
          <w:szCs w:val="20"/>
        </w:rPr>
        <w:t>ms</w:t>
      </w:r>
      <w:proofErr w:type="spellEnd"/>
    </w:p>
    <w:p w14:paraId="4DF3AE75" w14:textId="3B964128" w:rsidR="00E536A6" w:rsidRDefault="00CB3FD3" w:rsidP="008A381C">
      <w:pPr>
        <w:rPr>
          <w:lang w:val="en-GB"/>
        </w:rPr>
      </w:pPr>
      <w:r>
        <w:rPr>
          <w:lang w:val="en-GB"/>
        </w:rPr>
        <w:t>For FR2 the switch time between acting in dormancy or active would from starting to receive PDCCH would at most be 3ms.</w:t>
      </w:r>
    </w:p>
    <w:p w14:paraId="0E4E736D" w14:textId="152AD8C2" w:rsidR="00CB3FD3" w:rsidRDefault="00CB3FD3" w:rsidP="00CB3FD3">
      <w:pPr>
        <w:pStyle w:val="RAN4observation0"/>
      </w:pPr>
      <w:r>
        <w:t>For FR2 the switch time between acting in dormancy or active would at most be 3ms.</w:t>
      </w:r>
    </w:p>
    <w:p w14:paraId="614D47FE" w14:textId="7D151379" w:rsidR="009528F5" w:rsidRDefault="009528F5" w:rsidP="008A381C">
      <w:pPr>
        <w:rPr>
          <w:lang w:val="en-GB"/>
        </w:rPr>
      </w:pPr>
      <w:r>
        <w:rPr>
          <w:lang w:val="en-GB"/>
        </w:rPr>
        <w:t>We note that a</w:t>
      </w:r>
      <w:r w:rsidR="008C556E">
        <w:rPr>
          <w:lang w:val="en-GB"/>
        </w:rPr>
        <w:t>n</w:t>
      </w:r>
      <w:r>
        <w:rPr>
          <w:lang w:val="en-GB"/>
        </w:rPr>
        <w:t xml:space="preserve"> </w:t>
      </w:r>
      <w:r w:rsidR="008C556E">
        <w:rPr>
          <w:lang w:val="en-GB"/>
        </w:rPr>
        <w:t>SC</w:t>
      </w:r>
      <w:r>
        <w:rPr>
          <w:lang w:val="en-GB"/>
        </w:rPr>
        <w:t>ell applying dormancy behaviour will always fulfil the known SCell conditions</w:t>
      </w:r>
      <w:r w:rsidR="008C556E">
        <w:rPr>
          <w:lang w:val="en-GB"/>
        </w:rPr>
        <w:t>,</w:t>
      </w:r>
      <w:r>
        <w:rPr>
          <w:lang w:val="en-GB"/>
        </w:rPr>
        <w:t xml:space="preserve"> assuming LTE </w:t>
      </w:r>
      <w:proofErr w:type="spellStart"/>
      <w:r>
        <w:rPr>
          <w:lang w:val="en-GB"/>
        </w:rPr>
        <w:t>euCA</w:t>
      </w:r>
      <w:proofErr w:type="spellEnd"/>
      <w:r>
        <w:rPr>
          <w:lang w:val="en-GB"/>
        </w:rPr>
        <w:t xml:space="preserve"> conditions are used as baseline in NR</w:t>
      </w:r>
      <w:r w:rsidR="008C556E">
        <w:rPr>
          <w:lang w:val="en-GB"/>
        </w:rPr>
        <w:t>. An LTE SCell in Dormant state is considered known if:</w:t>
      </w:r>
    </w:p>
    <w:p w14:paraId="2F86B48F" w14:textId="77777777" w:rsidR="00E536A6" w:rsidRPr="00E536A6" w:rsidRDefault="00E536A6" w:rsidP="00E536A6">
      <w:pPr>
        <w:autoSpaceDE w:val="0"/>
        <w:autoSpaceDN w:val="0"/>
        <w:adjustRightInd w:val="0"/>
        <w:spacing w:after="0" w:line="240" w:lineRule="auto"/>
        <w:ind w:left="720"/>
        <w:rPr>
          <w:rFonts w:cs="Times New Roman"/>
          <w:color w:val="000000"/>
          <w:szCs w:val="20"/>
          <w:lang w:val="en-GB"/>
        </w:rPr>
      </w:pPr>
      <w:r w:rsidRPr="00E536A6">
        <w:rPr>
          <w:rFonts w:cs="Times New Roman"/>
          <w:color w:val="000000"/>
          <w:szCs w:val="20"/>
          <w:lang w:val="en-GB"/>
        </w:rPr>
        <w:lastRenderedPageBreak/>
        <w:t xml:space="preserve">UE has been periodically sending a valid CQI report for the dormant SCell being activated before the reception of the SCell activation command: </w:t>
      </w:r>
    </w:p>
    <w:p w14:paraId="5DC99F46" w14:textId="77777777" w:rsidR="00E536A6" w:rsidRPr="00E536A6" w:rsidRDefault="00E536A6" w:rsidP="00E536A6">
      <w:pPr>
        <w:autoSpaceDE w:val="0"/>
        <w:autoSpaceDN w:val="0"/>
        <w:adjustRightInd w:val="0"/>
        <w:spacing w:after="0" w:line="240" w:lineRule="auto"/>
        <w:ind w:left="1440"/>
        <w:rPr>
          <w:rFonts w:cs="Times New Roman"/>
          <w:color w:val="000000"/>
          <w:szCs w:val="20"/>
          <w:lang w:val="en-GB"/>
        </w:rPr>
      </w:pPr>
      <w:r w:rsidRPr="00E536A6">
        <w:rPr>
          <w:rFonts w:cs="Times New Roman"/>
          <w:color w:val="000000"/>
          <w:szCs w:val="20"/>
          <w:lang w:val="en-GB"/>
        </w:rPr>
        <w:t xml:space="preserve">- the SCell being activated remains detectable according to the cell identification conditions specified in section 8.3.3.2, </w:t>
      </w:r>
    </w:p>
    <w:p w14:paraId="1AF02BA8" w14:textId="77777777" w:rsidR="00E536A6" w:rsidRPr="00E536A6" w:rsidRDefault="00E536A6" w:rsidP="00E536A6">
      <w:pPr>
        <w:autoSpaceDE w:val="0"/>
        <w:autoSpaceDN w:val="0"/>
        <w:adjustRightInd w:val="0"/>
        <w:spacing w:after="0" w:line="240" w:lineRule="auto"/>
        <w:ind w:left="1440"/>
        <w:rPr>
          <w:rFonts w:cs="Times New Roman"/>
          <w:color w:val="000000"/>
          <w:szCs w:val="20"/>
          <w:lang w:val="en-GB"/>
        </w:rPr>
      </w:pPr>
      <w:r w:rsidRPr="00E536A6">
        <w:rPr>
          <w:rFonts w:cs="Times New Roman"/>
          <w:color w:val="000000"/>
          <w:szCs w:val="20"/>
          <w:lang w:val="en-GB"/>
        </w:rPr>
        <w:t xml:space="preserve">- MBSFN subframes are not configured in the PCell </w:t>
      </w:r>
    </w:p>
    <w:p w14:paraId="64A3D7CB" w14:textId="0AC77CBD" w:rsidR="009528F5" w:rsidRDefault="00E536A6" w:rsidP="00E536A6">
      <w:pPr>
        <w:ind w:left="1440"/>
        <w:rPr>
          <w:lang w:val="en-GB"/>
        </w:rPr>
      </w:pPr>
      <w:r w:rsidRPr="00E536A6">
        <w:rPr>
          <w:rFonts w:cs="Times New Roman"/>
          <w:color w:val="000000"/>
          <w:szCs w:val="20"/>
          <w:lang w:val="en-GB"/>
        </w:rPr>
        <w:t>- SCell being activated also remains detectable during the SCell activation delay according to the cell identification conditions specified in section 8.3.3.2</w:t>
      </w:r>
    </w:p>
    <w:p w14:paraId="0A075C58" w14:textId="72976FF5" w:rsidR="003C2AFC" w:rsidRDefault="003C2AFC" w:rsidP="008A381C">
      <w:pPr>
        <w:rPr>
          <w:lang w:val="en-GB"/>
        </w:rPr>
      </w:pPr>
      <w:proofErr w:type="gramStart"/>
      <w:r>
        <w:rPr>
          <w:lang w:val="en-GB"/>
        </w:rPr>
        <w:t>Assuming that</w:t>
      </w:r>
      <w:proofErr w:type="gramEnd"/>
      <w:r>
        <w:rPr>
          <w:lang w:val="en-GB"/>
        </w:rPr>
        <w:t xml:space="preserve"> the RF chain used for the cell applying dormancy is not turned off</w:t>
      </w:r>
      <w:r w:rsidR="008C556E">
        <w:rPr>
          <w:lang w:val="en-GB"/>
        </w:rPr>
        <w:t xml:space="preserve"> when receiving the</w:t>
      </w:r>
      <w:r w:rsidR="00260F04">
        <w:rPr>
          <w:lang w:val="en-GB"/>
        </w:rPr>
        <w:t xml:space="preserve"> BWP</w:t>
      </w:r>
      <w:r w:rsidR="008C556E">
        <w:rPr>
          <w:lang w:val="en-GB"/>
        </w:rPr>
        <w:t xml:space="preserve"> switch command</w:t>
      </w:r>
      <w:r>
        <w:rPr>
          <w:lang w:val="en-GB"/>
        </w:rPr>
        <w:t xml:space="preserve">, </w:t>
      </w:r>
      <w:r w:rsidR="00260F04">
        <w:rPr>
          <w:lang w:val="en-GB"/>
        </w:rPr>
        <w:t xml:space="preserve">using </w:t>
      </w:r>
      <w:r>
        <w:rPr>
          <w:lang w:val="en-GB"/>
        </w:rPr>
        <w:t xml:space="preserve">the </w:t>
      </w:r>
      <w:r w:rsidR="00260F04">
        <w:rPr>
          <w:lang w:val="en-GB"/>
        </w:rPr>
        <w:t xml:space="preserve">BWP </w:t>
      </w:r>
      <w:r>
        <w:rPr>
          <w:lang w:val="en-GB"/>
        </w:rPr>
        <w:t>switching delay requirements applicable for BWP switching</w:t>
      </w:r>
      <w:r w:rsidR="008C556E">
        <w:rPr>
          <w:lang w:val="en-GB"/>
        </w:rPr>
        <w:t>,</w:t>
      </w:r>
      <w:r>
        <w:rPr>
          <w:lang w:val="en-GB"/>
        </w:rPr>
        <w:t xml:space="preserve"> should be feasible and adequate also for </w:t>
      </w:r>
      <w:r w:rsidR="008C556E">
        <w:rPr>
          <w:lang w:val="en-GB"/>
        </w:rPr>
        <w:t>switching delay</w:t>
      </w:r>
      <w:r>
        <w:rPr>
          <w:lang w:val="en-GB"/>
        </w:rPr>
        <w:t xml:space="preserve"> between dormancy and active behaviour.</w:t>
      </w:r>
    </w:p>
    <w:p w14:paraId="5297396A" w14:textId="7948B395" w:rsidR="003C2AFC" w:rsidRDefault="003C2AFC" w:rsidP="008A381C">
      <w:pPr>
        <w:rPr>
          <w:lang w:val="en-GB"/>
        </w:rPr>
      </w:pPr>
      <w:r>
        <w:rPr>
          <w:lang w:val="en-GB"/>
        </w:rPr>
        <w:t>If, however, the RF chain is not active when the UE receives the command that a cell applying dormancy shall change to active behaviour, an additional RF</w:t>
      </w:r>
      <w:r w:rsidR="009755F0">
        <w:rPr>
          <w:lang w:val="en-GB"/>
        </w:rPr>
        <w:t xml:space="preserve"> delay may be necessary</w:t>
      </w:r>
      <w:r w:rsidR="009755F0" w:rsidRPr="00260F04">
        <w:rPr>
          <w:lang w:val="en-GB"/>
        </w:rPr>
        <w:t xml:space="preserve">. Such delay </w:t>
      </w:r>
      <w:r w:rsidR="008C556E" w:rsidRPr="00260F04">
        <w:rPr>
          <w:lang w:val="en-GB"/>
        </w:rPr>
        <w:t xml:space="preserve">should be very </w:t>
      </w:r>
      <w:r w:rsidR="00260F04" w:rsidRPr="00260F04">
        <w:rPr>
          <w:lang w:val="en-GB"/>
        </w:rPr>
        <w:t>small,</w:t>
      </w:r>
      <w:r w:rsidR="008C556E" w:rsidRPr="00260F04">
        <w:rPr>
          <w:lang w:val="en-GB"/>
        </w:rPr>
        <w:t xml:space="preserve"> and we estimate that such delay can be covered by the switching delay.</w:t>
      </w:r>
    </w:p>
    <w:p w14:paraId="6229BBC3" w14:textId="0CB87AFC" w:rsidR="002C2D19" w:rsidRDefault="002C2D19" w:rsidP="003B659E">
      <w:pPr>
        <w:ind w:right="-22"/>
        <w:rPr>
          <w:rFonts w:cs="Times New Roman"/>
        </w:rPr>
      </w:pPr>
    </w:p>
    <w:p w14:paraId="1C52C5A7" w14:textId="77EF3E7D" w:rsidR="004764E5" w:rsidRDefault="004960CE" w:rsidP="004764E5">
      <w:pPr>
        <w:pStyle w:val="RAN4H2"/>
      </w:pPr>
      <w:r>
        <w:t>LS Reply</w:t>
      </w:r>
    </w:p>
    <w:p w14:paraId="0A7D8734" w14:textId="69E6DAAF" w:rsidR="004764E5" w:rsidRDefault="004960CE" w:rsidP="003B659E">
      <w:pPr>
        <w:ind w:right="-22"/>
        <w:rPr>
          <w:rFonts w:cs="Times New Roman"/>
        </w:rPr>
      </w:pPr>
      <w:r>
        <w:rPr>
          <w:rFonts w:cs="Times New Roman"/>
        </w:rPr>
        <w:t>Based on the analyze we propose following</w:t>
      </w:r>
      <w:r w:rsidR="00260F04">
        <w:rPr>
          <w:rFonts w:cs="Times New Roman"/>
        </w:rPr>
        <w:t xml:space="preserve"> indicate in the LS to RAN1 that</w:t>
      </w:r>
      <w:r>
        <w:rPr>
          <w:rFonts w:cs="Times New Roman"/>
        </w:rPr>
        <w:t>:</w:t>
      </w:r>
    </w:p>
    <w:p w14:paraId="691C2C46" w14:textId="6F41AB41" w:rsidR="004960CE" w:rsidRDefault="004960CE" w:rsidP="004960CE">
      <w:pPr>
        <w:pStyle w:val="RAN4proposal"/>
      </w:pPr>
      <w:r>
        <w:t>The existing BWP switch delay requirements are adequate as switching delays between dormancy and non-dormancy behavior.</w:t>
      </w:r>
    </w:p>
    <w:p w14:paraId="4553C79C" w14:textId="052A383F" w:rsidR="004960CE" w:rsidRDefault="004960CE" w:rsidP="004960CE">
      <w:pPr>
        <w:pStyle w:val="RAN4proposal"/>
      </w:pPr>
      <w:r>
        <w:t xml:space="preserve">If needed, RAN4 </w:t>
      </w:r>
      <w:r w:rsidR="00724BE7">
        <w:t>w</w:t>
      </w:r>
      <w:r>
        <w:t xml:space="preserve">ould </w:t>
      </w:r>
      <w:r w:rsidR="00724BE7">
        <w:t xml:space="preserve">need to </w:t>
      </w:r>
      <w:r>
        <w:t xml:space="preserve">define </w:t>
      </w:r>
      <w:r w:rsidR="00724BE7">
        <w:t>explicit</w:t>
      </w:r>
      <w:r>
        <w:t xml:space="preserve"> requirements for switching delays between dormancy and non-dormancy behavior.</w:t>
      </w:r>
    </w:p>
    <w:p w14:paraId="66B3BD19" w14:textId="0D067A5F" w:rsidR="004960CE" w:rsidRPr="004960CE" w:rsidRDefault="004960CE" w:rsidP="004960CE">
      <w:r>
        <w:t>Based on these proposals we have provided a draft reply LS in [</w:t>
      </w:r>
      <w:r w:rsidR="00724BE7">
        <w:t>2</w:t>
      </w:r>
      <w:r>
        <w:t>]</w:t>
      </w:r>
      <w:r w:rsidR="00642AA2">
        <w:t>.</w:t>
      </w:r>
    </w:p>
    <w:p w14:paraId="3A3E8805" w14:textId="77777777" w:rsidR="004960CE" w:rsidRDefault="004960CE" w:rsidP="003B659E">
      <w:pPr>
        <w:ind w:right="-22"/>
        <w:rPr>
          <w:rFonts w:cs="Times New Roman"/>
        </w:rPr>
      </w:pPr>
    </w:p>
    <w:p w14:paraId="761516E1" w14:textId="1CB6024F" w:rsidR="00CD7492" w:rsidRPr="00642AA2" w:rsidRDefault="00CD7492" w:rsidP="00A37002">
      <w:pPr>
        <w:pStyle w:val="RAN4H1"/>
      </w:pPr>
      <w:r w:rsidRPr="00642AA2">
        <w:t>Conclusion</w:t>
      </w:r>
    </w:p>
    <w:p w14:paraId="0D8353EA" w14:textId="2D9F03E3" w:rsidR="00642AA2" w:rsidRDefault="00642AA2" w:rsidP="00642AA2">
      <w:pPr>
        <w:rPr>
          <w:rFonts w:eastAsia="Calibri" w:cs="Times New Roman"/>
          <w:szCs w:val="20"/>
          <w:lang w:val="en-GB"/>
        </w:rPr>
      </w:pPr>
      <w:bookmarkStart w:id="3" w:name="_GoBack"/>
      <w:bookmarkEnd w:id="3"/>
      <w:r>
        <w:rPr>
          <w:rFonts w:eastAsia="Calibri" w:cs="Times New Roman"/>
          <w:szCs w:val="20"/>
          <w:lang w:val="en-GB"/>
        </w:rPr>
        <w:t xml:space="preserve">RAN1 sent </w:t>
      </w:r>
      <w:proofErr w:type="gramStart"/>
      <w:r>
        <w:rPr>
          <w:rFonts w:eastAsia="Calibri" w:cs="Times New Roman"/>
          <w:szCs w:val="20"/>
          <w:lang w:val="en-GB"/>
        </w:rPr>
        <w:t>an</w:t>
      </w:r>
      <w:proofErr w:type="gramEnd"/>
      <w:r>
        <w:rPr>
          <w:rFonts w:eastAsia="Calibri" w:cs="Times New Roman"/>
          <w:szCs w:val="20"/>
          <w:lang w:val="en-GB"/>
        </w:rPr>
        <w:t xml:space="preserve"> LS to RAN4 and RAN2 asking RAN4 further questions related to fast SCell activation. In this paper we discuss</w:t>
      </w:r>
      <w:r>
        <w:rPr>
          <w:rFonts w:eastAsia="Calibri" w:cs="Times New Roman"/>
          <w:szCs w:val="20"/>
          <w:lang w:val="en-GB"/>
        </w:rPr>
        <w:t>ed</w:t>
      </w:r>
      <w:r>
        <w:rPr>
          <w:rFonts w:eastAsia="Calibri" w:cs="Times New Roman"/>
          <w:szCs w:val="20"/>
          <w:lang w:val="en-GB"/>
        </w:rPr>
        <w:t xml:space="preserve"> the RAN4 related reply concerning the question to RAN4</w:t>
      </w:r>
      <w:r>
        <w:rPr>
          <w:rFonts w:eastAsia="Calibri" w:cs="Times New Roman"/>
          <w:szCs w:val="20"/>
          <w:lang w:val="en-GB"/>
        </w:rPr>
        <w:t>. We propose to base the reply on following proposals:</w:t>
      </w:r>
    </w:p>
    <w:p w14:paraId="5B1EC485" w14:textId="77777777" w:rsidR="00642AA2" w:rsidRPr="00642AA2" w:rsidRDefault="00642AA2" w:rsidP="00642AA2">
      <w:pPr>
        <w:pStyle w:val="RAN4proposal"/>
        <w:numPr>
          <w:ilvl w:val="0"/>
          <w:numId w:val="24"/>
        </w:numPr>
        <w:rPr>
          <w:lang w:val="en-GB"/>
        </w:rPr>
      </w:pPr>
      <w:r w:rsidRPr="00642AA2">
        <w:rPr>
          <w:lang w:val="en-GB"/>
        </w:rPr>
        <w:t>Indicate to RAN1 that from RAN4 point using the BWP framework for controlling dormancy behaviour is feasible.</w:t>
      </w:r>
    </w:p>
    <w:p w14:paraId="405BA039" w14:textId="77777777" w:rsidR="00642AA2" w:rsidRDefault="00642AA2" w:rsidP="00642AA2">
      <w:pPr>
        <w:pStyle w:val="RAN4proposal"/>
        <w:numPr>
          <w:ilvl w:val="0"/>
          <w:numId w:val="24"/>
        </w:numPr>
      </w:pPr>
      <w:r>
        <w:t>The existing BWP switch delay requirements are adequate as switching delays between dormancy and non-dormancy behavior.</w:t>
      </w:r>
    </w:p>
    <w:p w14:paraId="161E7351" w14:textId="77777777" w:rsidR="00642AA2" w:rsidRDefault="00642AA2" w:rsidP="00642AA2">
      <w:pPr>
        <w:pStyle w:val="RAN4proposal"/>
        <w:numPr>
          <w:ilvl w:val="0"/>
          <w:numId w:val="24"/>
        </w:numPr>
      </w:pPr>
      <w:r>
        <w:t>If needed, RAN4 would need to define explicit requirements for switching delays between dormancy and non-dormancy behavior.</w:t>
      </w:r>
    </w:p>
    <w:p w14:paraId="1EA43D68" w14:textId="4C9136AC" w:rsidR="00642AA2" w:rsidRDefault="00642AA2" w:rsidP="00642AA2">
      <w:r>
        <w:t>Based on these proposals we have provided a draft reply LS in [2]</w:t>
      </w:r>
      <w:r>
        <w:t>.</w:t>
      </w:r>
    </w:p>
    <w:p w14:paraId="79EB4C1B" w14:textId="77777777" w:rsidR="00642AA2" w:rsidRPr="00642AA2" w:rsidRDefault="00642AA2" w:rsidP="00642AA2">
      <w:pPr>
        <w:rPr>
          <w:highlight w:val="yellow"/>
        </w:rPr>
      </w:pPr>
    </w:p>
    <w:p w14:paraId="3DAFBD41" w14:textId="77777777" w:rsidR="003B659E" w:rsidRPr="0095295C" w:rsidRDefault="003B659E" w:rsidP="0008612A">
      <w:pPr>
        <w:pStyle w:val="RAN4H1"/>
      </w:pPr>
      <w:r w:rsidRPr="0095295C">
        <w:t>References</w:t>
      </w:r>
    </w:p>
    <w:p w14:paraId="19FC2F12" w14:textId="01D6EA10" w:rsidR="003B659E" w:rsidRDefault="00260F04" w:rsidP="003B659E">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bookmarkStart w:id="4" w:name="_Ref431017336"/>
      <w:r w:rsidRPr="00260F04">
        <w:rPr>
          <w:rFonts w:eastAsia="Times New Roman" w:cs="Times New Roman" w:hint="eastAsia"/>
          <w:bCs/>
          <w:szCs w:val="20"/>
          <w:lang w:val="en-GB"/>
        </w:rPr>
        <w:t>R</w:t>
      </w:r>
      <w:r w:rsidRPr="00260F04">
        <w:rPr>
          <w:rFonts w:eastAsia="Times New Roman" w:cs="Times New Roman"/>
          <w:bCs/>
          <w:szCs w:val="20"/>
          <w:lang w:val="en-GB"/>
        </w:rPr>
        <w:t>4</w:t>
      </w:r>
      <w:r w:rsidRPr="00260F04">
        <w:rPr>
          <w:rFonts w:eastAsia="Times New Roman" w:cs="Times New Roman" w:hint="eastAsia"/>
          <w:bCs/>
          <w:szCs w:val="20"/>
          <w:lang w:val="en-GB"/>
        </w:rPr>
        <w:t>-</w:t>
      </w:r>
      <w:r w:rsidRPr="00260F04">
        <w:rPr>
          <w:rFonts w:eastAsia="Times New Roman" w:cs="Times New Roman"/>
          <w:bCs/>
          <w:szCs w:val="20"/>
          <w:lang w:val="en-GB"/>
        </w:rPr>
        <w:t>1908672</w:t>
      </w:r>
      <w:r w:rsidR="003B659E" w:rsidRPr="00260F04">
        <w:rPr>
          <w:rFonts w:eastAsia="Times New Roman" w:cs="Times New Roman"/>
          <w:szCs w:val="20"/>
          <w:lang w:val="en-GB"/>
        </w:rPr>
        <w:t xml:space="preserve">, </w:t>
      </w:r>
      <w:r w:rsidRPr="00260F04">
        <w:rPr>
          <w:rFonts w:eastAsia="Times New Roman" w:cs="Times New Roman"/>
          <w:bCs/>
          <w:szCs w:val="20"/>
          <w:lang w:val="en-GB"/>
        </w:rPr>
        <w:t>NR SCell activation delay</w:t>
      </w:r>
      <w:r w:rsidR="003B659E" w:rsidRPr="00260F04">
        <w:rPr>
          <w:rFonts w:eastAsia="Times New Roman" w:cs="Times New Roman"/>
          <w:szCs w:val="20"/>
          <w:lang w:val="en-GB"/>
        </w:rPr>
        <w:t>, Nokia, Alcatel-Lucent Shanghai Bell</w:t>
      </w:r>
      <w:r w:rsidR="003B659E" w:rsidRPr="00260F04" w:rsidDel="00C651B9">
        <w:rPr>
          <w:rFonts w:eastAsia="Times New Roman" w:cs="Times New Roman"/>
          <w:szCs w:val="20"/>
          <w:lang w:val="en-GB"/>
        </w:rPr>
        <w:t xml:space="preserve"> </w:t>
      </w:r>
      <w:bookmarkEnd w:id="4"/>
    </w:p>
    <w:p w14:paraId="2CDE2195" w14:textId="50A2D6FB" w:rsidR="00724BE7" w:rsidRDefault="00724BE7" w:rsidP="003B659E">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r w:rsidRPr="00724BE7">
        <w:rPr>
          <w:rFonts w:eastAsia="Times New Roman" w:cs="Times New Roman"/>
          <w:szCs w:val="20"/>
          <w:lang w:val="en-GB"/>
        </w:rPr>
        <w:t>R4-1912125</w:t>
      </w:r>
      <w:r w:rsidRPr="00724BE7">
        <w:rPr>
          <w:rFonts w:eastAsia="Times New Roman" w:cs="Times New Roman"/>
          <w:szCs w:val="20"/>
          <w:lang w:val="en-GB"/>
        </w:rPr>
        <w:t xml:space="preserve">, </w:t>
      </w:r>
      <w:r w:rsidRPr="00724BE7">
        <w:rPr>
          <w:rFonts w:eastAsia="Times New Roman" w:cs="Times New Roman"/>
          <w:bCs/>
          <w:szCs w:val="20"/>
          <w:lang w:val="en-GB"/>
        </w:rPr>
        <w:t>Reply LS on NR fast SCell activation</w:t>
      </w:r>
      <w:r>
        <w:rPr>
          <w:rFonts w:eastAsia="Times New Roman" w:cs="Times New Roman"/>
          <w:bCs/>
          <w:szCs w:val="20"/>
          <w:lang w:val="en-GB"/>
        </w:rPr>
        <w:t xml:space="preserve">, </w:t>
      </w:r>
      <w:r w:rsidRPr="00260F04">
        <w:rPr>
          <w:rFonts w:eastAsia="Times New Roman" w:cs="Times New Roman"/>
          <w:szCs w:val="20"/>
          <w:lang w:val="en-GB"/>
        </w:rPr>
        <w:t>Nokia, Alcatel-Lucent Shanghai Bell</w:t>
      </w:r>
    </w:p>
    <w:p w14:paraId="121E2A89" w14:textId="28EEB241" w:rsidR="00642AA2" w:rsidRPr="00642AA2" w:rsidRDefault="00642AA2" w:rsidP="003B659E">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r w:rsidRPr="00642AA2">
        <w:rPr>
          <w:rFonts w:eastAsia="Calibri" w:cs="Times New Roman"/>
          <w:szCs w:val="20"/>
          <w:lang w:val="en-GB"/>
        </w:rPr>
        <w:t>R4-1910708</w:t>
      </w:r>
      <w:r w:rsidRPr="00642AA2">
        <w:rPr>
          <w:rFonts w:eastAsia="Calibri" w:cs="Times New Roman"/>
          <w:szCs w:val="20"/>
          <w:lang w:val="en-GB"/>
        </w:rPr>
        <w:t xml:space="preserve">, </w:t>
      </w:r>
      <w:r w:rsidRPr="00642AA2">
        <w:rPr>
          <w:rFonts w:eastAsia="Calibri" w:cs="Times New Roman"/>
          <w:bCs/>
          <w:szCs w:val="20"/>
          <w:lang w:val="en-GB"/>
        </w:rPr>
        <w:t xml:space="preserve">Reply </w:t>
      </w:r>
      <w:bookmarkStart w:id="5" w:name="_Hlk4764988"/>
      <w:r w:rsidRPr="00642AA2">
        <w:rPr>
          <w:rFonts w:eastAsia="Calibri" w:cs="Times New Roman"/>
          <w:bCs/>
          <w:szCs w:val="20"/>
          <w:lang w:val="en-GB"/>
        </w:rPr>
        <w:t>LS</w:t>
      </w:r>
      <w:bookmarkEnd w:id="5"/>
      <w:r w:rsidRPr="00642AA2">
        <w:rPr>
          <w:rFonts w:eastAsia="Calibri" w:cs="Times New Roman"/>
          <w:bCs/>
          <w:szCs w:val="20"/>
          <w:lang w:val="en-GB"/>
        </w:rPr>
        <w:t xml:space="preserve"> on NR fast SCell activation, RAN1</w:t>
      </w:r>
    </w:p>
    <w:p w14:paraId="7AA691D0" w14:textId="77777777" w:rsidR="003B659E" w:rsidRDefault="003B659E" w:rsidP="00841BCD">
      <w:pPr>
        <w:ind w:right="-22"/>
        <w:rPr>
          <w:lang w:val="en-GB"/>
        </w:rPr>
      </w:pPr>
    </w:p>
    <w:p w14:paraId="7BF34BA9" w14:textId="77777777" w:rsidR="00687FA0" w:rsidRPr="003B659E" w:rsidRDefault="00687FA0" w:rsidP="00841BCD">
      <w:pPr>
        <w:ind w:right="-22"/>
        <w:rPr>
          <w:lang w:val="en-GB"/>
        </w:rPr>
      </w:pPr>
    </w:p>
    <w:sectPr w:rsidR="00687FA0" w:rsidRPr="003B659E"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F44401" w14:textId="77777777" w:rsidR="009755F0" w:rsidRDefault="009755F0" w:rsidP="00001C9B">
      <w:pPr>
        <w:spacing w:after="0" w:line="240" w:lineRule="auto"/>
      </w:pPr>
      <w:r>
        <w:separator/>
      </w:r>
    </w:p>
  </w:endnote>
  <w:endnote w:type="continuationSeparator" w:id="0">
    <w:p w14:paraId="32E19914" w14:textId="77777777" w:rsidR="009755F0" w:rsidRDefault="009755F0"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altName w:val="Times New Roman PSMT"/>
    <w:panose1 w:val="02020603050405020304"/>
    <w:charset w:val="00"/>
    <w:family w:val="roman"/>
    <w:pitch w:val="variable"/>
    <w:sig w:usb0="E0002AFF" w:usb1="C0007843" w:usb2="00000009" w:usb3="00000000" w:csb0="000001FF" w:csb1="00000000"/>
  </w:font>
  <w:font w:name="Symbol">
    <w:altName w:val="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A0002AEF" w:usb1="4000207B" w:usb2="00000000"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altName w:val="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AA97FE" w14:textId="77777777" w:rsidR="009755F0" w:rsidRDefault="009755F0" w:rsidP="00001C9B">
      <w:pPr>
        <w:spacing w:after="0" w:line="240" w:lineRule="auto"/>
      </w:pPr>
      <w:r>
        <w:separator/>
      </w:r>
    </w:p>
  </w:footnote>
  <w:footnote w:type="continuationSeparator" w:id="0">
    <w:p w14:paraId="0E95C005" w14:textId="77777777" w:rsidR="009755F0" w:rsidRDefault="009755F0"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65A03A6"/>
    <w:multiLevelType w:val="multilevel"/>
    <w:tmpl w:val="3730987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6A686972"/>
    <w:multiLevelType w:val="hybridMultilevel"/>
    <w:tmpl w:val="01986F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4"/>
  </w:num>
  <w:num w:numId="3">
    <w:abstractNumId w:val="8"/>
  </w:num>
  <w:num w:numId="4">
    <w:abstractNumId w:val="2"/>
  </w:num>
  <w:num w:numId="5">
    <w:abstractNumId w:val="10"/>
  </w:num>
  <w:num w:numId="6">
    <w:abstractNumId w:val="6"/>
  </w:num>
  <w:num w:numId="7">
    <w:abstractNumId w:val="7"/>
  </w:num>
  <w:num w:numId="8">
    <w:abstractNumId w:val="7"/>
    <w:lvlOverride w:ilvl="0">
      <w:startOverride w:val="1"/>
    </w:lvlOverride>
  </w:num>
  <w:num w:numId="9">
    <w:abstractNumId w:val="7"/>
    <w:lvlOverride w:ilvl="0">
      <w:startOverride w:val="1"/>
    </w:lvlOverride>
  </w:num>
  <w:num w:numId="10">
    <w:abstractNumId w:val="7"/>
    <w:lvlOverride w:ilvl="0">
      <w:startOverride w:val="1"/>
    </w:lvlOverride>
  </w:num>
  <w:num w:numId="11">
    <w:abstractNumId w:val="6"/>
    <w:lvlOverride w:ilvl="0">
      <w:startOverride w:val="1"/>
    </w:lvlOverride>
  </w:num>
  <w:num w:numId="12">
    <w:abstractNumId w:val="7"/>
    <w:lvlOverride w:ilvl="0">
      <w:startOverride w:val="1"/>
    </w:lvlOverride>
  </w:num>
  <w:num w:numId="13">
    <w:abstractNumId w:val="6"/>
    <w:lvlOverride w:ilvl="0">
      <w:startOverride w:val="1"/>
    </w:lvlOverride>
  </w:num>
  <w:num w:numId="14">
    <w:abstractNumId w:val="7"/>
    <w:lvlOverride w:ilvl="0">
      <w:startOverride w:val="1"/>
    </w:lvlOverride>
  </w:num>
  <w:num w:numId="15">
    <w:abstractNumId w:val="12"/>
  </w:num>
  <w:num w:numId="16">
    <w:abstractNumId w:val="1"/>
  </w:num>
  <w:num w:numId="17">
    <w:abstractNumId w:val="9"/>
  </w:num>
  <w:num w:numId="18">
    <w:abstractNumId w:val="9"/>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
  </w:num>
  <w:num w:numId="21">
    <w:abstractNumId w:val="3"/>
  </w:num>
  <w:num w:numId="22">
    <w:abstractNumId w:val="11"/>
  </w:num>
  <w:num w:numId="23">
    <w:abstractNumId w:val="7"/>
    <w:lvlOverride w:ilvl="0">
      <w:startOverride w:val="1"/>
    </w:lvlOverride>
  </w:num>
  <w:num w:numId="24">
    <w:abstractNumId w:val="7"/>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oofState w:spelling="clean" w:grammar="clean"/>
  <w:defaultTabStop w:val="720"/>
  <w:hyphenationZone w:val="425"/>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1C9B"/>
    <w:rsid w:val="0008612A"/>
    <w:rsid w:val="000B0056"/>
    <w:rsid w:val="001745F8"/>
    <w:rsid w:val="00176671"/>
    <w:rsid w:val="001838CF"/>
    <w:rsid w:val="001C2F6D"/>
    <w:rsid w:val="001E30F6"/>
    <w:rsid w:val="00235F5C"/>
    <w:rsid w:val="00260F04"/>
    <w:rsid w:val="002B4922"/>
    <w:rsid w:val="002C2D19"/>
    <w:rsid w:val="002D10FA"/>
    <w:rsid w:val="002D4C55"/>
    <w:rsid w:val="0031380A"/>
    <w:rsid w:val="00363CF1"/>
    <w:rsid w:val="00377B01"/>
    <w:rsid w:val="003B659E"/>
    <w:rsid w:val="003C2AFC"/>
    <w:rsid w:val="003D373B"/>
    <w:rsid w:val="00417AA0"/>
    <w:rsid w:val="0043750A"/>
    <w:rsid w:val="004764E5"/>
    <w:rsid w:val="004960CE"/>
    <w:rsid w:val="004B7B4A"/>
    <w:rsid w:val="004E5E66"/>
    <w:rsid w:val="00503B4D"/>
    <w:rsid w:val="00504EE9"/>
    <w:rsid w:val="0054442C"/>
    <w:rsid w:val="00550285"/>
    <w:rsid w:val="005836F8"/>
    <w:rsid w:val="005918FA"/>
    <w:rsid w:val="005E61A8"/>
    <w:rsid w:val="005F6419"/>
    <w:rsid w:val="00617400"/>
    <w:rsid w:val="00642AA2"/>
    <w:rsid w:val="00664950"/>
    <w:rsid w:val="00683220"/>
    <w:rsid w:val="00687FA0"/>
    <w:rsid w:val="006B7010"/>
    <w:rsid w:val="007145FF"/>
    <w:rsid w:val="00724BE7"/>
    <w:rsid w:val="00751515"/>
    <w:rsid w:val="00785232"/>
    <w:rsid w:val="007C3ED0"/>
    <w:rsid w:val="00806A76"/>
    <w:rsid w:val="00811C9D"/>
    <w:rsid w:val="00816C80"/>
    <w:rsid w:val="00841BCD"/>
    <w:rsid w:val="008826C1"/>
    <w:rsid w:val="008A381C"/>
    <w:rsid w:val="008C556E"/>
    <w:rsid w:val="009042BD"/>
    <w:rsid w:val="009528F5"/>
    <w:rsid w:val="009755F0"/>
    <w:rsid w:val="00977E1D"/>
    <w:rsid w:val="009C0F63"/>
    <w:rsid w:val="009F508E"/>
    <w:rsid w:val="00A22B78"/>
    <w:rsid w:val="00A25AE5"/>
    <w:rsid w:val="00A37002"/>
    <w:rsid w:val="00AA1B0E"/>
    <w:rsid w:val="00AC5CA7"/>
    <w:rsid w:val="00AE56B1"/>
    <w:rsid w:val="00B73862"/>
    <w:rsid w:val="00BA6E48"/>
    <w:rsid w:val="00BA724E"/>
    <w:rsid w:val="00BB4C6E"/>
    <w:rsid w:val="00BF2218"/>
    <w:rsid w:val="00CB3FD3"/>
    <w:rsid w:val="00CD7492"/>
    <w:rsid w:val="00CE3A6B"/>
    <w:rsid w:val="00D00211"/>
    <w:rsid w:val="00D06309"/>
    <w:rsid w:val="00D251ED"/>
    <w:rsid w:val="00D27872"/>
    <w:rsid w:val="00D351EA"/>
    <w:rsid w:val="00D43403"/>
    <w:rsid w:val="00D62E71"/>
    <w:rsid w:val="00D740CA"/>
    <w:rsid w:val="00D85728"/>
    <w:rsid w:val="00D92375"/>
    <w:rsid w:val="00DD555A"/>
    <w:rsid w:val="00DF2997"/>
    <w:rsid w:val="00E536A6"/>
    <w:rsid w:val="00EC7BC3"/>
    <w:rsid w:val="00ED7600"/>
    <w:rsid w:val="00EF2A70"/>
    <w:rsid w:val="00F1362C"/>
    <w:rsid w:val="00F824F5"/>
    <w:rsid w:val="00FC29B9"/>
    <w:rsid w:val="00FC6F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1389C8F8"/>
  <w15:chartTrackingRefBased/>
  <w15:docId w15:val="{0F7E7DB3-38B1-47FD-A4C1-0B723AFFA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8612A"/>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rPr>
      <w:lang w:val="en-US"/>
    </w:r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lang w:val="en-GB"/>
    </w:rPr>
  </w:style>
  <w:style w:type="character" w:customStyle="1" w:styleId="ListParagraphChar">
    <w:name w:val="List Paragraph Char"/>
    <w:basedOn w:val="DefaultParagraphFont"/>
    <w:link w:val="ListParagraph"/>
    <w:uiPriority w:val="34"/>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D2787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27872"/>
    <w:rPr>
      <w:rFonts w:ascii="Segoe UI" w:hAnsi="Segoe UI" w:cs="Segoe UI"/>
      <w:sz w:val="18"/>
      <w:szCs w:val="18"/>
    </w:rPr>
  </w:style>
  <w:style w:type="paragraph" w:customStyle="1" w:styleId="paragraph">
    <w:name w:val="paragraph"/>
    <w:basedOn w:val="Normal"/>
    <w:rsid w:val="0031380A"/>
    <w:pPr>
      <w:spacing w:after="0" w:line="240" w:lineRule="auto"/>
    </w:pPr>
    <w:rPr>
      <w:rFonts w:eastAsia="Times New Roman" w:cs="Times New Roman"/>
      <w:sz w:val="24"/>
      <w:szCs w:val="24"/>
      <w:lang w:val="en-GB" w:eastAsia="en-GB"/>
    </w:rPr>
  </w:style>
  <w:style w:type="character" w:customStyle="1" w:styleId="spellingerror">
    <w:name w:val="spellingerror"/>
    <w:basedOn w:val="DefaultParagraphFont"/>
    <w:rsid w:val="0031380A"/>
  </w:style>
  <w:style w:type="character" w:customStyle="1" w:styleId="normaltextrun1">
    <w:name w:val="normaltextrun1"/>
    <w:basedOn w:val="DefaultParagraphFont"/>
    <w:rsid w:val="0031380A"/>
  </w:style>
  <w:style w:type="character" w:customStyle="1" w:styleId="eop">
    <w:name w:val="eop"/>
    <w:basedOn w:val="DefaultParagraphFont"/>
    <w:rsid w:val="0031380A"/>
  </w:style>
  <w:style w:type="paragraph" w:customStyle="1" w:styleId="Default">
    <w:name w:val="Default"/>
    <w:rsid w:val="003C2AFC"/>
    <w:pPr>
      <w:autoSpaceDE w:val="0"/>
      <w:autoSpaceDN w:val="0"/>
      <w:adjustRightInd w:val="0"/>
      <w:spacing w:after="0" w:line="240" w:lineRule="auto"/>
    </w:pPr>
    <w:rPr>
      <w:rFonts w:ascii="Arial" w:hAnsi="Arial" w:cs="Arial"/>
      <w:color w:val="000000"/>
      <w:sz w:val="24"/>
      <w:szCs w:val="24"/>
      <w:lang w:val="en-GB"/>
    </w:rPr>
  </w:style>
  <w:style w:type="character" w:styleId="CommentReference">
    <w:name w:val="annotation reference"/>
    <w:basedOn w:val="DefaultParagraphFont"/>
    <w:uiPriority w:val="99"/>
    <w:semiHidden/>
    <w:unhideWhenUsed/>
    <w:rsid w:val="00D92375"/>
    <w:rPr>
      <w:sz w:val="16"/>
      <w:szCs w:val="16"/>
    </w:rPr>
  </w:style>
  <w:style w:type="paragraph" w:styleId="CommentText">
    <w:name w:val="annotation text"/>
    <w:basedOn w:val="Normal"/>
    <w:link w:val="CommentTextChar"/>
    <w:uiPriority w:val="99"/>
    <w:semiHidden/>
    <w:unhideWhenUsed/>
    <w:rsid w:val="00D92375"/>
    <w:pPr>
      <w:spacing w:line="240" w:lineRule="auto"/>
    </w:pPr>
    <w:rPr>
      <w:szCs w:val="20"/>
    </w:rPr>
  </w:style>
  <w:style w:type="character" w:customStyle="1" w:styleId="CommentTextChar">
    <w:name w:val="Comment Text Char"/>
    <w:basedOn w:val="DefaultParagraphFont"/>
    <w:link w:val="CommentText"/>
    <w:uiPriority w:val="99"/>
    <w:semiHidden/>
    <w:rsid w:val="00D92375"/>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D92375"/>
    <w:rPr>
      <w:b/>
      <w:bCs/>
    </w:rPr>
  </w:style>
  <w:style w:type="character" w:customStyle="1" w:styleId="CommentSubjectChar">
    <w:name w:val="Comment Subject Char"/>
    <w:basedOn w:val="CommentTextChar"/>
    <w:link w:val="CommentSubject"/>
    <w:uiPriority w:val="99"/>
    <w:semiHidden/>
    <w:rsid w:val="00D92375"/>
    <w:rPr>
      <w:rFonts w:ascii="Times New Roman" w:hAnsi="Times New Roman"/>
      <w:b/>
      <w:bCs/>
      <w:sz w:val="20"/>
      <w:szCs w:val="20"/>
    </w:rPr>
  </w:style>
  <w:style w:type="paragraph" w:customStyle="1" w:styleId="TAH">
    <w:name w:val="TAH"/>
    <w:basedOn w:val="TAC"/>
    <w:link w:val="TAHCar"/>
    <w:qFormat/>
    <w:rsid w:val="00BB4C6E"/>
    <w:rPr>
      <w:b/>
    </w:rPr>
  </w:style>
  <w:style w:type="paragraph" w:customStyle="1" w:styleId="TAC">
    <w:name w:val="TAC"/>
    <w:basedOn w:val="Normal"/>
    <w:link w:val="TACChar"/>
    <w:qFormat/>
    <w:rsid w:val="00BB4C6E"/>
    <w:pPr>
      <w:keepNext/>
      <w:keepLines/>
      <w:spacing w:after="0" w:line="240" w:lineRule="auto"/>
      <w:jc w:val="center"/>
    </w:pPr>
    <w:rPr>
      <w:rFonts w:ascii="Arial" w:eastAsia="SimSun" w:hAnsi="Arial" w:cs="Times New Roman"/>
      <w:sz w:val="18"/>
      <w:szCs w:val="20"/>
      <w:lang w:val="en-GB"/>
    </w:rPr>
  </w:style>
  <w:style w:type="character" w:customStyle="1" w:styleId="TACChar">
    <w:name w:val="TAC Char"/>
    <w:link w:val="TAC"/>
    <w:qFormat/>
    <w:rsid w:val="00BB4C6E"/>
    <w:rPr>
      <w:rFonts w:ascii="Arial" w:eastAsia="SimSun" w:hAnsi="Arial" w:cs="Times New Roman"/>
      <w:sz w:val="18"/>
      <w:szCs w:val="20"/>
      <w:lang w:val="en-GB"/>
    </w:rPr>
  </w:style>
  <w:style w:type="character" w:customStyle="1" w:styleId="TAHCar">
    <w:name w:val="TAH Car"/>
    <w:link w:val="TAH"/>
    <w:qFormat/>
    <w:rsid w:val="00BB4C6E"/>
    <w:rPr>
      <w:rFonts w:ascii="Arial" w:eastAsia="SimSun" w:hAnsi="Arial" w:cs="Times New Roman"/>
      <w:b/>
      <w:sz w:val="18"/>
      <w:szCs w:val="20"/>
      <w:lang w:val="en-GB"/>
    </w:rPr>
  </w:style>
  <w:style w:type="paragraph" w:customStyle="1" w:styleId="TH">
    <w:name w:val="TH"/>
    <w:basedOn w:val="Normal"/>
    <w:link w:val="THChar"/>
    <w:qFormat/>
    <w:rsid w:val="00BB4C6E"/>
    <w:pPr>
      <w:keepNext/>
      <w:keepLines/>
      <w:spacing w:before="60" w:after="180" w:line="240" w:lineRule="auto"/>
      <w:jc w:val="center"/>
    </w:pPr>
    <w:rPr>
      <w:rFonts w:ascii="Arial" w:eastAsia="SimSun" w:hAnsi="Arial" w:cs="Times New Roman"/>
      <w:b/>
      <w:szCs w:val="20"/>
      <w:lang w:val="en-GB"/>
    </w:rPr>
  </w:style>
  <w:style w:type="character" w:customStyle="1" w:styleId="THChar">
    <w:name w:val="TH Char"/>
    <w:link w:val="TH"/>
    <w:qFormat/>
    <w:rsid w:val="00BB4C6E"/>
    <w:rPr>
      <w:rFonts w:ascii="Arial" w:eastAsia="SimSun" w:hAnsi="Arial" w:cs="Times New Roman"/>
      <w:b/>
      <w:sz w:val="20"/>
      <w:szCs w:val="20"/>
      <w:lang w:val="en-GB"/>
    </w:rPr>
  </w:style>
  <w:style w:type="paragraph" w:customStyle="1" w:styleId="TAN">
    <w:name w:val="TAN"/>
    <w:basedOn w:val="Normal"/>
    <w:link w:val="TANChar"/>
    <w:qFormat/>
    <w:rsid w:val="00BB4C6E"/>
    <w:pPr>
      <w:keepNext/>
      <w:keepLines/>
      <w:spacing w:after="0" w:line="240" w:lineRule="auto"/>
      <w:ind w:left="851" w:hanging="851"/>
    </w:pPr>
    <w:rPr>
      <w:rFonts w:ascii="Arial" w:eastAsia="SimSun" w:hAnsi="Arial" w:cs="Times New Roman"/>
      <w:sz w:val="18"/>
      <w:szCs w:val="20"/>
      <w:lang w:val="en-GB"/>
    </w:rPr>
  </w:style>
  <w:style w:type="character" w:customStyle="1" w:styleId="TANChar">
    <w:name w:val="TAN Char"/>
    <w:link w:val="TAN"/>
    <w:rsid w:val="00BB4C6E"/>
    <w:rPr>
      <w:rFonts w:ascii="Arial" w:eastAsia="SimSun" w:hAnsi="Arial" w:cs="Times New Roman"/>
      <w:sz w:val="18"/>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90846076">
      <w:bodyDiv w:val="1"/>
      <w:marLeft w:val="0"/>
      <w:marRight w:val="0"/>
      <w:marTop w:val="0"/>
      <w:marBottom w:val="0"/>
      <w:divBdr>
        <w:top w:val="none" w:sz="0" w:space="0" w:color="auto"/>
        <w:left w:val="none" w:sz="0" w:space="0" w:color="auto"/>
        <w:bottom w:val="none" w:sz="0" w:space="0" w:color="auto"/>
        <w:right w:val="none" w:sz="0" w:space="0" w:color="auto"/>
      </w:divBdr>
      <w:divsChild>
        <w:div w:id="1388382066">
          <w:marLeft w:val="0"/>
          <w:marRight w:val="0"/>
          <w:marTop w:val="0"/>
          <w:marBottom w:val="0"/>
          <w:divBdr>
            <w:top w:val="none" w:sz="0" w:space="0" w:color="auto"/>
            <w:left w:val="none" w:sz="0" w:space="0" w:color="auto"/>
            <w:bottom w:val="none" w:sz="0" w:space="0" w:color="auto"/>
            <w:right w:val="none" w:sz="0" w:space="0" w:color="auto"/>
          </w:divBdr>
          <w:divsChild>
            <w:div w:id="2136606005">
              <w:marLeft w:val="0"/>
              <w:marRight w:val="0"/>
              <w:marTop w:val="0"/>
              <w:marBottom w:val="0"/>
              <w:divBdr>
                <w:top w:val="none" w:sz="0" w:space="0" w:color="auto"/>
                <w:left w:val="none" w:sz="0" w:space="0" w:color="auto"/>
                <w:bottom w:val="none" w:sz="0" w:space="0" w:color="auto"/>
                <w:right w:val="none" w:sz="0" w:space="0" w:color="auto"/>
              </w:divBdr>
              <w:divsChild>
                <w:div w:id="190262749">
                  <w:marLeft w:val="0"/>
                  <w:marRight w:val="0"/>
                  <w:marTop w:val="0"/>
                  <w:marBottom w:val="0"/>
                  <w:divBdr>
                    <w:top w:val="none" w:sz="0" w:space="0" w:color="auto"/>
                    <w:left w:val="none" w:sz="0" w:space="0" w:color="auto"/>
                    <w:bottom w:val="none" w:sz="0" w:space="0" w:color="auto"/>
                    <w:right w:val="none" w:sz="0" w:space="0" w:color="auto"/>
                  </w:divBdr>
                  <w:divsChild>
                    <w:div w:id="1869249365">
                      <w:marLeft w:val="0"/>
                      <w:marRight w:val="0"/>
                      <w:marTop w:val="0"/>
                      <w:marBottom w:val="0"/>
                      <w:divBdr>
                        <w:top w:val="none" w:sz="0" w:space="0" w:color="auto"/>
                        <w:left w:val="none" w:sz="0" w:space="0" w:color="auto"/>
                        <w:bottom w:val="none" w:sz="0" w:space="0" w:color="auto"/>
                        <w:right w:val="none" w:sz="0" w:space="0" w:color="auto"/>
                      </w:divBdr>
                      <w:divsChild>
                        <w:div w:id="1597589785">
                          <w:marLeft w:val="0"/>
                          <w:marRight w:val="0"/>
                          <w:marTop w:val="0"/>
                          <w:marBottom w:val="0"/>
                          <w:divBdr>
                            <w:top w:val="none" w:sz="0" w:space="0" w:color="auto"/>
                            <w:left w:val="none" w:sz="0" w:space="0" w:color="auto"/>
                            <w:bottom w:val="none" w:sz="0" w:space="0" w:color="auto"/>
                            <w:right w:val="none" w:sz="0" w:space="0" w:color="auto"/>
                          </w:divBdr>
                          <w:divsChild>
                            <w:div w:id="1048336076">
                              <w:marLeft w:val="0"/>
                              <w:marRight w:val="0"/>
                              <w:marTop w:val="0"/>
                              <w:marBottom w:val="0"/>
                              <w:divBdr>
                                <w:top w:val="none" w:sz="0" w:space="0" w:color="auto"/>
                                <w:left w:val="none" w:sz="0" w:space="0" w:color="auto"/>
                                <w:bottom w:val="none" w:sz="0" w:space="0" w:color="auto"/>
                                <w:right w:val="none" w:sz="0" w:space="0" w:color="auto"/>
                              </w:divBdr>
                              <w:divsChild>
                                <w:div w:id="297955811">
                                  <w:marLeft w:val="0"/>
                                  <w:marRight w:val="0"/>
                                  <w:marTop w:val="0"/>
                                  <w:marBottom w:val="0"/>
                                  <w:divBdr>
                                    <w:top w:val="none" w:sz="0" w:space="0" w:color="auto"/>
                                    <w:left w:val="none" w:sz="0" w:space="0" w:color="auto"/>
                                    <w:bottom w:val="none" w:sz="0" w:space="0" w:color="auto"/>
                                    <w:right w:val="none" w:sz="0" w:space="0" w:color="auto"/>
                                  </w:divBdr>
                                  <w:divsChild>
                                    <w:div w:id="1279409420">
                                      <w:marLeft w:val="0"/>
                                      <w:marRight w:val="0"/>
                                      <w:marTop w:val="0"/>
                                      <w:marBottom w:val="0"/>
                                      <w:divBdr>
                                        <w:top w:val="none" w:sz="0" w:space="0" w:color="auto"/>
                                        <w:left w:val="none" w:sz="0" w:space="0" w:color="auto"/>
                                        <w:bottom w:val="none" w:sz="0" w:space="0" w:color="auto"/>
                                        <w:right w:val="none" w:sz="0" w:space="0" w:color="auto"/>
                                      </w:divBdr>
                                      <w:divsChild>
                                        <w:div w:id="1089351735">
                                          <w:marLeft w:val="0"/>
                                          <w:marRight w:val="0"/>
                                          <w:marTop w:val="0"/>
                                          <w:marBottom w:val="0"/>
                                          <w:divBdr>
                                            <w:top w:val="none" w:sz="0" w:space="0" w:color="auto"/>
                                            <w:left w:val="none" w:sz="0" w:space="0" w:color="auto"/>
                                            <w:bottom w:val="none" w:sz="0" w:space="0" w:color="auto"/>
                                            <w:right w:val="none" w:sz="0" w:space="0" w:color="auto"/>
                                          </w:divBdr>
                                          <w:divsChild>
                                            <w:div w:id="574121903">
                                              <w:marLeft w:val="0"/>
                                              <w:marRight w:val="0"/>
                                              <w:marTop w:val="0"/>
                                              <w:marBottom w:val="0"/>
                                              <w:divBdr>
                                                <w:top w:val="none" w:sz="0" w:space="0" w:color="auto"/>
                                                <w:left w:val="none" w:sz="0" w:space="0" w:color="auto"/>
                                                <w:bottom w:val="none" w:sz="0" w:space="0" w:color="auto"/>
                                                <w:right w:val="none" w:sz="0" w:space="0" w:color="auto"/>
                                              </w:divBdr>
                                              <w:divsChild>
                                                <w:div w:id="551502366">
                                                  <w:marLeft w:val="0"/>
                                                  <w:marRight w:val="0"/>
                                                  <w:marTop w:val="0"/>
                                                  <w:marBottom w:val="0"/>
                                                  <w:divBdr>
                                                    <w:top w:val="none" w:sz="0" w:space="0" w:color="auto"/>
                                                    <w:left w:val="none" w:sz="0" w:space="0" w:color="auto"/>
                                                    <w:bottom w:val="none" w:sz="0" w:space="0" w:color="auto"/>
                                                    <w:right w:val="none" w:sz="0" w:space="0" w:color="auto"/>
                                                  </w:divBdr>
                                                  <w:divsChild>
                                                    <w:div w:id="1274897135">
                                                      <w:marLeft w:val="0"/>
                                                      <w:marRight w:val="0"/>
                                                      <w:marTop w:val="0"/>
                                                      <w:marBottom w:val="0"/>
                                                      <w:divBdr>
                                                        <w:top w:val="none" w:sz="0" w:space="0" w:color="auto"/>
                                                        <w:left w:val="none" w:sz="0" w:space="0" w:color="auto"/>
                                                        <w:bottom w:val="none" w:sz="0" w:space="0" w:color="auto"/>
                                                        <w:right w:val="none" w:sz="0" w:space="0" w:color="auto"/>
                                                      </w:divBdr>
                                                      <w:divsChild>
                                                        <w:div w:id="180633089">
                                                          <w:marLeft w:val="0"/>
                                                          <w:marRight w:val="0"/>
                                                          <w:marTop w:val="0"/>
                                                          <w:marBottom w:val="0"/>
                                                          <w:divBdr>
                                                            <w:top w:val="none" w:sz="0" w:space="0" w:color="auto"/>
                                                            <w:left w:val="none" w:sz="0" w:space="0" w:color="auto"/>
                                                            <w:bottom w:val="none" w:sz="0" w:space="0" w:color="auto"/>
                                                            <w:right w:val="none" w:sz="0" w:space="0" w:color="auto"/>
                                                          </w:divBdr>
                                                          <w:divsChild>
                                                            <w:div w:id="1209730799">
                                                              <w:marLeft w:val="0"/>
                                                              <w:marRight w:val="0"/>
                                                              <w:marTop w:val="0"/>
                                                              <w:marBottom w:val="0"/>
                                                              <w:divBdr>
                                                                <w:top w:val="none" w:sz="0" w:space="0" w:color="auto"/>
                                                                <w:left w:val="none" w:sz="0" w:space="0" w:color="auto"/>
                                                                <w:bottom w:val="none" w:sz="0" w:space="0" w:color="auto"/>
                                                                <w:right w:val="none" w:sz="0" w:space="0" w:color="auto"/>
                                                              </w:divBdr>
                                                              <w:divsChild>
                                                                <w:div w:id="809711431">
                                                                  <w:marLeft w:val="-690"/>
                                                                  <w:marRight w:val="-75"/>
                                                                  <w:marTop w:val="0"/>
                                                                  <w:marBottom w:val="0"/>
                                                                  <w:divBdr>
                                                                    <w:top w:val="none" w:sz="0" w:space="0" w:color="auto"/>
                                                                    <w:left w:val="none" w:sz="0" w:space="0" w:color="auto"/>
                                                                    <w:bottom w:val="none" w:sz="0" w:space="0" w:color="auto"/>
                                                                    <w:right w:val="none" w:sz="0" w:space="0" w:color="auto"/>
                                                                  </w:divBdr>
                                                                  <w:divsChild>
                                                                    <w:div w:id="1870950903">
                                                                      <w:marLeft w:val="0"/>
                                                                      <w:marRight w:val="0"/>
                                                                      <w:marTop w:val="0"/>
                                                                      <w:marBottom w:val="0"/>
                                                                      <w:divBdr>
                                                                        <w:top w:val="none" w:sz="0" w:space="0" w:color="auto"/>
                                                                        <w:left w:val="none" w:sz="0" w:space="0" w:color="auto"/>
                                                                        <w:bottom w:val="none" w:sz="0" w:space="0" w:color="auto"/>
                                                                        <w:right w:val="none" w:sz="0" w:space="0" w:color="auto"/>
                                                                      </w:divBdr>
                                                                      <w:divsChild>
                                                                        <w:div w:id="510530401">
                                                                          <w:marLeft w:val="0"/>
                                                                          <w:marRight w:val="0"/>
                                                                          <w:marTop w:val="0"/>
                                                                          <w:marBottom w:val="0"/>
                                                                          <w:divBdr>
                                                                            <w:top w:val="none" w:sz="0" w:space="0" w:color="auto"/>
                                                                            <w:left w:val="none" w:sz="0" w:space="0" w:color="auto"/>
                                                                            <w:bottom w:val="none" w:sz="0" w:space="0" w:color="auto"/>
                                                                            <w:right w:val="none" w:sz="0" w:space="0" w:color="auto"/>
                                                                          </w:divBdr>
                                                                          <w:divsChild>
                                                                            <w:div w:id="928393126">
                                                                              <w:marLeft w:val="0"/>
                                                                              <w:marRight w:val="0"/>
                                                                              <w:marTop w:val="0"/>
                                                                              <w:marBottom w:val="0"/>
                                                                              <w:divBdr>
                                                                                <w:top w:val="none" w:sz="0" w:space="0" w:color="auto"/>
                                                                                <w:left w:val="none" w:sz="0" w:space="0" w:color="auto"/>
                                                                                <w:bottom w:val="none" w:sz="0" w:space="0" w:color="auto"/>
                                                                                <w:right w:val="none" w:sz="0" w:space="0" w:color="auto"/>
                                                                              </w:divBdr>
                                                                              <w:divsChild>
                                                                                <w:div w:id="1541434680">
                                                                                  <w:marLeft w:val="0"/>
                                                                                  <w:marRight w:val="0"/>
                                                                                  <w:marTop w:val="0"/>
                                                                                  <w:marBottom w:val="0"/>
                                                                                  <w:divBdr>
                                                                                    <w:top w:val="none" w:sz="0" w:space="0" w:color="auto"/>
                                                                                    <w:left w:val="none" w:sz="0" w:space="0" w:color="auto"/>
                                                                                    <w:bottom w:val="none" w:sz="0" w:space="0" w:color="auto"/>
                                                                                    <w:right w:val="none" w:sz="0" w:space="0" w:color="auto"/>
                                                                                  </w:divBdr>
                                                                                  <w:divsChild>
                                                                                    <w:div w:id="15595860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1" ma:contentTypeDescription="Create a new document." ma:contentTypeScope="" ma:versionID="ef6b774ef188ddc835e353781c249403">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6ffa66183a6d9ea6153da49623a31c87"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4:MediaServiceMetadata" minOccurs="0"/>
                <xsd:element ref="ns4:MediaServiceAutoTags" minOccurs="0"/>
                <xsd:element ref="ns4:MediaServiceLocation" minOccurs="0"/>
                <xsd:element ref="ns5:SharedWithUsers" minOccurs="0"/>
                <xsd:element ref="ns5:SharedWithDetails" minOccurs="0"/>
                <xsd:element ref="ns5:SharingHintHash"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Metadata" ma:index="14" nillable="true" ma:displayName="MediaServiceMetadata" ma:hidden="true" ma:internalName="MediaServiceMetadata" ma:readOnly="true">
      <xsd:simpleType>
        <xsd:restriction base="dms:Note"/>
      </xsd:simpleType>
    </xsd:element>
    <xsd:element name="MediaServiceAutoTags" ma:index="15" nillable="true" ma:displayName="MediaServiceAutoTags" ma:internalName="MediaServiceAutoTags"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F68C81-95AD-4908-BF2C-DE338075F02F}">
  <ds:schemaRefs>
    <ds:schemaRef ds:uri="http://schemas.microsoft.com/sharepoint/events"/>
  </ds:schemaRefs>
</ds:datastoreItem>
</file>

<file path=customXml/itemProps2.xml><?xml version="1.0" encoding="utf-8"?>
<ds:datastoreItem xmlns:ds="http://schemas.openxmlformats.org/officeDocument/2006/customXml" ds:itemID="{E836DD95-6544-4B80-A9B6-231391D3E05C}">
  <ds:schemaRefs>
    <ds:schemaRef ds:uri="Microsoft.SharePoint.Taxonomy.ContentTypeSync"/>
  </ds:schemaRefs>
</ds:datastoreItem>
</file>

<file path=customXml/itemProps3.xml><?xml version="1.0" encoding="utf-8"?>
<ds:datastoreItem xmlns:ds="http://schemas.openxmlformats.org/officeDocument/2006/customXml" ds:itemID="{DF68B29B-7B29-45CC-88CD-5DCD1D880C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C95602D-ECE0-475C-A669-032CFDCD5661}">
  <ds:schemaRefs>
    <ds:schemaRef ds:uri="http://purl.org/dc/elements/1.1/"/>
    <ds:schemaRef ds:uri="http://schemas.microsoft.com/office/2006/metadata/properties"/>
    <ds:schemaRef ds:uri="71c5aaf6-e6ce-465b-b873-5148d2a4c105"/>
    <ds:schemaRef ds:uri="http://purl.org/dc/terms/"/>
    <ds:schemaRef ds:uri="http://schemas.openxmlformats.org/package/2006/metadata/core-properties"/>
    <ds:schemaRef ds:uri="http://schemas.microsoft.com/office/2006/documentManagement/types"/>
    <ds:schemaRef ds:uri="55ae6c15-9962-46ae-a768-8deca3649a65"/>
    <ds:schemaRef ds:uri="http://schemas.microsoft.com/office/infopath/2007/PartnerControls"/>
    <ds:schemaRef ds:uri="28d22441-8343-43f8-ac6d-b59b0fa8fca6"/>
    <ds:schemaRef ds:uri="http://www.w3.org/XML/1998/namespace"/>
    <ds:schemaRef ds:uri="http://purl.org/dc/dcmitype/"/>
  </ds:schemaRefs>
</ds:datastoreItem>
</file>

<file path=customXml/itemProps5.xml><?xml version="1.0" encoding="utf-8"?>
<ds:datastoreItem xmlns:ds="http://schemas.openxmlformats.org/officeDocument/2006/customXml" ds:itemID="{3129AB7B-12A4-4C31-A600-A9A46736695D}">
  <ds:schemaRefs>
    <ds:schemaRef ds:uri="http://schemas.microsoft.com/sharepoint/v3/contenttype/forms"/>
  </ds:schemaRefs>
</ds:datastoreItem>
</file>

<file path=customXml/itemProps6.xml><?xml version="1.0" encoding="utf-8"?>
<ds:datastoreItem xmlns:ds="http://schemas.openxmlformats.org/officeDocument/2006/customXml" ds:itemID="{484105EA-74BF-433B-AE12-411DCB8F40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1251</Words>
  <Characters>7133</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Nokia Networks</cp:lastModifiedBy>
  <cp:revision>2</cp:revision>
  <dcterms:created xsi:type="dcterms:W3CDTF">2019-10-04T18:26:00Z</dcterms:created>
  <dcterms:modified xsi:type="dcterms:W3CDTF">2019-10-04T18:26:00Z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0x0101002779548D02695F479F904726726C80A8</vt:lpwstr>
  </property>
</Properties>
</file>