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43FF8193"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w:t>
      </w:r>
      <w:r w:rsidR="0031758A">
        <w:rPr>
          <w:noProof w:val="0"/>
          <w:sz w:val="24"/>
        </w:rPr>
        <w:t>1</w:t>
      </w:r>
      <w:r w:rsidRPr="008E491B">
        <w:rPr>
          <w:noProof w:val="0"/>
          <w:sz w:val="24"/>
        </w:rPr>
        <w:tab/>
        <w:t>R4-</w:t>
      </w:r>
      <w:r w:rsidR="00630239" w:rsidRPr="008E491B">
        <w:rPr>
          <w:noProof w:val="0"/>
          <w:sz w:val="24"/>
        </w:rPr>
        <w:t>1</w:t>
      </w:r>
      <w:r w:rsidR="00A70005">
        <w:rPr>
          <w:noProof w:val="0"/>
          <w:sz w:val="24"/>
        </w:rPr>
        <w:t>9</w:t>
      </w:r>
      <w:r w:rsidR="00CF0172">
        <w:rPr>
          <w:noProof w:val="0"/>
          <w:sz w:val="24"/>
        </w:rPr>
        <w:t>0</w:t>
      </w:r>
      <w:r w:rsidR="009C7CAF">
        <w:rPr>
          <w:noProof w:val="0"/>
          <w:sz w:val="24"/>
        </w:rPr>
        <w:t>6385</w:t>
      </w:r>
      <w:bookmarkStart w:id="0" w:name="_GoBack"/>
      <w:bookmarkEnd w:id="0"/>
    </w:p>
    <w:p w14:paraId="66F50065" w14:textId="4F777EC9" w:rsidR="008F3F8D" w:rsidRPr="008E491B" w:rsidRDefault="0031758A" w:rsidP="008F3F8D">
      <w:pPr>
        <w:pStyle w:val="Header"/>
        <w:tabs>
          <w:tab w:val="right" w:pos="9639"/>
        </w:tabs>
        <w:rPr>
          <w:noProof w:val="0"/>
          <w:sz w:val="24"/>
        </w:rPr>
      </w:pPr>
      <w:r>
        <w:rPr>
          <w:noProof w:val="0"/>
          <w:sz w:val="24"/>
        </w:rPr>
        <w:t>Reno</w:t>
      </w:r>
      <w:r w:rsidR="008F3F8D" w:rsidRPr="008E491B">
        <w:rPr>
          <w:rFonts w:hint="eastAsia"/>
          <w:noProof w:val="0"/>
          <w:sz w:val="24"/>
        </w:rPr>
        <w:t>,</w:t>
      </w:r>
      <w:r w:rsidR="00046E10">
        <w:rPr>
          <w:noProof w:val="0"/>
          <w:sz w:val="24"/>
        </w:rPr>
        <w:t xml:space="preserve"> </w:t>
      </w:r>
      <w:r>
        <w:rPr>
          <w:noProof w:val="0"/>
          <w:sz w:val="24"/>
        </w:rPr>
        <w:t>US</w:t>
      </w:r>
      <w:r w:rsidR="004874FB">
        <w:rPr>
          <w:noProof w:val="0"/>
          <w:sz w:val="24"/>
        </w:rPr>
        <w:t xml:space="preserve">, </w:t>
      </w:r>
      <w:r>
        <w:rPr>
          <w:noProof w:val="0"/>
          <w:sz w:val="24"/>
        </w:rPr>
        <w:t>13</w:t>
      </w:r>
      <w:r w:rsidR="00A70005">
        <w:rPr>
          <w:noProof w:val="0"/>
          <w:sz w:val="24"/>
        </w:rPr>
        <w:t xml:space="preserve"> </w:t>
      </w:r>
      <w:r w:rsidR="008F3F8D" w:rsidRPr="008E491B">
        <w:rPr>
          <w:rFonts w:hint="eastAsia"/>
          <w:noProof w:val="0"/>
          <w:sz w:val="24"/>
        </w:rPr>
        <w:t xml:space="preserve">- </w:t>
      </w:r>
      <w:r w:rsidR="0096609A">
        <w:rPr>
          <w:noProof w:val="0"/>
          <w:sz w:val="24"/>
        </w:rPr>
        <w:t>1</w:t>
      </w:r>
      <w:r>
        <w:rPr>
          <w:noProof w:val="0"/>
          <w:sz w:val="24"/>
        </w:rPr>
        <w:t>7</w:t>
      </w:r>
      <w:r w:rsidR="00A70005">
        <w:rPr>
          <w:noProof w:val="0"/>
          <w:sz w:val="24"/>
        </w:rPr>
        <w:t xml:space="preserve"> </w:t>
      </w:r>
      <w:proofErr w:type="gramStart"/>
      <w:r>
        <w:rPr>
          <w:noProof w:val="0"/>
          <w:sz w:val="24"/>
        </w:rPr>
        <w:t>M</w:t>
      </w:r>
      <w:r w:rsidR="00063BA2">
        <w:rPr>
          <w:noProof w:val="0"/>
          <w:sz w:val="24"/>
        </w:rPr>
        <w:t>a</w:t>
      </w:r>
      <w:r>
        <w:rPr>
          <w:noProof w:val="0"/>
          <w:sz w:val="24"/>
        </w:rPr>
        <w:t>y</w:t>
      </w:r>
      <w:r w:rsidR="00B7698F">
        <w:rPr>
          <w:noProof w:val="0"/>
          <w:sz w:val="24"/>
        </w:rPr>
        <w:t>,</w:t>
      </w:r>
      <w:proofErr w:type="gramEnd"/>
      <w:r w:rsidR="00B7698F">
        <w:rPr>
          <w:noProof w:val="0"/>
          <w:sz w:val="24"/>
        </w:rPr>
        <w:t xml:space="preserve"> 201</w:t>
      </w:r>
      <w:r w:rsidR="00A70005">
        <w:rPr>
          <w:noProof w:val="0"/>
          <w:sz w:val="24"/>
        </w:rPr>
        <w:t>9</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73014793"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9C7CAF">
        <w:rPr>
          <w:rFonts w:cs="Arial"/>
          <w:b/>
          <w:bCs/>
          <w:sz w:val="24"/>
        </w:rPr>
        <w:t>7.13.2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16029F34"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8B3B1D">
        <w:rPr>
          <w:rFonts w:ascii="Arial" w:hAnsi="Arial" w:cs="Arial"/>
          <w:b/>
          <w:bCs/>
          <w:sz w:val="24"/>
        </w:rPr>
        <w:t xml:space="preserve">Considerations on </w:t>
      </w:r>
      <w:r w:rsidR="0031758A">
        <w:rPr>
          <w:rFonts w:ascii="Arial" w:hAnsi="Arial" w:cs="Arial"/>
          <w:b/>
          <w:bCs/>
          <w:sz w:val="24"/>
        </w:rPr>
        <w:t>NB-IoT/NR Co-existence</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30FBA566" w:rsidR="005711AE" w:rsidRPr="008A4B4F" w:rsidRDefault="00BC4D2F" w:rsidP="00171463">
      <w:pPr>
        <w:spacing w:after="0"/>
        <w:rPr>
          <w:bCs/>
        </w:rPr>
      </w:pPr>
      <w:r>
        <w:rPr>
          <w:bCs/>
        </w:rPr>
        <w:t>A WF this the NB-IoT/NR co-existence was agreed in RAN4#90bis [1].</w:t>
      </w:r>
      <w:r w:rsidRPr="00BC4D2F">
        <w:rPr>
          <w:bCs/>
        </w:rPr>
        <w:t xml:space="preserve"> </w:t>
      </w:r>
      <w:r>
        <w:rPr>
          <w:bCs/>
        </w:rPr>
        <w:t xml:space="preserve">This contribution discusses </w:t>
      </w:r>
      <w:r w:rsidR="00B30F18">
        <w:rPr>
          <w:bCs/>
        </w:rPr>
        <w:t xml:space="preserve">definitions of NB-IoT in </w:t>
      </w:r>
      <w:r>
        <w:rPr>
          <w:bCs/>
        </w:rPr>
        <w:t>case when NB-IoT</w:t>
      </w:r>
      <w:r w:rsidR="00CF2940">
        <w:rPr>
          <w:bCs/>
        </w:rPr>
        <w:t xml:space="preserve"> is deployed within NR channel bandwidth.</w:t>
      </w:r>
    </w:p>
    <w:p w14:paraId="22B5C36C" w14:textId="77777777" w:rsidR="00734CBA" w:rsidRPr="006F53CA" w:rsidRDefault="00734CBA" w:rsidP="002C5FA8">
      <w:pPr>
        <w:rPr>
          <w:lang w:val="en-US"/>
        </w:rPr>
      </w:pPr>
    </w:p>
    <w:p w14:paraId="24509F54" w14:textId="317E3775" w:rsidR="00CD4C7B" w:rsidRDefault="0096609A" w:rsidP="00CD4C7B">
      <w:pPr>
        <w:pStyle w:val="Heading1"/>
      </w:pPr>
      <w:r>
        <w:t>2</w:t>
      </w:r>
      <w:r w:rsidR="00961E72">
        <w:tab/>
      </w:r>
      <w:r w:rsidR="00363CED">
        <w:t>Discussion</w:t>
      </w:r>
    </w:p>
    <w:p w14:paraId="68A6F6D4" w14:textId="36BA4274" w:rsidR="00CF2940" w:rsidRPr="00CF2940" w:rsidRDefault="00CF2940" w:rsidP="00CF2940">
      <w:pPr>
        <w:rPr>
          <w:lang w:val="en-US" w:eastAsia="zh-CN"/>
        </w:rPr>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r w:rsidRPr="00CF2940">
        <w:rPr>
          <w:lang w:val="en-US" w:eastAsia="zh-CN"/>
        </w:rPr>
        <w:t>According to agreements in [1]:</w:t>
      </w:r>
    </w:p>
    <w:p w14:paraId="2E304C1F" w14:textId="77777777" w:rsidR="00CF2940" w:rsidRPr="00CF2940" w:rsidRDefault="00CF2940" w:rsidP="00CF2940">
      <w:pPr>
        <w:numPr>
          <w:ilvl w:val="0"/>
          <w:numId w:val="7"/>
        </w:numPr>
        <w:rPr>
          <w:bCs/>
          <w:lang w:val="fi-FI" w:eastAsia="zh-CN"/>
        </w:rPr>
      </w:pPr>
      <w:r w:rsidRPr="00CF2940">
        <w:rPr>
          <w:bCs/>
          <w:lang w:eastAsia="zh-CN"/>
        </w:rPr>
        <w:t>WF on system scenarios</w:t>
      </w:r>
    </w:p>
    <w:p w14:paraId="0DE51290" w14:textId="77777777" w:rsidR="00CF2940" w:rsidRPr="00CF2940" w:rsidRDefault="00CF2940" w:rsidP="00CF2940">
      <w:pPr>
        <w:numPr>
          <w:ilvl w:val="1"/>
          <w:numId w:val="7"/>
        </w:numPr>
        <w:rPr>
          <w:bCs/>
          <w:lang w:val="en-US" w:eastAsia="zh-CN"/>
        </w:rPr>
      </w:pPr>
      <w:r w:rsidRPr="00CF2940">
        <w:rPr>
          <w:bCs/>
          <w:lang w:eastAsia="zh-CN"/>
        </w:rPr>
        <w:t xml:space="preserve">To clarify </w:t>
      </w:r>
      <w:r w:rsidRPr="00CF2940">
        <w:rPr>
          <w:bCs/>
          <w:lang w:val="sv-SE" w:eastAsia="zh-CN"/>
        </w:rPr>
        <w:t xml:space="preserve">the </w:t>
      </w:r>
      <w:proofErr w:type="spellStart"/>
      <w:r w:rsidRPr="00CF2940">
        <w:rPr>
          <w:bCs/>
          <w:lang w:val="sv-SE" w:eastAsia="zh-CN"/>
        </w:rPr>
        <w:t>current</w:t>
      </w:r>
      <w:proofErr w:type="spellEnd"/>
      <w:r w:rsidRPr="00CF2940">
        <w:rPr>
          <w:bCs/>
          <w:lang w:val="sv-SE" w:eastAsia="zh-CN"/>
        </w:rPr>
        <w:t xml:space="preserve"> definition </w:t>
      </w:r>
      <w:proofErr w:type="spellStart"/>
      <w:r w:rsidRPr="00CF2940">
        <w:rPr>
          <w:bCs/>
          <w:lang w:val="sv-SE" w:eastAsia="zh-CN"/>
        </w:rPr>
        <w:t>of</w:t>
      </w:r>
      <w:proofErr w:type="spellEnd"/>
      <w:r w:rsidRPr="00CF2940">
        <w:rPr>
          <w:bCs/>
          <w:lang w:val="sv-SE" w:eastAsia="zh-CN"/>
        </w:rPr>
        <w:t xml:space="preserve"> NB-</w:t>
      </w:r>
      <w:proofErr w:type="spellStart"/>
      <w:r w:rsidRPr="00CF2940">
        <w:rPr>
          <w:bCs/>
          <w:lang w:val="sv-SE" w:eastAsia="zh-CN"/>
        </w:rPr>
        <w:t>IoT</w:t>
      </w:r>
      <w:proofErr w:type="spellEnd"/>
      <w:r w:rsidRPr="00CF2940">
        <w:rPr>
          <w:bCs/>
          <w:lang w:val="sv-SE" w:eastAsia="zh-CN"/>
        </w:rPr>
        <w:t xml:space="preserve"> operation modes </w:t>
      </w:r>
      <w:proofErr w:type="spellStart"/>
      <w:r w:rsidRPr="00CF2940">
        <w:rPr>
          <w:bCs/>
          <w:lang w:val="sv-SE" w:eastAsia="zh-CN"/>
        </w:rPr>
        <w:t>when</w:t>
      </w:r>
      <w:proofErr w:type="spellEnd"/>
      <w:r w:rsidRPr="00CF2940">
        <w:rPr>
          <w:bCs/>
          <w:lang w:val="sv-SE" w:eastAsia="zh-CN"/>
        </w:rPr>
        <w:t xml:space="preserve"> NB-</w:t>
      </w:r>
      <w:proofErr w:type="spellStart"/>
      <w:r w:rsidRPr="00CF2940">
        <w:rPr>
          <w:bCs/>
          <w:lang w:val="sv-SE" w:eastAsia="zh-CN"/>
        </w:rPr>
        <w:t>IoT</w:t>
      </w:r>
      <w:proofErr w:type="spellEnd"/>
      <w:r w:rsidRPr="00CF2940">
        <w:rPr>
          <w:bCs/>
          <w:lang w:val="sv-SE" w:eastAsia="zh-CN"/>
        </w:rPr>
        <w:t xml:space="preserve"> is </w:t>
      </w:r>
      <w:proofErr w:type="spellStart"/>
      <w:r w:rsidRPr="00CF2940">
        <w:rPr>
          <w:bCs/>
          <w:lang w:val="sv-SE" w:eastAsia="zh-CN"/>
        </w:rPr>
        <w:t>deployed</w:t>
      </w:r>
      <w:proofErr w:type="spellEnd"/>
      <w:r w:rsidRPr="00CF2940">
        <w:rPr>
          <w:bCs/>
          <w:lang w:val="sv-SE" w:eastAsia="zh-CN"/>
        </w:rPr>
        <w:t> </w:t>
      </w:r>
      <w:proofErr w:type="spellStart"/>
      <w:r w:rsidRPr="00CF2940">
        <w:rPr>
          <w:bCs/>
          <w:lang w:val="sv-SE" w:eastAsia="zh-CN"/>
        </w:rPr>
        <w:t>within</w:t>
      </w:r>
      <w:proofErr w:type="spellEnd"/>
      <w:r w:rsidRPr="00CF2940">
        <w:rPr>
          <w:bCs/>
          <w:lang w:val="sv-SE" w:eastAsia="zh-CN"/>
        </w:rPr>
        <w:t> </w:t>
      </w:r>
      <w:proofErr w:type="gramStart"/>
      <w:r w:rsidRPr="00CF2940">
        <w:rPr>
          <w:bCs/>
          <w:lang w:val="sv-SE" w:eastAsia="zh-CN"/>
        </w:rPr>
        <w:t>NR  </w:t>
      </w:r>
      <w:proofErr w:type="spellStart"/>
      <w:r w:rsidRPr="00CF2940">
        <w:rPr>
          <w:bCs/>
          <w:lang w:val="sv-SE" w:eastAsia="zh-CN"/>
        </w:rPr>
        <w:t>channel</w:t>
      </w:r>
      <w:proofErr w:type="spellEnd"/>
      <w:proofErr w:type="gramEnd"/>
      <w:r w:rsidRPr="00CF2940">
        <w:rPr>
          <w:bCs/>
          <w:lang w:val="sv-SE" w:eastAsia="zh-CN"/>
        </w:rPr>
        <w:t xml:space="preserve"> </w:t>
      </w:r>
      <w:proofErr w:type="spellStart"/>
      <w:r w:rsidRPr="00CF2940">
        <w:rPr>
          <w:bCs/>
          <w:lang w:val="sv-SE" w:eastAsia="zh-CN"/>
        </w:rPr>
        <w:t>bandwidth</w:t>
      </w:r>
      <w:proofErr w:type="spellEnd"/>
      <w:r w:rsidRPr="00CF2940">
        <w:rPr>
          <w:bCs/>
          <w:lang w:val="sv-SE" w:eastAsia="zh-CN"/>
        </w:rPr>
        <w:t xml:space="preserve">, </w:t>
      </w:r>
      <w:proofErr w:type="spellStart"/>
      <w:r w:rsidRPr="00CF2940">
        <w:rPr>
          <w:bCs/>
          <w:lang w:val="sv-SE" w:eastAsia="zh-CN"/>
        </w:rPr>
        <w:t>including</w:t>
      </w:r>
      <w:proofErr w:type="spellEnd"/>
      <w:r w:rsidRPr="00CF2940">
        <w:rPr>
          <w:bCs/>
          <w:lang w:val="sv-SE" w:eastAsia="zh-CN"/>
        </w:rPr>
        <w:t xml:space="preserve"> </w:t>
      </w:r>
      <w:proofErr w:type="spellStart"/>
      <w:r w:rsidRPr="00CF2940">
        <w:rPr>
          <w:bCs/>
          <w:lang w:val="sv-SE" w:eastAsia="zh-CN"/>
        </w:rPr>
        <w:t>when</w:t>
      </w:r>
      <w:proofErr w:type="spellEnd"/>
      <w:r w:rsidRPr="00CF2940">
        <w:rPr>
          <w:bCs/>
          <w:lang w:val="sv-SE" w:eastAsia="zh-CN"/>
        </w:rPr>
        <w:t xml:space="preserve"> </w:t>
      </w:r>
      <w:r w:rsidRPr="00CF2940">
        <w:rPr>
          <w:bCs/>
          <w:lang w:eastAsia="zh-CN"/>
        </w:rPr>
        <w:t xml:space="preserve">spectrum is </w:t>
      </w:r>
      <w:proofErr w:type="spellStart"/>
      <w:r w:rsidRPr="00CF2940">
        <w:rPr>
          <w:bCs/>
          <w:lang w:eastAsia="zh-CN"/>
        </w:rPr>
        <w:t>refarmed</w:t>
      </w:r>
      <w:proofErr w:type="spellEnd"/>
      <w:r w:rsidRPr="00CF2940">
        <w:rPr>
          <w:bCs/>
          <w:lang w:eastAsia="zh-CN"/>
        </w:rPr>
        <w:t xml:space="preserve"> from E-UTRA to NR</w:t>
      </w:r>
    </w:p>
    <w:p w14:paraId="2805D4DD" w14:textId="77777777" w:rsidR="00CF2940" w:rsidRPr="00CF2940" w:rsidRDefault="00CF2940" w:rsidP="00CF2940">
      <w:pPr>
        <w:numPr>
          <w:ilvl w:val="3"/>
          <w:numId w:val="7"/>
        </w:numPr>
        <w:rPr>
          <w:bCs/>
          <w:lang w:val="en-US" w:eastAsia="zh-CN"/>
        </w:rPr>
      </w:pPr>
      <w:r w:rsidRPr="00CF2940">
        <w:rPr>
          <w:bCs/>
          <w:lang w:eastAsia="zh-CN"/>
        </w:rPr>
        <w:t>whether NB-IoT in-band or guard band operation without a hosting E-UTRA carrier would have backward compatibility impact on Rel’13/14/15 NB-IoT UE, which may expect the presence of a hosting E-UTRA carrier, especially for NB-IoT in-band operation</w:t>
      </w:r>
    </w:p>
    <w:p w14:paraId="02C3DEC2" w14:textId="77777777" w:rsidR="00CF2940" w:rsidRPr="00CF2940" w:rsidRDefault="00CF2940" w:rsidP="00CF2940">
      <w:pPr>
        <w:numPr>
          <w:ilvl w:val="0"/>
          <w:numId w:val="7"/>
        </w:numPr>
        <w:rPr>
          <w:bCs/>
          <w:lang w:val="en-US" w:eastAsia="zh-CN"/>
        </w:rPr>
      </w:pPr>
      <w:r w:rsidRPr="00CF2940">
        <w:rPr>
          <w:bCs/>
          <w:lang w:val="en-US" w:eastAsia="zh-CN"/>
        </w:rPr>
        <w:t xml:space="preserve">Agreement on </w:t>
      </w:r>
      <w:r w:rsidRPr="00CF2940">
        <w:rPr>
          <w:bCs/>
          <w:lang w:eastAsia="zh-CN"/>
        </w:rPr>
        <w:t>NB-IoT standalone operating</w:t>
      </w:r>
    </w:p>
    <w:p w14:paraId="2F455BFE" w14:textId="77777777" w:rsidR="00CF2940" w:rsidRPr="00CF2940" w:rsidRDefault="00CF2940" w:rsidP="00CF2940">
      <w:pPr>
        <w:numPr>
          <w:ilvl w:val="1"/>
          <w:numId w:val="7"/>
        </w:numPr>
        <w:rPr>
          <w:bCs/>
          <w:lang w:val="en-US" w:eastAsia="zh-CN"/>
        </w:rPr>
      </w:pPr>
      <w:r w:rsidRPr="00CF2940">
        <w:rPr>
          <w:bCs/>
          <w:lang w:eastAsia="zh-CN"/>
        </w:rPr>
        <w:t>There is no issue for NB-IoT standalone coexistence with NR and no further study is needed.</w:t>
      </w:r>
    </w:p>
    <w:p w14:paraId="12E6FCDD" w14:textId="77777777" w:rsidR="00CF2940" w:rsidRPr="00CF2940" w:rsidRDefault="00CF2940" w:rsidP="00CF2940">
      <w:pPr>
        <w:numPr>
          <w:ilvl w:val="1"/>
          <w:numId w:val="7"/>
        </w:numPr>
        <w:rPr>
          <w:bCs/>
          <w:lang w:val="en-US" w:eastAsia="zh-CN"/>
        </w:rPr>
      </w:pPr>
      <w:r w:rsidRPr="00CF2940">
        <w:rPr>
          <w:bCs/>
          <w:lang w:eastAsia="zh-CN"/>
        </w:rPr>
        <w:t>simulation results will be added in TR annex</w:t>
      </w:r>
    </w:p>
    <w:p w14:paraId="427F6FBE" w14:textId="77777777" w:rsidR="00CF2940" w:rsidRPr="00CF2940" w:rsidRDefault="00CF2940" w:rsidP="00CF2940">
      <w:pPr>
        <w:numPr>
          <w:ilvl w:val="1"/>
          <w:numId w:val="7"/>
        </w:numPr>
        <w:rPr>
          <w:bCs/>
          <w:lang w:val="en-US" w:eastAsia="zh-CN"/>
        </w:rPr>
      </w:pPr>
      <w:r w:rsidRPr="00CF2940">
        <w:rPr>
          <w:bCs/>
          <w:lang w:val="en-US" w:eastAsia="zh-CN"/>
        </w:rPr>
        <w:t>Nokia/Huawei will provide TP in next meeting</w:t>
      </w:r>
    </w:p>
    <w:p w14:paraId="2DEEB47A" w14:textId="77777777" w:rsidR="00CF2940" w:rsidRPr="00CF2940" w:rsidRDefault="00CF2940" w:rsidP="00CF2940">
      <w:pPr>
        <w:numPr>
          <w:ilvl w:val="0"/>
          <w:numId w:val="7"/>
        </w:numPr>
        <w:rPr>
          <w:bCs/>
          <w:lang w:val="fi-FI" w:eastAsia="zh-CN"/>
        </w:rPr>
      </w:pPr>
      <w:r w:rsidRPr="00CF2940">
        <w:rPr>
          <w:bCs/>
          <w:lang w:eastAsia="zh-CN"/>
        </w:rPr>
        <w:t>WF on power boosting</w:t>
      </w:r>
    </w:p>
    <w:p w14:paraId="398E67BD" w14:textId="77777777" w:rsidR="00CF2940" w:rsidRPr="00CF2940" w:rsidRDefault="00CF2940" w:rsidP="00CF2940">
      <w:pPr>
        <w:numPr>
          <w:ilvl w:val="1"/>
          <w:numId w:val="7"/>
        </w:numPr>
        <w:rPr>
          <w:bCs/>
          <w:lang w:val="en-US" w:eastAsia="zh-CN"/>
        </w:rPr>
      </w:pPr>
      <w:r w:rsidRPr="00CF2940">
        <w:rPr>
          <w:bCs/>
          <w:lang w:eastAsia="zh-CN"/>
        </w:rPr>
        <w:t>Further investigate if currently specified power boosting could be supported, including when NB-IoT is located at NR edge positions for any channel bandwidth</w:t>
      </w:r>
      <w:r w:rsidRPr="00CF2940">
        <w:rPr>
          <w:bCs/>
          <w:lang w:val="en-US" w:eastAsia="zh-CN"/>
        </w:rPr>
        <w:t>.</w:t>
      </w:r>
    </w:p>
    <w:p w14:paraId="272E9913" w14:textId="77777777" w:rsidR="00CF2940" w:rsidRPr="00CF2940" w:rsidRDefault="00CF2940" w:rsidP="00CF2940">
      <w:pPr>
        <w:numPr>
          <w:ilvl w:val="1"/>
          <w:numId w:val="7"/>
        </w:numPr>
        <w:rPr>
          <w:bCs/>
          <w:lang w:val="en-US" w:eastAsia="zh-CN"/>
        </w:rPr>
      </w:pPr>
      <w:r w:rsidRPr="00CF2940">
        <w:rPr>
          <w:bCs/>
          <w:lang w:eastAsia="zh-CN"/>
        </w:rPr>
        <w:t>At least 3dB (currently specified RE power dynamic range) power boosting should be feasible.</w:t>
      </w:r>
    </w:p>
    <w:p w14:paraId="41B33875" w14:textId="77777777" w:rsidR="00CF2940" w:rsidRPr="00CF2940" w:rsidRDefault="00CF2940" w:rsidP="00CF2940">
      <w:pPr>
        <w:numPr>
          <w:ilvl w:val="0"/>
          <w:numId w:val="7"/>
        </w:numPr>
        <w:rPr>
          <w:bCs/>
          <w:lang w:val="fi-FI" w:eastAsia="zh-CN"/>
        </w:rPr>
      </w:pPr>
      <w:r w:rsidRPr="00CF2940">
        <w:rPr>
          <w:bCs/>
          <w:lang w:val="en-US" w:eastAsia="zh-CN"/>
        </w:rPr>
        <w:t>Agreement on channel raster</w:t>
      </w:r>
    </w:p>
    <w:p w14:paraId="1389B015" w14:textId="77777777" w:rsidR="00CF2940" w:rsidRPr="00CF2940" w:rsidRDefault="00CF2940" w:rsidP="00CF2940">
      <w:pPr>
        <w:numPr>
          <w:ilvl w:val="1"/>
          <w:numId w:val="7"/>
        </w:numPr>
        <w:rPr>
          <w:bCs/>
          <w:lang w:val="en-US" w:eastAsia="zh-CN"/>
        </w:rPr>
      </w:pPr>
      <w:r w:rsidRPr="00CF2940">
        <w:rPr>
          <w:bCs/>
          <w:lang w:eastAsia="zh-CN"/>
        </w:rPr>
        <w:t>for NR bands with 100 kHz channel raster and 15 kHz SCS, subcarrier and PRB alignment can be achieved for NB-IoT operating in NR in-band.</w:t>
      </w:r>
    </w:p>
    <w:p w14:paraId="2434C55C" w14:textId="77777777" w:rsidR="00CF2940" w:rsidRPr="00CF2940" w:rsidRDefault="00CF2940" w:rsidP="00CF2940">
      <w:pPr>
        <w:numPr>
          <w:ilvl w:val="1"/>
          <w:numId w:val="7"/>
        </w:numPr>
        <w:rPr>
          <w:bCs/>
          <w:lang w:val="en-US" w:eastAsia="zh-CN"/>
        </w:rPr>
      </w:pPr>
      <w:r w:rsidRPr="00CF2940">
        <w:rPr>
          <w:bCs/>
          <w:lang w:eastAsia="zh-CN"/>
        </w:rPr>
        <w:t>for NR bands with 15 kHz channel raster and 15 kHz SCS, subcarrier and PRB alignment can be achieved for NB-IoT operating in NR in-band.</w:t>
      </w:r>
    </w:p>
    <w:p w14:paraId="178428F3" w14:textId="77777777" w:rsidR="00CF2940" w:rsidRPr="00CF2940" w:rsidRDefault="00CF2940" w:rsidP="00CF2940">
      <w:pPr>
        <w:numPr>
          <w:ilvl w:val="1"/>
          <w:numId w:val="7"/>
        </w:numPr>
        <w:rPr>
          <w:bCs/>
          <w:lang w:val="en-US" w:eastAsia="zh-CN"/>
        </w:rPr>
      </w:pPr>
      <w:r w:rsidRPr="00CF2940">
        <w:rPr>
          <w:bCs/>
          <w:lang w:val="en-US" w:eastAsia="zh-CN"/>
        </w:rPr>
        <w:t>Ericsson/ZTE will provide TP in next meeting</w:t>
      </w:r>
    </w:p>
    <w:p w14:paraId="4423B38A" w14:textId="77777777" w:rsidR="00CF2940" w:rsidRPr="00CF2940" w:rsidRDefault="00CF2940" w:rsidP="00CF2940">
      <w:pPr>
        <w:numPr>
          <w:ilvl w:val="0"/>
          <w:numId w:val="7"/>
        </w:numPr>
        <w:rPr>
          <w:bCs/>
          <w:lang w:val="fi-FI" w:eastAsia="zh-CN"/>
        </w:rPr>
      </w:pPr>
      <w:r w:rsidRPr="00CF2940">
        <w:rPr>
          <w:bCs/>
          <w:lang w:val="en-US" w:eastAsia="zh-CN"/>
        </w:rPr>
        <w:t>Agreement</w:t>
      </w:r>
      <w:r w:rsidRPr="00CF2940">
        <w:rPr>
          <w:bCs/>
          <w:lang w:eastAsia="zh-CN"/>
        </w:rPr>
        <w:t xml:space="preserve"> on </w:t>
      </w:r>
      <w:r w:rsidRPr="00CF2940">
        <w:rPr>
          <w:bCs/>
          <w:lang w:val="en-US" w:eastAsia="zh-CN"/>
        </w:rPr>
        <w:t>mixed numerology</w:t>
      </w:r>
    </w:p>
    <w:p w14:paraId="28AB96FE" w14:textId="77777777" w:rsidR="00CF2940" w:rsidRPr="00CF2940" w:rsidRDefault="00CF2940" w:rsidP="00CF2940">
      <w:pPr>
        <w:numPr>
          <w:ilvl w:val="1"/>
          <w:numId w:val="7"/>
        </w:numPr>
        <w:rPr>
          <w:bCs/>
          <w:lang w:val="en-US" w:eastAsia="zh-CN"/>
        </w:rPr>
      </w:pPr>
      <w:r w:rsidRPr="00CF2940">
        <w:rPr>
          <w:bCs/>
          <w:lang w:val="en-US" w:eastAsia="zh-CN"/>
        </w:rPr>
        <w:t>no requirement is defined for mixed numerology between NR and NB-IoT similar as NR mixed numerology itself.</w:t>
      </w:r>
    </w:p>
    <w:p w14:paraId="59CC4A4A" w14:textId="77777777" w:rsidR="00CF2940" w:rsidRPr="00CF2940" w:rsidRDefault="00CF2940" w:rsidP="00CF2940">
      <w:pPr>
        <w:numPr>
          <w:ilvl w:val="1"/>
          <w:numId w:val="7"/>
        </w:numPr>
        <w:rPr>
          <w:bCs/>
          <w:lang w:val="en-US" w:eastAsia="zh-CN"/>
        </w:rPr>
      </w:pPr>
      <w:r w:rsidRPr="00CF2940">
        <w:rPr>
          <w:bCs/>
          <w:lang w:eastAsia="zh-CN"/>
        </w:rPr>
        <w:lastRenderedPageBreak/>
        <w:t xml:space="preserve">ZTE </w:t>
      </w:r>
      <w:r w:rsidRPr="00CF2940">
        <w:rPr>
          <w:bCs/>
          <w:lang w:val="en-US" w:eastAsia="zh-CN"/>
        </w:rPr>
        <w:t>will provide TP in next meeting</w:t>
      </w:r>
    </w:p>
    <w:p w14:paraId="0D4AE5AF" w14:textId="77777777" w:rsidR="00CF2940" w:rsidRPr="00CF2940" w:rsidRDefault="00CF2940" w:rsidP="00CF2940">
      <w:pPr>
        <w:numPr>
          <w:ilvl w:val="0"/>
          <w:numId w:val="7"/>
        </w:numPr>
        <w:rPr>
          <w:bCs/>
          <w:lang w:val="fi-FI" w:eastAsia="zh-CN"/>
        </w:rPr>
      </w:pPr>
      <w:r w:rsidRPr="00CF2940">
        <w:rPr>
          <w:bCs/>
          <w:lang w:val="en-US" w:eastAsia="zh-CN"/>
        </w:rPr>
        <w:t>Agreement</w:t>
      </w:r>
      <w:r w:rsidRPr="00CF2940">
        <w:rPr>
          <w:bCs/>
          <w:lang w:eastAsia="zh-CN"/>
        </w:rPr>
        <w:t xml:space="preserve"> on bands</w:t>
      </w:r>
    </w:p>
    <w:p w14:paraId="0D5A142A" w14:textId="77777777" w:rsidR="00CF2940" w:rsidRPr="00CF2940" w:rsidRDefault="00CF2940" w:rsidP="00CF2940">
      <w:pPr>
        <w:numPr>
          <w:ilvl w:val="1"/>
          <w:numId w:val="7"/>
        </w:numPr>
        <w:rPr>
          <w:bCs/>
          <w:lang w:val="en-US" w:eastAsia="zh-CN"/>
        </w:rPr>
      </w:pPr>
      <w:r w:rsidRPr="00CF2940">
        <w:rPr>
          <w:bCs/>
          <w:lang w:val="sv-SE" w:eastAsia="zh-CN"/>
        </w:rPr>
        <w:t>NB-</w:t>
      </w:r>
      <w:proofErr w:type="spellStart"/>
      <w:r w:rsidRPr="00CF2940">
        <w:rPr>
          <w:bCs/>
          <w:lang w:val="sv-SE" w:eastAsia="zh-CN"/>
        </w:rPr>
        <w:t>IoT</w:t>
      </w:r>
      <w:proofErr w:type="spellEnd"/>
      <w:r w:rsidRPr="00CF2940">
        <w:rPr>
          <w:bCs/>
          <w:lang w:val="sv-SE" w:eastAsia="zh-CN"/>
        </w:rPr>
        <w:t xml:space="preserve"> </w:t>
      </w:r>
      <w:proofErr w:type="spellStart"/>
      <w:r w:rsidRPr="00CF2940">
        <w:rPr>
          <w:bCs/>
          <w:lang w:val="sv-SE" w:eastAsia="zh-CN"/>
        </w:rPr>
        <w:t>shall</w:t>
      </w:r>
      <w:proofErr w:type="spellEnd"/>
      <w:r w:rsidRPr="00CF2940">
        <w:rPr>
          <w:bCs/>
          <w:lang w:val="sv-SE" w:eastAsia="zh-CN"/>
        </w:rPr>
        <w:t xml:space="preserve"> be </w:t>
      </w:r>
      <w:proofErr w:type="spellStart"/>
      <w:r w:rsidRPr="00CF2940">
        <w:rPr>
          <w:bCs/>
          <w:lang w:val="sv-SE" w:eastAsia="zh-CN"/>
        </w:rPr>
        <w:t>supported</w:t>
      </w:r>
      <w:proofErr w:type="spellEnd"/>
      <w:r w:rsidRPr="00CF2940">
        <w:rPr>
          <w:bCs/>
          <w:lang w:val="sv-SE" w:eastAsia="zh-CN"/>
        </w:rPr>
        <w:t xml:space="preserve"> on all NR bands </w:t>
      </w:r>
      <w:proofErr w:type="spellStart"/>
      <w:r w:rsidRPr="00CF2940">
        <w:rPr>
          <w:bCs/>
          <w:lang w:val="sv-SE" w:eastAsia="zh-CN"/>
        </w:rPr>
        <w:t>refarmed</w:t>
      </w:r>
      <w:proofErr w:type="spellEnd"/>
      <w:r w:rsidRPr="00CF2940">
        <w:rPr>
          <w:bCs/>
          <w:lang w:val="sv-SE" w:eastAsia="zh-CN"/>
        </w:rPr>
        <w:t xml:space="preserve"> from E-UTRA bands </w:t>
      </w:r>
      <w:proofErr w:type="spellStart"/>
      <w:r w:rsidRPr="00CF2940">
        <w:rPr>
          <w:bCs/>
          <w:lang w:val="sv-SE" w:eastAsia="zh-CN"/>
        </w:rPr>
        <w:t>supporting</w:t>
      </w:r>
      <w:proofErr w:type="spellEnd"/>
      <w:r w:rsidRPr="00CF2940">
        <w:rPr>
          <w:bCs/>
          <w:lang w:val="sv-SE" w:eastAsia="zh-CN"/>
        </w:rPr>
        <w:t xml:space="preserve"> NB-</w:t>
      </w:r>
      <w:proofErr w:type="spellStart"/>
      <w:r w:rsidRPr="00CF2940">
        <w:rPr>
          <w:bCs/>
          <w:lang w:val="sv-SE" w:eastAsia="zh-CN"/>
        </w:rPr>
        <w:t>IoT</w:t>
      </w:r>
      <w:proofErr w:type="spellEnd"/>
      <w:r w:rsidRPr="00CF2940">
        <w:rPr>
          <w:bCs/>
          <w:lang w:val="sv-SE" w:eastAsia="zh-CN"/>
        </w:rPr>
        <w:t>.</w:t>
      </w:r>
    </w:p>
    <w:p w14:paraId="78A7C89A" w14:textId="2A6E1DC8" w:rsidR="0031758A" w:rsidRDefault="00821268" w:rsidP="0031758A">
      <w:pPr>
        <w:rPr>
          <w:lang w:val="en-US" w:eastAsia="zh-CN"/>
        </w:rPr>
      </w:pPr>
      <w:r>
        <w:rPr>
          <w:lang w:val="en-US" w:eastAsia="zh-CN"/>
        </w:rPr>
        <w:t>FFS topics are:</w:t>
      </w:r>
    </w:p>
    <w:p w14:paraId="47120C8C" w14:textId="77777777" w:rsidR="00821268" w:rsidRPr="00821268" w:rsidRDefault="00821268" w:rsidP="00821268">
      <w:pPr>
        <w:numPr>
          <w:ilvl w:val="0"/>
          <w:numId w:val="8"/>
        </w:numPr>
        <w:rPr>
          <w:lang w:val="en-US" w:eastAsia="zh-CN"/>
        </w:rPr>
      </w:pPr>
      <w:r w:rsidRPr="00821268">
        <w:rPr>
          <w:lang w:eastAsia="zh-CN"/>
        </w:rPr>
        <w:t>NB-IoT operating in NR guard band</w:t>
      </w:r>
    </w:p>
    <w:p w14:paraId="1A7843BC" w14:textId="77777777" w:rsidR="00821268" w:rsidRPr="00821268" w:rsidRDefault="00821268" w:rsidP="00821268">
      <w:pPr>
        <w:numPr>
          <w:ilvl w:val="0"/>
          <w:numId w:val="8"/>
        </w:numPr>
        <w:rPr>
          <w:lang w:val="fi-FI" w:eastAsia="zh-CN"/>
        </w:rPr>
      </w:pPr>
      <w:r w:rsidRPr="00821268">
        <w:rPr>
          <w:lang w:val="en-US" w:eastAsia="zh-CN"/>
        </w:rPr>
        <w:t>TAGs misalignment</w:t>
      </w:r>
    </w:p>
    <w:p w14:paraId="12CB33DA" w14:textId="77777777" w:rsidR="00821268" w:rsidRPr="00821268" w:rsidRDefault="00821268" w:rsidP="00821268">
      <w:pPr>
        <w:numPr>
          <w:ilvl w:val="0"/>
          <w:numId w:val="8"/>
        </w:numPr>
        <w:rPr>
          <w:lang w:val="en-US" w:eastAsia="zh-CN"/>
        </w:rPr>
      </w:pPr>
      <w:r w:rsidRPr="00821268">
        <w:rPr>
          <w:lang w:val="en-US" w:eastAsia="zh-CN"/>
        </w:rPr>
        <w:t>TDD configuration for sync between NR and NB-IoT</w:t>
      </w:r>
    </w:p>
    <w:p w14:paraId="189100A6" w14:textId="77777777" w:rsidR="00821268" w:rsidRPr="00821268" w:rsidRDefault="00821268" w:rsidP="00821268">
      <w:pPr>
        <w:numPr>
          <w:ilvl w:val="0"/>
          <w:numId w:val="8"/>
        </w:numPr>
        <w:rPr>
          <w:lang w:val="fi-FI" w:eastAsia="zh-CN"/>
        </w:rPr>
      </w:pPr>
      <w:r w:rsidRPr="00821268">
        <w:rPr>
          <w:lang w:val="en-US" w:eastAsia="zh-CN"/>
        </w:rPr>
        <w:t xml:space="preserve">Specification and </w:t>
      </w:r>
      <w:r w:rsidRPr="00821268">
        <w:rPr>
          <w:lang w:eastAsia="zh-CN"/>
        </w:rPr>
        <w:t xml:space="preserve">conformance </w:t>
      </w:r>
      <w:r w:rsidRPr="00821268">
        <w:rPr>
          <w:lang w:val="en-US" w:eastAsia="zh-CN"/>
        </w:rPr>
        <w:t>impact</w:t>
      </w:r>
    </w:p>
    <w:p w14:paraId="5D7941DE" w14:textId="77777777" w:rsidR="00821268" w:rsidRDefault="00821268" w:rsidP="0031758A">
      <w:pPr>
        <w:rPr>
          <w:lang w:val="en-US" w:eastAsia="zh-CN"/>
        </w:rPr>
      </w:pPr>
    </w:p>
    <w:p w14:paraId="7C1213A3" w14:textId="14C30FA1" w:rsidR="00D85E53" w:rsidRDefault="00717F55" w:rsidP="0031758A">
      <w:pPr>
        <w:rPr>
          <w:lang w:val="en-US" w:eastAsia="zh-CN"/>
        </w:rPr>
      </w:pPr>
      <w:r>
        <w:rPr>
          <w:lang w:val="en-US" w:eastAsia="zh-CN"/>
        </w:rPr>
        <w:t>W</w:t>
      </w:r>
      <w:r w:rsidR="00444BF0">
        <w:rPr>
          <w:lang w:val="en-US" w:eastAsia="zh-CN"/>
        </w:rPr>
        <w:t>e consider current definition</w:t>
      </w:r>
      <w:r>
        <w:rPr>
          <w:lang w:val="en-US" w:eastAsia="zh-CN"/>
        </w:rPr>
        <w:t>s</w:t>
      </w:r>
      <w:r w:rsidR="00444BF0">
        <w:rPr>
          <w:lang w:val="en-US" w:eastAsia="zh-CN"/>
        </w:rPr>
        <w:t xml:space="preserve"> of NB IoT operating modes. </w:t>
      </w:r>
    </w:p>
    <w:p w14:paraId="73A267FA" w14:textId="62C6C07E" w:rsidR="0041322C" w:rsidRDefault="0041322C" w:rsidP="0031758A">
      <w:pPr>
        <w:rPr>
          <w:lang w:val="en-US" w:eastAsia="zh-CN"/>
        </w:rPr>
      </w:pPr>
      <w:r>
        <w:rPr>
          <w:lang w:val="en-US" w:eastAsia="zh-CN"/>
        </w:rPr>
        <w:t xml:space="preserve">NB-IoT is originally </w:t>
      </w:r>
      <w:r w:rsidR="00D85E53">
        <w:rPr>
          <w:lang w:val="en-US" w:eastAsia="zh-CN"/>
        </w:rPr>
        <w:t>defined</w:t>
      </w:r>
      <w:r>
        <w:rPr>
          <w:lang w:val="en-US" w:eastAsia="zh-CN"/>
        </w:rPr>
        <w:t xml:space="preserve"> in TS 36</w:t>
      </w:r>
      <w:r w:rsidR="000116C8">
        <w:rPr>
          <w:lang w:val="en-US" w:eastAsia="zh-CN"/>
        </w:rPr>
        <w:t>.101</w:t>
      </w:r>
      <w:r w:rsidR="00D85E53">
        <w:rPr>
          <w:lang w:val="en-US" w:eastAsia="zh-CN"/>
        </w:rPr>
        <w:t xml:space="preserve"> as follows</w:t>
      </w:r>
      <w:r w:rsidR="000116C8">
        <w:rPr>
          <w:lang w:val="en-US" w:eastAsia="zh-CN"/>
        </w:rPr>
        <w:t>:</w:t>
      </w:r>
    </w:p>
    <w:p w14:paraId="7DD37CE2" w14:textId="77777777" w:rsidR="00D85E53" w:rsidRPr="00E76EB6" w:rsidRDefault="00D85E53" w:rsidP="00D85E53">
      <w:r w:rsidRPr="00E76EB6">
        <w:rPr>
          <w:b/>
        </w:rPr>
        <w:t>Category NB1</w:t>
      </w:r>
      <w:r w:rsidRPr="00E76EB6">
        <w:rPr>
          <w:rFonts w:hint="eastAsia"/>
          <w:b/>
          <w:lang w:eastAsia="zh-CN"/>
        </w:rPr>
        <w:t>/</w:t>
      </w:r>
      <w:r w:rsidRPr="00E76EB6">
        <w:rPr>
          <w:b/>
        </w:rPr>
        <w:t>NB2</w:t>
      </w:r>
      <w:r w:rsidRPr="00E76EB6">
        <w:rPr>
          <w:rFonts w:eastAsia="Malgun Gothic" w:hint="eastAsia"/>
          <w:b/>
        </w:rPr>
        <w:t xml:space="preserve"> </w:t>
      </w:r>
      <w:r w:rsidRPr="00E76EB6">
        <w:rPr>
          <w:b/>
        </w:rPr>
        <w:t>stand-alone operation</w:t>
      </w:r>
      <w:r w:rsidRPr="00E76EB6">
        <w:t>: category NB1</w:t>
      </w:r>
      <w:r w:rsidRPr="00E76EB6">
        <w:rPr>
          <w:rFonts w:hint="eastAsia"/>
          <w:lang w:eastAsia="zh-CN"/>
        </w:rPr>
        <w:t>/</w:t>
      </w:r>
      <w:r w:rsidRPr="00E76EB6">
        <w:t>NB2 is operating standalone when it utilizes its own spectrum, for example the spectrum used by GERAN systems as a replacement of one or more GSM carriers, as well as scattered spectrum for potential IoT deployment.</w:t>
      </w:r>
    </w:p>
    <w:p w14:paraId="356AE582" w14:textId="77777777" w:rsidR="00D85E53" w:rsidRPr="00E76EB6" w:rsidRDefault="00D85E53" w:rsidP="00D85E53">
      <w:r w:rsidRPr="00E76EB6">
        <w:rPr>
          <w:b/>
        </w:rPr>
        <w:t>Category NB1</w:t>
      </w:r>
      <w:r w:rsidRPr="00E76EB6">
        <w:rPr>
          <w:rFonts w:hint="eastAsia"/>
          <w:b/>
          <w:lang w:eastAsia="zh-CN"/>
        </w:rPr>
        <w:t>/</w:t>
      </w:r>
      <w:r w:rsidRPr="00E76EB6">
        <w:rPr>
          <w:b/>
        </w:rPr>
        <w:t>NB2</w:t>
      </w:r>
      <w:r w:rsidRPr="00E76EB6">
        <w:t xml:space="preserve"> </w:t>
      </w:r>
      <w:r w:rsidRPr="00E76EB6">
        <w:rPr>
          <w:b/>
        </w:rPr>
        <w:t>guard band operation:</w:t>
      </w:r>
      <w:r w:rsidRPr="00E76EB6">
        <w:t xml:space="preserve"> category NB1</w:t>
      </w:r>
      <w:r w:rsidRPr="00E76EB6">
        <w:rPr>
          <w:rFonts w:hint="eastAsia"/>
          <w:lang w:eastAsia="zh-CN"/>
        </w:rPr>
        <w:t>/</w:t>
      </w:r>
      <w:r w:rsidRPr="00E76EB6">
        <w:t xml:space="preserve">NB2 is operating in guard band when it utilizes the unused resource block(s) within </w:t>
      </w:r>
      <w:proofErr w:type="gramStart"/>
      <w:r w:rsidRPr="00E76EB6">
        <w:t>a</w:t>
      </w:r>
      <w:proofErr w:type="gramEnd"/>
      <w:r w:rsidRPr="00E76EB6">
        <w:t xml:space="preserve"> E-UTRA carrier’s guard-band.</w:t>
      </w:r>
    </w:p>
    <w:p w14:paraId="60F38C5C" w14:textId="77777777" w:rsidR="00D85E53" w:rsidRPr="00E76EB6" w:rsidRDefault="00D85E53" w:rsidP="00D85E53">
      <w:r w:rsidRPr="00E76EB6">
        <w:rPr>
          <w:b/>
        </w:rPr>
        <w:t>Category NB1</w:t>
      </w:r>
      <w:r w:rsidRPr="00E76EB6">
        <w:rPr>
          <w:rFonts w:hint="eastAsia"/>
          <w:b/>
          <w:lang w:eastAsia="zh-CN"/>
        </w:rPr>
        <w:t>/</w:t>
      </w:r>
      <w:r w:rsidRPr="00E76EB6">
        <w:rPr>
          <w:b/>
        </w:rPr>
        <w:t>NB2</w:t>
      </w:r>
      <w:r w:rsidRPr="00E76EB6">
        <w:t xml:space="preserve"> </w:t>
      </w:r>
      <w:r w:rsidRPr="00E76EB6">
        <w:rPr>
          <w:b/>
        </w:rPr>
        <w:t>in-band operation:</w:t>
      </w:r>
      <w:r w:rsidRPr="00E76EB6">
        <w:t xml:space="preserve"> category NB1</w:t>
      </w:r>
      <w:r w:rsidRPr="00E76EB6">
        <w:rPr>
          <w:rFonts w:hint="eastAsia"/>
          <w:lang w:eastAsia="zh-CN"/>
        </w:rPr>
        <w:t>/</w:t>
      </w:r>
      <w:r w:rsidRPr="00E76EB6">
        <w:t>NB2 is operating in-band when it utilizes the resource block(s) within a normal E-UTRA carrier.</w:t>
      </w:r>
    </w:p>
    <w:p w14:paraId="23478252" w14:textId="3447D4E8" w:rsidR="000116C8" w:rsidRDefault="00D5755A" w:rsidP="0031758A">
      <w:pPr>
        <w:rPr>
          <w:lang w:val="en-US" w:eastAsia="zh-CN"/>
        </w:rPr>
      </w:pPr>
      <w:r>
        <w:rPr>
          <w:lang w:val="en-US" w:eastAsia="zh-CN"/>
        </w:rPr>
        <w:t xml:space="preserve">For both </w:t>
      </w:r>
      <w:r w:rsidR="00D85E53">
        <w:rPr>
          <w:lang w:val="en-US" w:eastAsia="zh-CN"/>
        </w:rPr>
        <w:t xml:space="preserve">in-band and guard band </w:t>
      </w:r>
      <w:r>
        <w:rPr>
          <w:lang w:val="en-US" w:eastAsia="zh-CN"/>
        </w:rPr>
        <w:t xml:space="preserve">cases, the current specification </w:t>
      </w:r>
      <w:r w:rsidR="00B73E31">
        <w:rPr>
          <w:lang w:val="en-US" w:eastAsia="zh-CN"/>
        </w:rPr>
        <w:t>(</w:t>
      </w:r>
      <w:r>
        <w:rPr>
          <w:lang w:val="en-US" w:eastAsia="zh-CN"/>
        </w:rPr>
        <w:t>LTE 36 series</w:t>
      </w:r>
      <w:r w:rsidR="00B73E31">
        <w:rPr>
          <w:lang w:val="en-US" w:eastAsia="zh-CN"/>
        </w:rPr>
        <w:t xml:space="preserve">) </w:t>
      </w:r>
      <w:r>
        <w:rPr>
          <w:lang w:val="en-US" w:eastAsia="zh-CN"/>
        </w:rPr>
        <w:t xml:space="preserve">talks about </w:t>
      </w:r>
      <w:r w:rsidR="004E1888">
        <w:rPr>
          <w:lang w:val="en-US" w:eastAsia="zh-CN"/>
        </w:rPr>
        <w:t xml:space="preserve">an </w:t>
      </w:r>
      <w:r>
        <w:rPr>
          <w:lang w:val="en-US" w:eastAsia="zh-CN"/>
        </w:rPr>
        <w:t xml:space="preserve">E-UTRA carrier. This is natural </w:t>
      </w:r>
      <w:r w:rsidR="00025756">
        <w:rPr>
          <w:lang w:val="en-US" w:eastAsia="zh-CN"/>
        </w:rPr>
        <w:t>a</w:t>
      </w:r>
      <w:r w:rsidR="004E1888">
        <w:rPr>
          <w:lang w:val="en-US" w:eastAsia="zh-CN"/>
        </w:rPr>
        <w:t>s</w:t>
      </w:r>
      <w:r>
        <w:rPr>
          <w:lang w:val="en-US" w:eastAsia="zh-CN"/>
        </w:rPr>
        <w:t xml:space="preserve"> during NB-IoT work a few years ago NR standard was not specified at all.</w:t>
      </w:r>
      <w:r w:rsidR="006750B8">
        <w:rPr>
          <w:lang w:val="en-US" w:eastAsia="zh-CN"/>
        </w:rPr>
        <w:t xml:space="preserve"> </w:t>
      </w:r>
    </w:p>
    <w:p w14:paraId="49FDF07D" w14:textId="39FCC2AE" w:rsidR="006750B8" w:rsidRDefault="006750B8" w:rsidP="0031758A">
      <w:pPr>
        <w:rPr>
          <w:lang w:val="en-US" w:eastAsia="zh-CN"/>
        </w:rPr>
      </w:pPr>
      <w:r>
        <w:rPr>
          <w:lang w:val="en-US" w:eastAsia="zh-CN"/>
        </w:rPr>
        <w:t>Basically</w:t>
      </w:r>
      <w:r w:rsidR="0094348D">
        <w:rPr>
          <w:lang w:val="en-US" w:eastAsia="zh-CN"/>
        </w:rPr>
        <w:t>,</w:t>
      </w:r>
      <w:r>
        <w:rPr>
          <w:lang w:val="en-US" w:eastAsia="zh-CN"/>
        </w:rPr>
        <w:t xml:space="preserve"> the problem setting is as follows. In LTE, deployment where an NB-IoT carrier is located in-band LTE is called “In-band operation mode” and deployment where an NB-IoT carrier is located in LTE guard band is called “Guard band operation mode”. </w:t>
      </w:r>
    </w:p>
    <w:p w14:paraId="119F31DC" w14:textId="77777777" w:rsidR="006750B8" w:rsidRDefault="006750B8" w:rsidP="0031758A">
      <w:pPr>
        <w:rPr>
          <w:lang w:val="en-US" w:eastAsia="zh-CN"/>
        </w:rPr>
      </w:pPr>
      <w:r>
        <w:rPr>
          <w:lang w:val="en-US" w:eastAsia="zh-CN"/>
        </w:rPr>
        <w:t>The question is how are in-band and guard band operation modes called when there is no E-UTRA carrier but and NR carrier instead?</w:t>
      </w:r>
    </w:p>
    <w:p w14:paraId="2E001959" w14:textId="2EDBA4DF" w:rsidR="006750B8" w:rsidRDefault="006750B8" w:rsidP="0031758A">
      <w:pPr>
        <w:rPr>
          <w:lang w:val="en-US" w:eastAsia="zh-CN"/>
        </w:rPr>
      </w:pPr>
      <w:r>
        <w:rPr>
          <w:lang w:val="en-US" w:eastAsia="zh-CN"/>
        </w:rPr>
        <w:t>Are the modes still “In-band operation mode” and “guard band operation mode”, are they “Stand-alone mode” or are they something else, such as “NB-IoT in-band NR”?</w:t>
      </w:r>
    </w:p>
    <w:p w14:paraId="5D87A3DC" w14:textId="370A8F13" w:rsidR="00BE670A" w:rsidRDefault="0042562D" w:rsidP="0031758A">
      <w:pPr>
        <w:rPr>
          <w:lang w:val="en-US" w:eastAsia="zh-CN"/>
        </w:rPr>
      </w:pPr>
      <w:r>
        <w:rPr>
          <w:lang w:val="en-US" w:eastAsia="zh-CN"/>
        </w:rPr>
        <w:t xml:space="preserve">If deployment where NB-IoT is within NR guard band or in-band is defined as standalone NB-IoT, then </w:t>
      </w:r>
      <w:r w:rsidR="00391605">
        <w:rPr>
          <w:lang w:val="en-US" w:eastAsia="zh-CN"/>
        </w:rPr>
        <w:t xml:space="preserve">so </w:t>
      </w:r>
      <w:r>
        <w:rPr>
          <w:lang w:val="en-US" w:eastAsia="zh-CN"/>
        </w:rPr>
        <w:t>problems arise</w:t>
      </w:r>
      <w:r w:rsidR="00391605">
        <w:rPr>
          <w:lang w:val="en-US" w:eastAsia="zh-CN"/>
        </w:rPr>
        <w:t>.</w:t>
      </w:r>
      <w:r>
        <w:rPr>
          <w:lang w:val="en-US" w:eastAsia="zh-CN"/>
        </w:rPr>
        <w:t xml:space="preserve"> </w:t>
      </w:r>
      <w:r w:rsidR="00391605">
        <w:rPr>
          <w:lang w:val="en-US" w:eastAsia="zh-CN"/>
        </w:rPr>
        <w:t>In this case there would be two</w:t>
      </w:r>
      <w:r w:rsidR="00BE670A">
        <w:rPr>
          <w:lang w:val="en-US" w:eastAsia="zh-CN"/>
        </w:rPr>
        <w:t xml:space="preserve"> different kind of standalone NB-IoT SA operation types, with</w:t>
      </w:r>
      <w:r>
        <w:rPr>
          <w:lang w:val="en-US" w:eastAsia="zh-CN"/>
        </w:rPr>
        <w:t xml:space="preserve"> different performanc</w:t>
      </w:r>
      <w:r w:rsidR="00BE670A">
        <w:rPr>
          <w:lang w:val="en-US" w:eastAsia="zh-CN"/>
        </w:rPr>
        <w:t>es</w:t>
      </w:r>
      <w:r>
        <w:rPr>
          <w:lang w:val="en-US" w:eastAsia="zh-CN"/>
        </w:rPr>
        <w:t xml:space="preserve">. </w:t>
      </w:r>
      <w:r w:rsidR="00BE670A">
        <w:rPr>
          <w:lang w:val="en-US" w:eastAsia="zh-CN"/>
        </w:rPr>
        <w:t>Another example of diff</w:t>
      </w:r>
      <w:r w:rsidR="00480458">
        <w:rPr>
          <w:lang w:val="en-US" w:eastAsia="zh-CN"/>
        </w:rPr>
        <w:t>e</w:t>
      </w:r>
      <w:r w:rsidR="00BE670A">
        <w:rPr>
          <w:lang w:val="en-US" w:eastAsia="zh-CN"/>
        </w:rPr>
        <w:t>rences is that within E-UTRA carrier, the TX-RX separation for both in-band and guard band has been flexible while in standalone, the nominal TX-RX separation is fixed.</w:t>
      </w:r>
    </w:p>
    <w:p w14:paraId="6C3245B8" w14:textId="30A5A3BF" w:rsidR="00821268" w:rsidRDefault="0042562D" w:rsidP="0031758A">
      <w:pPr>
        <w:rPr>
          <w:lang w:val="en-US" w:eastAsia="zh-CN"/>
        </w:rPr>
      </w:pPr>
      <w:r>
        <w:rPr>
          <w:lang w:val="en-US" w:eastAsia="zh-CN"/>
        </w:rPr>
        <w:t>On the other hand</w:t>
      </w:r>
      <w:r w:rsidR="00350781">
        <w:rPr>
          <w:lang w:val="en-US" w:eastAsia="zh-CN"/>
        </w:rPr>
        <w:t>,</w:t>
      </w:r>
      <w:r>
        <w:rPr>
          <w:lang w:val="en-US" w:eastAsia="zh-CN"/>
        </w:rPr>
        <w:t xml:space="preserve"> </w:t>
      </w:r>
      <w:r w:rsidR="00350781">
        <w:rPr>
          <w:lang w:val="en-US" w:eastAsia="zh-CN"/>
        </w:rPr>
        <w:t>new</w:t>
      </w:r>
      <w:r w:rsidR="004306EA">
        <w:rPr>
          <w:lang w:val="en-US" w:eastAsia="zh-CN"/>
        </w:rPr>
        <w:t xml:space="preserve"> </w:t>
      </w:r>
      <w:r>
        <w:rPr>
          <w:lang w:val="en-US" w:eastAsia="zh-CN"/>
        </w:rPr>
        <w:t>operation mode definitions (e.g. NB-</w:t>
      </w:r>
      <w:r w:rsidR="006B78CB">
        <w:rPr>
          <w:lang w:val="en-US" w:eastAsia="zh-CN"/>
        </w:rPr>
        <w:t>I</w:t>
      </w:r>
      <w:r>
        <w:rPr>
          <w:lang w:val="en-US" w:eastAsia="zh-CN"/>
        </w:rPr>
        <w:t>oT operation within NR guard band or in-band) would require some specification work</w:t>
      </w:r>
      <w:r w:rsidR="006750B8">
        <w:rPr>
          <w:lang w:val="en-US" w:eastAsia="zh-CN"/>
        </w:rPr>
        <w:t xml:space="preserve"> outside the TS 36.101 section 3.1 (Definitions).</w:t>
      </w:r>
    </w:p>
    <w:p w14:paraId="0918C890" w14:textId="0BB7BD1E" w:rsidR="000116C8" w:rsidRDefault="00686A0D" w:rsidP="0031758A">
      <w:pPr>
        <w:rPr>
          <w:lang w:val="en-US" w:eastAsia="zh-CN"/>
        </w:rPr>
      </w:pPr>
      <w:r>
        <w:rPr>
          <w:lang w:val="en-US" w:eastAsia="zh-CN"/>
        </w:rPr>
        <w:t xml:space="preserve">We suggest </w:t>
      </w:r>
      <w:proofErr w:type="gramStart"/>
      <w:r>
        <w:rPr>
          <w:lang w:val="en-US" w:eastAsia="zh-CN"/>
        </w:rPr>
        <w:t>to look</w:t>
      </w:r>
      <w:proofErr w:type="gramEnd"/>
      <w:r>
        <w:rPr>
          <w:lang w:val="en-US" w:eastAsia="zh-CN"/>
        </w:rPr>
        <w:t xml:space="preserve"> if the current definitions of in-band and guard band operation could be amended to include NR carrier as well. We note that the intention of this amendment is not to cause any changes to existing depl</w:t>
      </w:r>
      <w:r w:rsidR="006B78CB">
        <w:rPr>
          <w:lang w:val="en-US" w:eastAsia="zh-CN"/>
        </w:rPr>
        <w:t>o</w:t>
      </w:r>
      <w:r>
        <w:rPr>
          <w:lang w:val="en-US" w:eastAsia="zh-CN"/>
        </w:rPr>
        <w:t>yments or requirements.</w:t>
      </w:r>
    </w:p>
    <w:p w14:paraId="78AAC623" w14:textId="78C767E9" w:rsidR="00686A0D" w:rsidRDefault="00686A0D" w:rsidP="0031758A">
      <w:pPr>
        <w:rPr>
          <w:lang w:val="en-US" w:eastAsia="zh-CN"/>
        </w:rPr>
      </w:pPr>
      <w:r w:rsidRPr="00686A0D">
        <w:rPr>
          <w:b/>
          <w:lang w:val="en-US" w:eastAsia="zh-CN"/>
        </w:rPr>
        <w:t>Suggestion</w:t>
      </w:r>
      <w:r>
        <w:rPr>
          <w:lang w:val="en-US" w:eastAsia="zh-CN"/>
        </w:rPr>
        <w:t xml:space="preserve">: Look if the following </w:t>
      </w:r>
      <w:r w:rsidR="00261388">
        <w:rPr>
          <w:lang w:val="en-US" w:eastAsia="zh-CN"/>
        </w:rPr>
        <w:t>naming conventions</w:t>
      </w:r>
      <w:r>
        <w:rPr>
          <w:lang w:val="en-US" w:eastAsia="zh-CN"/>
        </w:rPr>
        <w:t xml:space="preserve"> could be done into TS 36.101</w:t>
      </w:r>
      <w:r w:rsidR="00261388">
        <w:rPr>
          <w:lang w:val="en-US" w:eastAsia="zh-CN"/>
        </w:rPr>
        <w:t>/TS38.101</w:t>
      </w:r>
      <w:r>
        <w:rPr>
          <w:lang w:val="en-US" w:eastAsia="zh-CN"/>
        </w:rPr>
        <w:t xml:space="preserve"> and other relevant specifications.</w:t>
      </w:r>
      <w:r w:rsidR="009C7CAF">
        <w:rPr>
          <w:lang w:val="en-US" w:eastAsia="zh-CN"/>
        </w:rPr>
        <w:t xml:space="preserve"> </w:t>
      </w:r>
    </w:p>
    <w:p w14:paraId="5627E190" w14:textId="389B53C6" w:rsidR="00686A0D" w:rsidRPr="000116C8" w:rsidRDefault="00686A0D" w:rsidP="00686A0D">
      <w:pPr>
        <w:spacing w:before="100" w:beforeAutospacing="1" w:after="100" w:afterAutospacing="1"/>
        <w:rPr>
          <w:sz w:val="24"/>
          <w:szCs w:val="24"/>
          <w:lang w:val="en-US"/>
        </w:rPr>
      </w:pPr>
      <w:r w:rsidRPr="000116C8">
        <w:rPr>
          <w:rFonts w:ascii="TimesNewRomanPS" w:hAnsi="TimesNewRomanPS"/>
          <w:b/>
          <w:bCs/>
          <w:lang w:val="en-US"/>
        </w:rPr>
        <w:t xml:space="preserve">Category NB1/NB2 in-band operation: </w:t>
      </w:r>
      <w:r w:rsidRPr="000116C8">
        <w:rPr>
          <w:rFonts w:ascii="TimesNewRomanPSMT" w:hAnsi="TimesNewRomanPSMT"/>
          <w:lang w:val="en-US"/>
        </w:rPr>
        <w:t xml:space="preserve">category NB1/NB2 is operating in-band when it utilizes the resource block(s) within a normal E-UTRA </w:t>
      </w:r>
      <w:r w:rsidRPr="00686A0D">
        <w:rPr>
          <w:rFonts w:ascii="TimesNewRomanPSMT" w:hAnsi="TimesNewRomanPSMT"/>
          <w:highlight w:val="yellow"/>
          <w:lang w:val="en-US"/>
        </w:rPr>
        <w:t>or NR</w:t>
      </w:r>
      <w:r>
        <w:rPr>
          <w:rFonts w:ascii="TimesNewRomanPSMT" w:hAnsi="TimesNewRomanPSMT"/>
          <w:lang w:val="en-US"/>
        </w:rPr>
        <w:t xml:space="preserve"> </w:t>
      </w:r>
      <w:r w:rsidRPr="000116C8">
        <w:rPr>
          <w:rFonts w:ascii="TimesNewRomanPSMT" w:hAnsi="TimesNewRomanPSMT"/>
          <w:lang w:val="en-US"/>
        </w:rPr>
        <w:t xml:space="preserve">carrier. </w:t>
      </w:r>
    </w:p>
    <w:p w14:paraId="08DC62C4" w14:textId="10F40543" w:rsidR="00686A0D" w:rsidRPr="000116C8" w:rsidRDefault="00686A0D" w:rsidP="00686A0D">
      <w:pPr>
        <w:spacing w:before="100" w:beforeAutospacing="1" w:after="100" w:afterAutospacing="1"/>
        <w:rPr>
          <w:sz w:val="24"/>
          <w:szCs w:val="24"/>
          <w:lang w:val="en-US"/>
        </w:rPr>
      </w:pPr>
      <w:r w:rsidRPr="000116C8">
        <w:rPr>
          <w:rFonts w:ascii="TimesNewRomanPS" w:hAnsi="TimesNewRomanPS"/>
          <w:b/>
          <w:bCs/>
          <w:lang w:val="en-US"/>
        </w:rPr>
        <w:t xml:space="preserve">Category NB1/NB2 guard band operation: </w:t>
      </w:r>
      <w:r w:rsidRPr="000116C8">
        <w:rPr>
          <w:rFonts w:ascii="TimesNewRomanPSMT" w:hAnsi="TimesNewRomanPSMT"/>
          <w:lang w:val="en-US"/>
        </w:rPr>
        <w:t xml:space="preserve">category NB1/NB2 is operating in guard band when it utilizes the unused resource block(s) within </w:t>
      </w:r>
      <w:proofErr w:type="gramStart"/>
      <w:r w:rsidRPr="000116C8">
        <w:rPr>
          <w:rFonts w:ascii="TimesNewRomanPSMT" w:hAnsi="TimesNewRomanPSMT"/>
          <w:lang w:val="en-US"/>
        </w:rPr>
        <w:t>a</w:t>
      </w:r>
      <w:proofErr w:type="gramEnd"/>
      <w:r w:rsidRPr="000116C8">
        <w:rPr>
          <w:rFonts w:ascii="TimesNewRomanPSMT" w:hAnsi="TimesNewRomanPSMT"/>
          <w:lang w:val="en-US"/>
        </w:rPr>
        <w:t xml:space="preserve"> E-UTRA </w:t>
      </w:r>
      <w:r w:rsidRPr="00686A0D">
        <w:rPr>
          <w:rFonts w:ascii="TimesNewRomanPSMT" w:hAnsi="TimesNewRomanPSMT"/>
          <w:highlight w:val="yellow"/>
          <w:lang w:val="en-US"/>
        </w:rPr>
        <w:t>or NR</w:t>
      </w:r>
      <w:r>
        <w:rPr>
          <w:rFonts w:ascii="TimesNewRomanPSMT" w:hAnsi="TimesNewRomanPSMT"/>
          <w:lang w:val="en-US"/>
        </w:rPr>
        <w:t xml:space="preserve"> </w:t>
      </w:r>
      <w:r w:rsidRPr="000116C8">
        <w:rPr>
          <w:rFonts w:ascii="TimesNewRomanPSMT" w:hAnsi="TimesNewRomanPSMT"/>
          <w:lang w:val="en-US"/>
        </w:rPr>
        <w:t xml:space="preserve">carrier’s guard-band. </w:t>
      </w:r>
    </w:p>
    <w:p w14:paraId="7EB8F58C" w14:textId="77777777" w:rsidR="00686A0D" w:rsidRDefault="00686A0D" w:rsidP="0031758A">
      <w:pPr>
        <w:rPr>
          <w:lang w:val="en-US" w:eastAsia="zh-CN"/>
        </w:rPr>
      </w:pPr>
    </w:p>
    <w:p w14:paraId="305C7B29" w14:textId="77777777" w:rsidR="00686A0D" w:rsidRDefault="00686A0D" w:rsidP="0031758A">
      <w:pPr>
        <w:rPr>
          <w:lang w:val="en-US" w:eastAsia="zh-CN"/>
        </w:rPr>
      </w:pPr>
    </w:p>
    <w:p w14:paraId="65F81F56" w14:textId="77777777" w:rsidR="00444BF0" w:rsidRPr="00E76EB6" w:rsidRDefault="00444BF0" w:rsidP="0031758A"/>
    <w:p w14:paraId="05AC12EC" w14:textId="201A3C92" w:rsidR="008E4481" w:rsidRPr="00E76EB6" w:rsidRDefault="008E4481" w:rsidP="008E4481">
      <w:pPr>
        <w:pStyle w:val="TAN"/>
      </w:pPr>
    </w:p>
    <w:p w14:paraId="087E760A" w14:textId="638AF0EC" w:rsidR="008E4481" w:rsidRDefault="008E4481" w:rsidP="009628F0">
      <w:pPr>
        <w:rPr>
          <w:color w:val="000000" w:themeColor="text1"/>
        </w:rPr>
      </w:pPr>
    </w:p>
    <w:p w14:paraId="4E3AE3FC" w14:textId="29371989" w:rsidR="003F3BAD" w:rsidRDefault="003F3BAD" w:rsidP="003F3BAD">
      <w:pPr>
        <w:pStyle w:val="Heading1"/>
      </w:pPr>
      <w:r>
        <w:t>3</w:t>
      </w:r>
      <w:r>
        <w:tab/>
        <w:t>Conclusions</w:t>
      </w:r>
    </w:p>
    <w:p w14:paraId="478A01A9" w14:textId="5EC3774E" w:rsidR="004D6315" w:rsidRDefault="00391605" w:rsidP="0031758A">
      <w:r>
        <w:t>Definitions of NB-IoT modes were discussed,</w:t>
      </w:r>
      <w:r w:rsidR="0080088D">
        <w:t xml:space="preserve"> with the following suggestion.</w:t>
      </w:r>
    </w:p>
    <w:p w14:paraId="2C695FAF" w14:textId="7A89A1E6" w:rsidR="0080088D" w:rsidRDefault="0080088D" w:rsidP="0080088D">
      <w:pPr>
        <w:rPr>
          <w:lang w:val="en-US" w:eastAsia="zh-CN"/>
        </w:rPr>
      </w:pPr>
      <w:r w:rsidRPr="00686A0D">
        <w:rPr>
          <w:b/>
          <w:lang w:val="en-US" w:eastAsia="zh-CN"/>
        </w:rPr>
        <w:t>Suggestion</w:t>
      </w:r>
      <w:r>
        <w:rPr>
          <w:lang w:val="en-US" w:eastAsia="zh-CN"/>
        </w:rPr>
        <w:t xml:space="preserve">: </w:t>
      </w:r>
      <w:r w:rsidR="00261388">
        <w:rPr>
          <w:lang w:val="en-US" w:eastAsia="zh-CN"/>
        </w:rPr>
        <w:t>Look if the following naming conventions could be done into TS 36.101/TS38.101 and other relevant specifications.</w:t>
      </w:r>
    </w:p>
    <w:p w14:paraId="6188767E" w14:textId="77777777" w:rsidR="0080088D" w:rsidRPr="000116C8" w:rsidRDefault="0080088D" w:rsidP="0080088D">
      <w:pPr>
        <w:spacing w:before="100" w:beforeAutospacing="1" w:after="100" w:afterAutospacing="1"/>
        <w:rPr>
          <w:sz w:val="24"/>
          <w:szCs w:val="24"/>
          <w:lang w:val="en-US"/>
        </w:rPr>
      </w:pPr>
      <w:r w:rsidRPr="000116C8">
        <w:rPr>
          <w:rFonts w:ascii="TimesNewRomanPS" w:hAnsi="TimesNewRomanPS"/>
          <w:b/>
          <w:bCs/>
          <w:lang w:val="en-US"/>
        </w:rPr>
        <w:t xml:space="preserve">Category NB1/NB2 in-band operation: </w:t>
      </w:r>
      <w:r w:rsidRPr="000116C8">
        <w:rPr>
          <w:rFonts w:ascii="TimesNewRomanPSMT" w:hAnsi="TimesNewRomanPSMT"/>
          <w:lang w:val="en-US"/>
        </w:rPr>
        <w:t xml:space="preserve">category NB1/NB2 is operating in-band when it utilizes the resource block(s) within a normal E-UTRA </w:t>
      </w:r>
      <w:r w:rsidRPr="00686A0D">
        <w:rPr>
          <w:rFonts w:ascii="TimesNewRomanPSMT" w:hAnsi="TimesNewRomanPSMT"/>
          <w:highlight w:val="yellow"/>
          <w:lang w:val="en-US"/>
        </w:rPr>
        <w:t>or NR</w:t>
      </w:r>
      <w:r>
        <w:rPr>
          <w:rFonts w:ascii="TimesNewRomanPSMT" w:hAnsi="TimesNewRomanPSMT"/>
          <w:lang w:val="en-US"/>
        </w:rPr>
        <w:t xml:space="preserve"> </w:t>
      </w:r>
      <w:r w:rsidRPr="000116C8">
        <w:rPr>
          <w:rFonts w:ascii="TimesNewRomanPSMT" w:hAnsi="TimesNewRomanPSMT"/>
          <w:lang w:val="en-US"/>
        </w:rPr>
        <w:t xml:space="preserve">carrier. </w:t>
      </w:r>
    </w:p>
    <w:p w14:paraId="4B36A946" w14:textId="77777777" w:rsidR="0080088D" w:rsidRPr="000116C8" w:rsidRDefault="0080088D" w:rsidP="0080088D">
      <w:pPr>
        <w:spacing w:before="100" w:beforeAutospacing="1" w:after="100" w:afterAutospacing="1"/>
        <w:rPr>
          <w:sz w:val="24"/>
          <w:szCs w:val="24"/>
          <w:lang w:val="en-US"/>
        </w:rPr>
      </w:pPr>
      <w:r w:rsidRPr="000116C8">
        <w:rPr>
          <w:rFonts w:ascii="TimesNewRomanPS" w:hAnsi="TimesNewRomanPS"/>
          <w:b/>
          <w:bCs/>
          <w:lang w:val="en-US"/>
        </w:rPr>
        <w:t xml:space="preserve">Category NB1/NB2 guard band operation: </w:t>
      </w:r>
      <w:r w:rsidRPr="000116C8">
        <w:rPr>
          <w:rFonts w:ascii="TimesNewRomanPSMT" w:hAnsi="TimesNewRomanPSMT"/>
          <w:lang w:val="en-US"/>
        </w:rPr>
        <w:t xml:space="preserve">category NB1/NB2 is operating in guard band when it utilizes the unused resource block(s) within </w:t>
      </w:r>
      <w:proofErr w:type="gramStart"/>
      <w:r w:rsidRPr="000116C8">
        <w:rPr>
          <w:rFonts w:ascii="TimesNewRomanPSMT" w:hAnsi="TimesNewRomanPSMT"/>
          <w:lang w:val="en-US"/>
        </w:rPr>
        <w:t>a</w:t>
      </w:r>
      <w:proofErr w:type="gramEnd"/>
      <w:r w:rsidRPr="000116C8">
        <w:rPr>
          <w:rFonts w:ascii="TimesNewRomanPSMT" w:hAnsi="TimesNewRomanPSMT"/>
          <w:lang w:val="en-US"/>
        </w:rPr>
        <w:t xml:space="preserve"> E-UTRA </w:t>
      </w:r>
      <w:r w:rsidRPr="00686A0D">
        <w:rPr>
          <w:rFonts w:ascii="TimesNewRomanPSMT" w:hAnsi="TimesNewRomanPSMT"/>
          <w:highlight w:val="yellow"/>
          <w:lang w:val="en-US"/>
        </w:rPr>
        <w:t>or NR</w:t>
      </w:r>
      <w:r>
        <w:rPr>
          <w:rFonts w:ascii="TimesNewRomanPSMT" w:hAnsi="TimesNewRomanPSMT"/>
          <w:lang w:val="en-US"/>
        </w:rPr>
        <w:t xml:space="preserve"> </w:t>
      </w:r>
      <w:r w:rsidRPr="000116C8">
        <w:rPr>
          <w:rFonts w:ascii="TimesNewRomanPSMT" w:hAnsi="TimesNewRomanPSMT"/>
          <w:lang w:val="en-US"/>
        </w:rPr>
        <w:t xml:space="preserve">carrier’s guard-band. </w:t>
      </w:r>
    </w:p>
    <w:p w14:paraId="2D56BD52" w14:textId="77777777" w:rsidR="00391605" w:rsidRPr="0080088D" w:rsidRDefault="00391605" w:rsidP="0031758A">
      <w:pPr>
        <w:rPr>
          <w:lang w:val="en-US"/>
        </w:rPr>
      </w:pPr>
    </w:p>
    <w:p w14:paraId="7E3EC4B9" w14:textId="77777777" w:rsidR="0043542C" w:rsidRPr="004D6315" w:rsidRDefault="0043542C" w:rsidP="009628F0">
      <w:pPr>
        <w:rPr>
          <w:color w:val="000000" w:themeColor="text1"/>
        </w:rPr>
      </w:pPr>
    </w:p>
    <w:bookmarkEnd w:id="1"/>
    <w:bookmarkEnd w:id="2"/>
    <w:bookmarkEnd w:id="3"/>
    <w:bookmarkEnd w:id="4"/>
    <w:bookmarkEnd w:id="5"/>
    <w:bookmarkEnd w:id="6"/>
    <w:bookmarkEnd w:id="7"/>
    <w:bookmarkEnd w:id="8"/>
    <w:bookmarkEnd w:id="9"/>
    <w:bookmarkEnd w:id="10"/>
    <w:bookmarkEnd w:id="11"/>
    <w:p w14:paraId="242A3F0D" w14:textId="2954E6AD" w:rsidR="003C3B04" w:rsidRDefault="003C3B04" w:rsidP="003C3B04">
      <w:pPr>
        <w:pStyle w:val="Guidance"/>
      </w:pPr>
    </w:p>
    <w:p w14:paraId="3F184B4F" w14:textId="77777777" w:rsidR="000B298B" w:rsidRPr="00A64C65" w:rsidRDefault="000B298B" w:rsidP="000B298B">
      <w:pPr>
        <w:rPr>
          <w:lang w:eastAsia="ja-JP"/>
        </w:rPr>
      </w:pPr>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0CD8423A" w:rsidR="00CD4C7B" w:rsidRPr="00FC6218" w:rsidRDefault="00363CED" w:rsidP="00CD4C7B">
      <w:pPr>
        <w:pStyle w:val="Heading1"/>
      </w:pPr>
      <w:r>
        <w:t>3</w:t>
      </w:r>
      <w:r w:rsidR="00961E72">
        <w:tab/>
      </w:r>
      <w:r w:rsidR="00CD4C7B" w:rsidRPr="00FC6218">
        <w:t>References</w:t>
      </w:r>
    </w:p>
    <w:p w14:paraId="00E8E6F9" w14:textId="3CAF69D0" w:rsidR="00845AD0" w:rsidRDefault="00845AD0" w:rsidP="00845AD0">
      <w:pPr>
        <w:overflowPunct w:val="0"/>
        <w:autoSpaceDE w:val="0"/>
        <w:autoSpaceDN w:val="0"/>
        <w:adjustRightInd w:val="0"/>
        <w:textAlignment w:val="baseline"/>
        <w:rPr>
          <w:sz w:val="18"/>
          <w:lang w:eastAsia="zh-CN"/>
        </w:rPr>
      </w:pPr>
      <w:r>
        <w:rPr>
          <w:sz w:val="18"/>
          <w:lang w:eastAsia="zh-CN"/>
        </w:rPr>
        <w:t>[1] R4-1</w:t>
      </w:r>
      <w:r w:rsidR="0031758A">
        <w:rPr>
          <w:sz w:val="18"/>
          <w:lang w:eastAsia="zh-CN"/>
        </w:rPr>
        <w:t>905203</w:t>
      </w:r>
      <w:r>
        <w:rPr>
          <w:sz w:val="18"/>
          <w:lang w:eastAsia="zh-CN"/>
        </w:rPr>
        <w:t xml:space="preserve"> “</w:t>
      </w:r>
      <w:r w:rsidR="0031758A" w:rsidRPr="0031758A">
        <w:rPr>
          <w:sz w:val="18"/>
          <w:lang w:eastAsia="zh-CN"/>
        </w:rPr>
        <w:t>WF on coexistence of NB-IoT with NR</w:t>
      </w:r>
      <w:r>
        <w:rPr>
          <w:sz w:val="18"/>
          <w:lang w:eastAsia="zh-CN"/>
        </w:rPr>
        <w:t xml:space="preserve">”, </w:t>
      </w:r>
      <w:r w:rsidR="00677CED">
        <w:rPr>
          <w:sz w:val="18"/>
          <w:lang w:eastAsia="zh-CN"/>
        </w:rPr>
        <w:t xml:space="preserve">RAN4#90bis, </w:t>
      </w:r>
      <w:r w:rsidR="0031758A" w:rsidRPr="0031758A">
        <w:rPr>
          <w:sz w:val="18"/>
          <w:lang w:eastAsia="zh-CN"/>
        </w:rPr>
        <w:t xml:space="preserve">Huawei, </w:t>
      </w:r>
      <w:proofErr w:type="spellStart"/>
      <w:r w:rsidR="0031758A" w:rsidRPr="0031758A">
        <w:rPr>
          <w:sz w:val="18"/>
          <w:lang w:eastAsia="zh-CN"/>
        </w:rPr>
        <w:t>HiSilicon</w:t>
      </w:r>
      <w:proofErr w:type="spellEnd"/>
      <w:r w:rsidR="0031758A" w:rsidRPr="0031758A">
        <w:rPr>
          <w:sz w:val="18"/>
          <w:lang w:eastAsia="zh-CN"/>
        </w:rPr>
        <w:t>, Ericsson, CHTTL, SGS Wireless, Nokia, ZTE, Dish, T-Mobile USA</w:t>
      </w:r>
    </w:p>
    <w:p w14:paraId="00071C9E" w14:textId="77777777" w:rsidR="00845AD0" w:rsidRPr="00B47333" w:rsidRDefault="00845AD0">
      <w:pPr>
        <w:overflowPunct w:val="0"/>
        <w:autoSpaceDE w:val="0"/>
        <w:autoSpaceDN w:val="0"/>
        <w:adjustRightInd w:val="0"/>
        <w:textAlignment w:val="baseline"/>
        <w:rPr>
          <w:sz w:val="18"/>
          <w:lang w:eastAsia="zh-CN"/>
        </w:rPr>
      </w:pPr>
    </w:p>
    <w:sectPr w:rsidR="00845AD0"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102C5" w14:textId="77777777" w:rsidR="0090499B" w:rsidRDefault="0090499B">
      <w:r>
        <w:separator/>
      </w:r>
    </w:p>
  </w:endnote>
  <w:endnote w:type="continuationSeparator" w:id="0">
    <w:p w14:paraId="037489E8" w14:textId="77777777" w:rsidR="0090499B" w:rsidRDefault="0090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72FCB" w14:textId="77777777" w:rsidR="0090499B" w:rsidRDefault="0090499B">
      <w:r>
        <w:separator/>
      </w:r>
    </w:p>
  </w:footnote>
  <w:footnote w:type="continuationSeparator" w:id="0">
    <w:p w14:paraId="3B8A03CB" w14:textId="77777777" w:rsidR="0090499B" w:rsidRDefault="00904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05C44"/>
    <w:multiLevelType w:val="hybridMultilevel"/>
    <w:tmpl w:val="F140D0E2"/>
    <w:lvl w:ilvl="0" w:tplc="1E589420">
      <w:start w:val="1"/>
      <w:numFmt w:val="bullet"/>
      <w:lvlText w:val=""/>
      <w:lvlJc w:val="left"/>
      <w:pPr>
        <w:tabs>
          <w:tab w:val="num" w:pos="360"/>
        </w:tabs>
        <w:ind w:left="360" w:hanging="360"/>
      </w:pPr>
      <w:rPr>
        <w:rFonts w:ascii="Wingdings" w:hAnsi="Wingdings" w:hint="default"/>
      </w:rPr>
    </w:lvl>
    <w:lvl w:ilvl="1" w:tplc="01A8C2CE">
      <w:start w:val="1"/>
      <w:numFmt w:val="bullet"/>
      <w:lvlText w:val=""/>
      <w:lvlJc w:val="left"/>
      <w:pPr>
        <w:tabs>
          <w:tab w:val="num" w:pos="1080"/>
        </w:tabs>
        <w:ind w:left="1080" w:hanging="360"/>
      </w:pPr>
      <w:rPr>
        <w:rFonts w:ascii="Wingdings" w:hAnsi="Wingdings" w:hint="default"/>
      </w:rPr>
    </w:lvl>
    <w:lvl w:ilvl="2" w:tplc="EA6CE51A">
      <w:numFmt w:val="bullet"/>
      <w:lvlText w:val="•"/>
      <w:lvlJc w:val="left"/>
      <w:pPr>
        <w:tabs>
          <w:tab w:val="num" w:pos="1800"/>
        </w:tabs>
        <w:ind w:left="1800" w:hanging="360"/>
      </w:pPr>
      <w:rPr>
        <w:rFonts w:ascii="Arial" w:hAnsi="Arial" w:hint="default"/>
      </w:rPr>
    </w:lvl>
    <w:lvl w:ilvl="3" w:tplc="936048A4">
      <w:start w:val="1"/>
      <w:numFmt w:val="bullet"/>
      <w:lvlText w:val=""/>
      <w:lvlJc w:val="left"/>
      <w:pPr>
        <w:tabs>
          <w:tab w:val="num" w:pos="2520"/>
        </w:tabs>
        <w:ind w:left="2520" w:hanging="360"/>
      </w:pPr>
      <w:rPr>
        <w:rFonts w:ascii="Wingdings" w:hAnsi="Wingdings" w:hint="default"/>
      </w:rPr>
    </w:lvl>
    <w:lvl w:ilvl="4" w:tplc="20167570">
      <w:numFmt w:val="bullet"/>
      <w:lvlText w:val="-"/>
      <w:lvlJc w:val="left"/>
      <w:pPr>
        <w:tabs>
          <w:tab w:val="num" w:pos="3240"/>
        </w:tabs>
        <w:ind w:left="3240" w:hanging="360"/>
      </w:pPr>
      <w:rPr>
        <w:rFonts w:ascii="Times New Roman" w:hAnsi="Times New Roman" w:hint="default"/>
      </w:rPr>
    </w:lvl>
    <w:lvl w:ilvl="5" w:tplc="C8BAFB58" w:tentative="1">
      <w:start w:val="1"/>
      <w:numFmt w:val="bullet"/>
      <w:lvlText w:val=""/>
      <w:lvlJc w:val="left"/>
      <w:pPr>
        <w:tabs>
          <w:tab w:val="num" w:pos="3960"/>
        </w:tabs>
        <w:ind w:left="3960" w:hanging="360"/>
      </w:pPr>
      <w:rPr>
        <w:rFonts w:ascii="Wingdings" w:hAnsi="Wingdings" w:hint="default"/>
      </w:rPr>
    </w:lvl>
    <w:lvl w:ilvl="6" w:tplc="181E791C" w:tentative="1">
      <w:start w:val="1"/>
      <w:numFmt w:val="bullet"/>
      <w:lvlText w:val=""/>
      <w:lvlJc w:val="left"/>
      <w:pPr>
        <w:tabs>
          <w:tab w:val="num" w:pos="4680"/>
        </w:tabs>
        <w:ind w:left="4680" w:hanging="360"/>
      </w:pPr>
      <w:rPr>
        <w:rFonts w:ascii="Wingdings" w:hAnsi="Wingdings" w:hint="default"/>
      </w:rPr>
    </w:lvl>
    <w:lvl w:ilvl="7" w:tplc="8CE00350" w:tentative="1">
      <w:start w:val="1"/>
      <w:numFmt w:val="bullet"/>
      <w:lvlText w:val=""/>
      <w:lvlJc w:val="left"/>
      <w:pPr>
        <w:tabs>
          <w:tab w:val="num" w:pos="5400"/>
        </w:tabs>
        <w:ind w:left="5400" w:hanging="360"/>
      </w:pPr>
      <w:rPr>
        <w:rFonts w:ascii="Wingdings" w:hAnsi="Wingdings" w:hint="default"/>
      </w:rPr>
    </w:lvl>
    <w:lvl w:ilvl="8" w:tplc="779E4922"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8319CF"/>
    <w:multiLevelType w:val="hybridMultilevel"/>
    <w:tmpl w:val="A4D64E30"/>
    <w:lvl w:ilvl="0" w:tplc="E67817E4">
      <w:start w:val="1"/>
      <w:numFmt w:val="bullet"/>
      <w:lvlText w:val=""/>
      <w:lvlJc w:val="left"/>
      <w:pPr>
        <w:tabs>
          <w:tab w:val="num" w:pos="360"/>
        </w:tabs>
        <w:ind w:left="360" w:hanging="360"/>
      </w:pPr>
      <w:rPr>
        <w:rFonts w:ascii="Wingdings" w:hAnsi="Wingdings" w:hint="default"/>
      </w:rPr>
    </w:lvl>
    <w:lvl w:ilvl="1" w:tplc="D9CCEE20">
      <w:start w:val="1"/>
      <w:numFmt w:val="bullet"/>
      <w:lvlText w:val=""/>
      <w:lvlJc w:val="left"/>
      <w:pPr>
        <w:tabs>
          <w:tab w:val="num" w:pos="1080"/>
        </w:tabs>
        <w:ind w:left="1080" w:hanging="360"/>
      </w:pPr>
      <w:rPr>
        <w:rFonts w:ascii="Wingdings" w:hAnsi="Wingdings" w:hint="default"/>
      </w:rPr>
    </w:lvl>
    <w:lvl w:ilvl="2" w:tplc="DC68450A">
      <w:numFmt w:val="bullet"/>
      <w:lvlText w:val="•"/>
      <w:lvlJc w:val="left"/>
      <w:pPr>
        <w:tabs>
          <w:tab w:val="num" w:pos="1800"/>
        </w:tabs>
        <w:ind w:left="1800" w:hanging="360"/>
      </w:pPr>
      <w:rPr>
        <w:rFonts w:ascii="Arial" w:hAnsi="Arial" w:hint="default"/>
      </w:rPr>
    </w:lvl>
    <w:lvl w:ilvl="3" w:tplc="1638C200">
      <w:start w:val="1"/>
      <w:numFmt w:val="bullet"/>
      <w:lvlText w:val=""/>
      <w:lvlJc w:val="left"/>
      <w:pPr>
        <w:tabs>
          <w:tab w:val="num" w:pos="2520"/>
        </w:tabs>
        <w:ind w:left="2520" w:hanging="360"/>
      </w:pPr>
      <w:rPr>
        <w:rFonts w:ascii="Wingdings" w:hAnsi="Wingdings" w:hint="default"/>
      </w:rPr>
    </w:lvl>
    <w:lvl w:ilvl="4" w:tplc="F544E386">
      <w:numFmt w:val="bullet"/>
      <w:lvlText w:val="-"/>
      <w:lvlJc w:val="left"/>
      <w:pPr>
        <w:tabs>
          <w:tab w:val="num" w:pos="3240"/>
        </w:tabs>
        <w:ind w:left="3240" w:hanging="360"/>
      </w:pPr>
      <w:rPr>
        <w:rFonts w:ascii="Times New Roman" w:hAnsi="Times New Roman" w:hint="default"/>
      </w:rPr>
    </w:lvl>
    <w:lvl w:ilvl="5" w:tplc="4F2EEFF6" w:tentative="1">
      <w:start w:val="1"/>
      <w:numFmt w:val="bullet"/>
      <w:lvlText w:val=""/>
      <w:lvlJc w:val="left"/>
      <w:pPr>
        <w:tabs>
          <w:tab w:val="num" w:pos="3960"/>
        </w:tabs>
        <w:ind w:left="3960" w:hanging="360"/>
      </w:pPr>
      <w:rPr>
        <w:rFonts w:ascii="Wingdings" w:hAnsi="Wingdings" w:hint="default"/>
      </w:rPr>
    </w:lvl>
    <w:lvl w:ilvl="6" w:tplc="3774DD4E" w:tentative="1">
      <w:start w:val="1"/>
      <w:numFmt w:val="bullet"/>
      <w:lvlText w:val=""/>
      <w:lvlJc w:val="left"/>
      <w:pPr>
        <w:tabs>
          <w:tab w:val="num" w:pos="4680"/>
        </w:tabs>
        <w:ind w:left="4680" w:hanging="360"/>
      </w:pPr>
      <w:rPr>
        <w:rFonts w:ascii="Wingdings" w:hAnsi="Wingdings" w:hint="default"/>
      </w:rPr>
    </w:lvl>
    <w:lvl w:ilvl="7" w:tplc="9B36D676" w:tentative="1">
      <w:start w:val="1"/>
      <w:numFmt w:val="bullet"/>
      <w:lvlText w:val=""/>
      <w:lvlJc w:val="left"/>
      <w:pPr>
        <w:tabs>
          <w:tab w:val="num" w:pos="5400"/>
        </w:tabs>
        <w:ind w:left="5400" w:hanging="360"/>
      </w:pPr>
      <w:rPr>
        <w:rFonts w:ascii="Wingdings" w:hAnsi="Wingdings" w:hint="default"/>
      </w:rPr>
    </w:lvl>
    <w:lvl w:ilvl="8" w:tplc="2FAA1882"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5741C10"/>
    <w:multiLevelType w:val="hybridMultilevel"/>
    <w:tmpl w:val="973414E8"/>
    <w:lvl w:ilvl="0" w:tplc="62DAA4D6">
      <w:start w:val="1"/>
      <w:numFmt w:val="bullet"/>
      <w:lvlText w:val=""/>
      <w:lvlJc w:val="left"/>
      <w:pPr>
        <w:tabs>
          <w:tab w:val="num" w:pos="720"/>
        </w:tabs>
        <w:ind w:left="720" w:hanging="360"/>
      </w:pPr>
      <w:rPr>
        <w:rFonts w:ascii="Wingdings" w:hAnsi="Wingdings" w:hint="default"/>
      </w:rPr>
    </w:lvl>
    <w:lvl w:ilvl="1" w:tplc="4D8E8EAE">
      <w:start w:val="1"/>
      <w:numFmt w:val="bullet"/>
      <w:lvlText w:val=""/>
      <w:lvlJc w:val="left"/>
      <w:pPr>
        <w:tabs>
          <w:tab w:val="num" w:pos="1440"/>
        </w:tabs>
        <w:ind w:left="1440" w:hanging="360"/>
      </w:pPr>
      <w:rPr>
        <w:rFonts w:ascii="Wingdings" w:hAnsi="Wingdings" w:hint="default"/>
      </w:rPr>
    </w:lvl>
    <w:lvl w:ilvl="2" w:tplc="15E0B390">
      <w:numFmt w:val="bullet"/>
      <w:lvlText w:val="•"/>
      <w:lvlJc w:val="left"/>
      <w:pPr>
        <w:tabs>
          <w:tab w:val="num" w:pos="2160"/>
        </w:tabs>
        <w:ind w:left="2160" w:hanging="360"/>
      </w:pPr>
      <w:rPr>
        <w:rFonts w:ascii="Arial" w:hAnsi="Arial" w:hint="default"/>
      </w:rPr>
    </w:lvl>
    <w:lvl w:ilvl="3" w:tplc="1082A9CA" w:tentative="1">
      <w:start w:val="1"/>
      <w:numFmt w:val="bullet"/>
      <w:lvlText w:val=""/>
      <w:lvlJc w:val="left"/>
      <w:pPr>
        <w:tabs>
          <w:tab w:val="num" w:pos="2880"/>
        </w:tabs>
        <w:ind w:left="2880" w:hanging="360"/>
      </w:pPr>
      <w:rPr>
        <w:rFonts w:ascii="Wingdings" w:hAnsi="Wingdings" w:hint="default"/>
      </w:rPr>
    </w:lvl>
    <w:lvl w:ilvl="4" w:tplc="58808B44" w:tentative="1">
      <w:start w:val="1"/>
      <w:numFmt w:val="bullet"/>
      <w:lvlText w:val=""/>
      <w:lvlJc w:val="left"/>
      <w:pPr>
        <w:tabs>
          <w:tab w:val="num" w:pos="3600"/>
        </w:tabs>
        <w:ind w:left="3600" w:hanging="360"/>
      </w:pPr>
      <w:rPr>
        <w:rFonts w:ascii="Wingdings" w:hAnsi="Wingdings" w:hint="default"/>
      </w:rPr>
    </w:lvl>
    <w:lvl w:ilvl="5" w:tplc="11C4F28A" w:tentative="1">
      <w:start w:val="1"/>
      <w:numFmt w:val="bullet"/>
      <w:lvlText w:val=""/>
      <w:lvlJc w:val="left"/>
      <w:pPr>
        <w:tabs>
          <w:tab w:val="num" w:pos="4320"/>
        </w:tabs>
        <w:ind w:left="4320" w:hanging="360"/>
      </w:pPr>
      <w:rPr>
        <w:rFonts w:ascii="Wingdings" w:hAnsi="Wingdings" w:hint="default"/>
      </w:rPr>
    </w:lvl>
    <w:lvl w:ilvl="6" w:tplc="5C50FECA" w:tentative="1">
      <w:start w:val="1"/>
      <w:numFmt w:val="bullet"/>
      <w:lvlText w:val=""/>
      <w:lvlJc w:val="left"/>
      <w:pPr>
        <w:tabs>
          <w:tab w:val="num" w:pos="5040"/>
        </w:tabs>
        <w:ind w:left="5040" w:hanging="360"/>
      </w:pPr>
      <w:rPr>
        <w:rFonts w:ascii="Wingdings" w:hAnsi="Wingdings" w:hint="default"/>
      </w:rPr>
    </w:lvl>
    <w:lvl w:ilvl="7" w:tplc="48963020" w:tentative="1">
      <w:start w:val="1"/>
      <w:numFmt w:val="bullet"/>
      <w:lvlText w:val=""/>
      <w:lvlJc w:val="left"/>
      <w:pPr>
        <w:tabs>
          <w:tab w:val="num" w:pos="5760"/>
        </w:tabs>
        <w:ind w:left="5760" w:hanging="360"/>
      </w:pPr>
      <w:rPr>
        <w:rFonts w:ascii="Wingdings" w:hAnsi="Wingdings" w:hint="default"/>
      </w:rPr>
    </w:lvl>
    <w:lvl w:ilvl="8" w:tplc="8F02E16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6EC000B8"/>
    <w:multiLevelType w:val="hybridMultilevel"/>
    <w:tmpl w:val="79366C90"/>
    <w:lvl w:ilvl="0" w:tplc="6BEA8B40">
      <w:start w:val="1"/>
      <w:numFmt w:val="bullet"/>
      <w:lvlText w:val="•"/>
      <w:lvlJc w:val="left"/>
      <w:pPr>
        <w:tabs>
          <w:tab w:val="num" w:pos="720"/>
        </w:tabs>
        <w:ind w:left="720" w:hanging="360"/>
      </w:pPr>
      <w:rPr>
        <w:rFonts w:ascii="Arial" w:hAnsi="Arial" w:hint="default"/>
      </w:rPr>
    </w:lvl>
    <w:lvl w:ilvl="1" w:tplc="78F4C826" w:tentative="1">
      <w:start w:val="1"/>
      <w:numFmt w:val="bullet"/>
      <w:lvlText w:val="•"/>
      <w:lvlJc w:val="left"/>
      <w:pPr>
        <w:tabs>
          <w:tab w:val="num" w:pos="1440"/>
        </w:tabs>
        <w:ind w:left="1440" w:hanging="360"/>
      </w:pPr>
      <w:rPr>
        <w:rFonts w:ascii="Arial" w:hAnsi="Arial" w:hint="default"/>
      </w:rPr>
    </w:lvl>
    <w:lvl w:ilvl="2" w:tplc="0F34B6C2" w:tentative="1">
      <w:start w:val="1"/>
      <w:numFmt w:val="bullet"/>
      <w:lvlText w:val="•"/>
      <w:lvlJc w:val="left"/>
      <w:pPr>
        <w:tabs>
          <w:tab w:val="num" w:pos="2160"/>
        </w:tabs>
        <w:ind w:left="2160" w:hanging="360"/>
      </w:pPr>
      <w:rPr>
        <w:rFonts w:ascii="Arial" w:hAnsi="Arial" w:hint="default"/>
      </w:rPr>
    </w:lvl>
    <w:lvl w:ilvl="3" w:tplc="E2B60690" w:tentative="1">
      <w:start w:val="1"/>
      <w:numFmt w:val="bullet"/>
      <w:lvlText w:val="•"/>
      <w:lvlJc w:val="left"/>
      <w:pPr>
        <w:tabs>
          <w:tab w:val="num" w:pos="2880"/>
        </w:tabs>
        <w:ind w:left="2880" w:hanging="360"/>
      </w:pPr>
      <w:rPr>
        <w:rFonts w:ascii="Arial" w:hAnsi="Arial" w:hint="default"/>
      </w:rPr>
    </w:lvl>
    <w:lvl w:ilvl="4" w:tplc="14E0514E" w:tentative="1">
      <w:start w:val="1"/>
      <w:numFmt w:val="bullet"/>
      <w:lvlText w:val="•"/>
      <w:lvlJc w:val="left"/>
      <w:pPr>
        <w:tabs>
          <w:tab w:val="num" w:pos="3600"/>
        </w:tabs>
        <w:ind w:left="3600" w:hanging="360"/>
      </w:pPr>
      <w:rPr>
        <w:rFonts w:ascii="Arial" w:hAnsi="Arial" w:hint="default"/>
      </w:rPr>
    </w:lvl>
    <w:lvl w:ilvl="5" w:tplc="791C996C" w:tentative="1">
      <w:start w:val="1"/>
      <w:numFmt w:val="bullet"/>
      <w:lvlText w:val="•"/>
      <w:lvlJc w:val="left"/>
      <w:pPr>
        <w:tabs>
          <w:tab w:val="num" w:pos="4320"/>
        </w:tabs>
        <w:ind w:left="4320" w:hanging="360"/>
      </w:pPr>
      <w:rPr>
        <w:rFonts w:ascii="Arial" w:hAnsi="Arial" w:hint="default"/>
      </w:rPr>
    </w:lvl>
    <w:lvl w:ilvl="6" w:tplc="35DEE3DE" w:tentative="1">
      <w:start w:val="1"/>
      <w:numFmt w:val="bullet"/>
      <w:lvlText w:val="•"/>
      <w:lvlJc w:val="left"/>
      <w:pPr>
        <w:tabs>
          <w:tab w:val="num" w:pos="5040"/>
        </w:tabs>
        <w:ind w:left="5040" w:hanging="360"/>
      </w:pPr>
      <w:rPr>
        <w:rFonts w:ascii="Arial" w:hAnsi="Arial" w:hint="default"/>
      </w:rPr>
    </w:lvl>
    <w:lvl w:ilvl="7" w:tplc="78140EF8" w:tentative="1">
      <w:start w:val="1"/>
      <w:numFmt w:val="bullet"/>
      <w:lvlText w:val="•"/>
      <w:lvlJc w:val="left"/>
      <w:pPr>
        <w:tabs>
          <w:tab w:val="num" w:pos="5760"/>
        </w:tabs>
        <w:ind w:left="5760" w:hanging="360"/>
      </w:pPr>
      <w:rPr>
        <w:rFonts w:ascii="Arial" w:hAnsi="Arial" w:hint="default"/>
      </w:rPr>
    </w:lvl>
    <w:lvl w:ilvl="8" w:tplc="894478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4"/>
  </w:num>
  <w:num w:numId="4">
    <w:abstractNumId w:val="1"/>
  </w:num>
  <w:num w:numId="5">
    <w:abstractNumId w:val="0"/>
  </w:num>
  <w:num w:numId="6">
    <w:abstractNumId w:val="3"/>
  </w:num>
  <w:num w:numId="7">
    <w:abstractNumId w:val="2"/>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16C8"/>
    <w:rsid w:val="00012692"/>
    <w:rsid w:val="00017313"/>
    <w:rsid w:val="00020F9D"/>
    <w:rsid w:val="00025756"/>
    <w:rsid w:val="00025CB7"/>
    <w:rsid w:val="0002611A"/>
    <w:rsid w:val="00026DC0"/>
    <w:rsid w:val="000300D0"/>
    <w:rsid w:val="000305C8"/>
    <w:rsid w:val="00030689"/>
    <w:rsid w:val="00033397"/>
    <w:rsid w:val="00035756"/>
    <w:rsid w:val="00035E90"/>
    <w:rsid w:val="000365B5"/>
    <w:rsid w:val="00040095"/>
    <w:rsid w:val="000430DC"/>
    <w:rsid w:val="000444F6"/>
    <w:rsid w:val="00046E10"/>
    <w:rsid w:val="00050232"/>
    <w:rsid w:val="00050EB8"/>
    <w:rsid w:val="0005307C"/>
    <w:rsid w:val="00053614"/>
    <w:rsid w:val="00060F94"/>
    <w:rsid w:val="00063BA2"/>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59FB"/>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2A80"/>
    <w:rsid w:val="001F36CE"/>
    <w:rsid w:val="001F660A"/>
    <w:rsid w:val="001F7831"/>
    <w:rsid w:val="00201C2F"/>
    <w:rsid w:val="00203F79"/>
    <w:rsid w:val="00204045"/>
    <w:rsid w:val="002059EB"/>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388"/>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5DDB"/>
    <w:rsid w:val="002C02C7"/>
    <w:rsid w:val="002C1E0D"/>
    <w:rsid w:val="002C44EA"/>
    <w:rsid w:val="002C52AF"/>
    <w:rsid w:val="002C5FA8"/>
    <w:rsid w:val="002C614A"/>
    <w:rsid w:val="002C7FDB"/>
    <w:rsid w:val="002D225C"/>
    <w:rsid w:val="002D3588"/>
    <w:rsid w:val="002E0FB4"/>
    <w:rsid w:val="002E331E"/>
    <w:rsid w:val="002F0779"/>
    <w:rsid w:val="002F0D22"/>
    <w:rsid w:val="002F386C"/>
    <w:rsid w:val="002F406C"/>
    <w:rsid w:val="002F69F7"/>
    <w:rsid w:val="0030003D"/>
    <w:rsid w:val="00304A8D"/>
    <w:rsid w:val="00310DCC"/>
    <w:rsid w:val="00314B2A"/>
    <w:rsid w:val="003151D7"/>
    <w:rsid w:val="00315572"/>
    <w:rsid w:val="00316195"/>
    <w:rsid w:val="003161B4"/>
    <w:rsid w:val="003172DC"/>
    <w:rsid w:val="0031758A"/>
    <w:rsid w:val="003226A8"/>
    <w:rsid w:val="00322FA8"/>
    <w:rsid w:val="00324460"/>
    <w:rsid w:val="00325B90"/>
    <w:rsid w:val="00326069"/>
    <w:rsid w:val="00326746"/>
    <w:rsid w:val="00326F85"/>
    <w:rsid w:val="00330F1F"/>
    <w:rsid w:val="00334429"/>
    <w:rsid w:val="00336B28"/>
    <w:rsid w:val="0034053B"/>
    <w:rsid w:val="0034702A"/>
    <w:rsid w:val="00350781"/>
    <w:rsid w:val="00352D97"/>
    <w:rsid w:val="00353CC9"/>
    <w:rsid w:val="0035462D"/>
    <w:rsid w:val="00356B6C"/>
    <w:rsid w:val="0035732E"/>
    <w:rsid w:val="0035791B"/>
    <w:rsid w:val="00357D5A"/>
    <w:rsid w:val="00357FD7"/>
    <w:rsid w:val="00362A21"/>
    <w:rsid w:val="00363321"/>
    <w:rsid w:val="00363CED"/>
    <w:rsid w:val="00365FF9"/>
    <w:rsid w:val="00366470"/>
    <w:rsid w:val="00367759"/>
    <w:rsid w:val="00370277"/>
    <w:rsid w:val="00373801"/>
    <w:rsid w:val="00375DC4"/>
    <w:rsid w:val="00376ABD"/>
    <w:rsid w:val="003806CC"/>
    <w:rsid w:val="00383A82"/>
    <w:rsid w:val="00384421"/>
    <w:rsid w:val="003867D5"/>
    <w:rsid w:val="0039160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3CFF"/>
    <w:rsid w:val="003C4E37"/>
    <w:rsid w:val="003C532A"/>
    <w:rsid w:val="003D2698"/>
    <w:rsid w:val="003D403D"/>
    <w:rsid w:val="003D404A"/>
    <w:rsid w:val="003D53E9"/>
    <w:rsid w:val="003D5E2B"/>
    <w:rsid w:val="003D6E96"/>
    <w:rsid w:val="003D701A"/>
    <w:rsid w:val="003E16BE"/>
    <w:rsid w:val="003E648B"/>
    <w:rsid w:val="003E6842"/>
    <w:rsid w:val="003E6A5A"/>
    <w:rsid w:val="003F148C"/>
    <w:rsid w:val="003F2EBC"/>
    <w:rsid w:val="003F3BAD"/>
    <w:rsid w:val="003F4691"/>
    <w:rsid w:val="003F73BD"/>
    <w:rsid w:val="00401855"/>
    <w:rsid w:val="00401B96"/>
    <w:rsid w:val="00404BD6"/>
    <w:rsid w:val="00404C4F"/>
    <w:rsid w:val="004066C0"/>
    <w:rsid w:val="004124E7"/>
    <w:rsid w:val="0041322C"/>
    <w:rsid w:val="00414F32"/>
    <w:rsid w:val="004175F1"/>
    <w:rsid w:val="0042092F"/>
    <w:rsid w:val="004220F2"/>
    <w:rsid w:val="0042562D"/>
    <w:rsid w:val="0043021C"/>
    <w:rsid w:val="004306EA"/>
    <w:rsid w:val="004320A7"/>
    <w:rsid w:val="00432EA4"/>
    <w:rsid w:val="004333E6"/>
    <w:rsid w:val="004337BD"/>
    <w:rsid w:val="0043496F"/>
    <w:rsid w:val="0043542C"/>
    <w:rsid w:val="00436462"/>
    <w:rsid w:val="00442797"/>
    <w:rsid w:val="00444BF0"/>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0458"/>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1D34"/>
    <w:rsid w:val="004C65C7"/>
    <w:rsid w:val="004D1003"/>
    <w:rsid w:val="004D19ED"/>
    <w:rsid w:val="004D2BAD"/>
    <w:rsid w:val="004D2FAA"/>
    <w:rsid w:val="004D3578"/>
    <w:rsid w:val="004D380D"/>
    <w:rsid w:val="004D3B9B"/>
    <w:rsid w:val="004D5E3E"/>
    <w:rsid w:val="004D6315"/>
    <w:rsid w:val="004D6A65"/>
    <w:rsid w:val="004E1888"/>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0E5"/>
    <w:rsid w:val="00567CAE"/>
    <w:rsid w:val="005711AE"/>
    <w:rsid w:val="00571DB6"/>
    <w:rsid w:val="00575213"/>
    <w:rsid w:val="00576F80"/>
    <w:rsid w:val="005776D7"/>
    <w:rsid w:val="00577CE8"/>
    <w:rsid w:val="00583485"/>
    <w:rsid w:val="00583E34"/>
    <w:rsid w:val="00584F4E"/>
    <w:rsid w:val="00587D15"/>
    <w:rsid w:val="0059000D"/>
    <w:rsid w:val="00590282"/>
    <w:rsid w:val="005916E6"/>
    <w:rsid w:val="005929E7"/>
    <w:rsid w:val="00592A31"/>
    <w:rsid w:val="005935C6"/>
    <w:rsid w:val="005971D0"/>
    <w:rsid w:val="005A16DC"/>
    <w:rsid w:val="005A1848"/>
    <w:rsid w:val="005A395E"/>
    <w:rsid w:val="005A504B"/>
    <w:rsid w:val="005A619E"/>
    <w:rsid w:val="005A62B4"/>
    <w:rsid w:val="005A6731"/>
    <w:rsid w:val="005B0554"/>
    <w:rsid w:val="005B121D"/>
    <w:rsid w:val="005B2EA4"/>
    <w:rsid w:val="005B3245"/>
    <w:rsid w:val="005B511C"/>
    <w:rsid w:val="005C0FDB"/>
    <w:rsid w:val="005C197A"/>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50B8"/>
    <w:rsid w:val="00677229"/>
    <w:rsid w:val="006776D1"/>
    <w:rsid w:val="00677CED"/>
    <w:rsid w:val="0068068E"/>
    <w:rsid w:val="006806B5"/>
    <w:rsid w:val="0068143A"/>
    <w:rsid w:val="00685BC9"/>
    <w:rsid w:val="00685F26"/>
    <w:rsid w:val="00686A0D"/>
    <w:rsid w:val="00690C58"/>
    <w:rsid w:val="00690EAC"/>
    <w:rsid w:val="006961CD"/>
    <w:rsid w:val="006A0B35"/>
    <w:rsid w:val="006A227A"/>
    <w:rsid w:val="006A28E7"/>
    <w:rsid w:val="006A2B2D"/>
    <w:rsid w:val="006B043F"/>
    <w:rsid w:val="006B19D5"/>
    <w:rsid w:val="006B19D6"/>
    <w:rsid w:val="006B3C7A"/>
    <w:rsid w:val="006B6C1A"/>
    <w:rsid w:val="006B78CB"/>
    <w:rsid w:val="006C060B"/>
    <w:rsid w:val="006C115F"/>
    <w:rsid w:val="006C116E"/>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179CF"/>
    <w:rsid w:val="00717F55"/>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3B3B"/>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BC4"/>
    <w:rsid w:val="0080088D"/>
    <w:rsid w:val="00801BFD"/>
    <w:rsid w:val="00801EAD"/>
    <w:rsid w:val="008028A4"/>
    <w:rsid w:val="00803572"/>
    <w:rsid w:val="008068B6"/>
    <w:rsid w:val="00806CC4"/>
    <w:rsid w:val="00814B79"/>
    <w:rsid w:val="00816D4D"/>
    <w:rsid w:val="008201D0"/>
    <w:rsid w:val="0082090C"/>
    <w:rsid w:val="00821268"/>
    <w:rsid w:val="00823F2B"/>
    <w:rsid w:val="008253C4"/>
    <w:rsid w:val="008268CE"/>
    <w:rsid w:val="008314F0"/>
    <w:rsid w:val="00832923"/>
    <w:rsid w:val="00833BD5"/>
    <w:rsid w:val="00834AD1"/>
    <w:rsid w:val="008353F8"/>
    <w:rsid w:val="008356D7"/>
    <w:rsid w:val="00835C87"/>
    <w:rsid w:val="00836710"/>
    <w:rsid w:val="00837BE9"/>
    <w:rsid w:val="0084037D"/>
    <w:rsid w:val="0084155E"/>
    <w:rsid w:val="008429F0"/>
    <w:rsid w:val="00843BD9"/>
    <w:rsid w:val="008450C9"/>
    <w:rsid w:val="00845AD0"/>
    <w:rsid w:val="00850914"/>
    <w:rsid w:val="00852894"/>
    <w:rsid w:val="008531D2"/>
    <w:rsid w:val="00855460"/>
    <w:rsid w:val="00855C5E"/>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5900"/>
    <w:rsid w:val="008A7413"/>
    <w:rsid w:val="008B0648"/>
    <w:rsid w:val="008B1043"/>
    <w:rsid w:val="008B2259"/>
    <w:rsid w:val="008B28B3"/>
    <w:rsid w:val="008B3B1D"/>
    <w:rsid w:val="008B5129"/>
    <w:rsid w:val="008B59AA"/>
    <w:rsid w:val="008B7A6D"/>
    <w:rsid w:val="008C3221"/>
    <w:rsid w:val="008C42D9"/>
    <w:rsid w:val="008C6DD7"/>
    <w:rsid w:val="008D4244"/>
    <w:rsid w:val="008D5AE0"/>
    <w:rsid w:val="008D7B95"/>
    <w:rsid w:val="008E0B44"/>
    <w:rsid w:val="008E4342"/>
    <w:rsid w:val="008E4481"/>
    <w:rsid w:val="008E4CD8"/>
    <w:rsid w:val="008E61CF"/>
    <w:rsid w:val="008F22BE"/>
    <w:rsid w:val="008F32DB"/>
    <w:rsid w:val="008F3F8D"/>
    <w:rsid w:val="008F5548"/>
    <w:rsid w:val="00900863"/>
    <w:rsid w:val="0090187F"/>
    <w:rsid w:val="0090235E"/>
    <w:rsid w:val="0090271F"/>
    <w:rsid w:val="0090499B"/>
    <w:rsid w:val="0090550C"/>
    <w:rsid w:val="009064A4"/>
    <w:rsid w:val="00906B6A"/>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348D"/>
    <w:rsid w:val="0094736B"/>
    <w:rsid w:val="0095085F"/>
    <w:rsid w:val="009525AC"/>
    <w:rsid w:val="009556D8"/>
    <w:rsid w:val="00955C1D"/>
    <w:rsid w:val="00961B32"/>
    <w:rsid w:val="00961E72"/>
    <w:rsid w:val="009628F0"/>
    <w:rsid w:val="009636AF"/>
    <w:rsid w:val="00964C95"/>
    <w:rsid w:val="0096609A"/>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C7CAF"/>
    <w:rsid w:val="009D0471"/>
    <w:rsid w:val="009D3E41"/>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44A"/>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96AC8"/>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51BE"/>
    <w:rsid w:val="00B15449"/>
    <w:rsid w:val="00B1576F"/>
    <w:rsid w:val="00B21FDB"/>
    <w:rsid w:val="00B22A1E"/>
    <w:rsid w:val="00B23C6D"/>
    <w:rsid w:val="00B2597D"/>
    <w:rsid w:val="00B30F18"/>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1BD3"/>
    <w:rsid w:val="00B62978"/>
    <w:rsid w:val="00B62C44"/>
    <w:rsid w:val="00B63B96"/>
    <w:rsid w:val="00B643EA"/>
    <w:rsid w:val="00B65110"/>
    <w:rsid w:val="00B66AE5"/>
    <w:rsid w:val="00B66E71"/>
    <w:rsid w:val="00B7177F"/>
    <w:rsid w:val="00B729FF"/>
    <w:rsid w:val="00B73E31"/>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2D2A"/>
    <w:rsid w:val="00BC4D2F"/>
    <w:rsid w:val="00BC4D65"/>
    <w:rsid w:val="00BC7898"/>
    <w:rsid w:val="00BD0A57"/>
    <w:rsid w:val="00BD1A01"/>
    <w:rsid w:val="00BD6045"/>
    <w:rsid w:val="00BE2B44"/>
    <w:rsid w:val="00BE2B4A"/>
    <w:rsid w:val="00BE5542"/>
    <w:rsid w:val="00BE670A"/>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3158"/>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68F0"/>
    <w:rsid w:val="00C77AEB"/>
    <w:rsid w:val="00C822A0"/>
    <w:rsid w:val="00C826E1"/>
    <w:rsid w:val="00C83A13"/>
    <w:rsid w:val="00C87BB8"/>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2940"/>
    <w:rsid w:val="00CF5589"/>
    <w:rsid w:val="00CF6031"/>
    <w:rsid w:val="00CF681D"/>
    <w:rsid w:val="00D0150E"/>
    <w:rsid w:val="00D01C09"/>
    <w:rsid w:val="00D04056"/>
    <w:rsid w:val="00D05063"/>
    <w:rsid w:val="00D07A80"/>
    <w:rsid w:val="00D13351"/>
    <w:rsid w:val="00D16292"/>
    <w:rsid w:val="00D203BA"/>
    <w:rsid w:val="00D20564"/>
    <w:rsid w:val="00D21307"/>
    <w:rsid w:val="00D229B4"/>
    <w:rsid w:val="00D231C2"/>
    <w:rsid w:val="00D26468"/>
    <w:rsid w:val="00D26759"/>
    <w:rsid w:val="00D2778B"/>
    <w:rsid w:val="00D27953"/>
    <w:rsid w:val="00D27B06"/>
    <w:rsid w:val="00D27C34"/>
    <w:rsid w:val="00D30C3E"/>
    <w:rsid w:val="00D30FF0"/>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5755A"/>
    <w:rsid w:val="00D60083"/>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5E53"/>
    <w:rsid w:val="00D87E00"/>
    <w:rsid w:val="00D902CE"/>
    <w:rsid w:val="00D9134D"/>
    <w:rsid w:val="00D93803"/>
    <w:rsid w:val="00D94F1C"/>
    <w:rsid w:val="00D94F9F"/>
    <w:rsid w:val="00D95CF9"/>
    <w:rsid w:val="00D96128"/>
    <w:rsid w:val="00D96D11"/>
    <w:rsid w:val="00D97702"/>
    <w:rsid w:val="00DA16AB"/>
    <w:rsid w:val="00DA1E0A"/>
    <w:rsid w:val="00DA3EDB"/>
    <w:rsid w:val="00DA7A03"/>
    <w:rsid w:val="00DB0D47"/>
    <w:rsid w:val="00DB1818"/>
    <w:rsid w:val="00DB2C8F"/>
    <w:rsid w:val="00DB5C8B"/>
    <w:rsid w:val="00DB6807"/>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4762"/>
    <w:rsid w:val="00E275A4"/>
    <w:rsid w:val="00E3044D"/>
    <w:rsid w:val="00E30CA7"/>
    <w:rsid w:val="00E33458"/>
    <w:rsid w:val="00E4003A"/>
    <w:rsid w:val="00E4045F"/>
    <w:rsid w:val="00E43A7B"/>
    <w:rsid w:val="00E45AFE"/>
    <w:rsid w:val="00E45FBC"/>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C86"/>
    <w:rsid w:val="00EE0F99"/>
    <w:rsid w:val="00EE4C68"/>
    <w:rsid w:val="00EE4D8F"/>
    <w:rsid w:val="00EE4D9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036D"/>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5371829">
      <w:bodyDiv w:val="1"/>
      <w:marLeft w:val="0"/>
      <w:marRight w:val="0"/>
      <w:marTop w:val="0"/>
      <w:marBottom w:val="0"/>
      <w:divBdr>
        <w:top w:val="none" w:sz="0" w:space="0" w:color="auto"/>
        <w:left w:val="none" w:sz="0" w:space="0" w:color="auto"/>
        <w:bottom w:val="none" w:sz="0" w:space="0" w:color="auto"/>
        <w:right w:val="none" w:sz="0" w:space="0" w:color="auto"/>
      </w:divBdr>
      <w:divsChild>
        <w:div w:id="1791975139">
          <w:marLeft w:val="0"/>
          <w:marRight w:val="0"/>
          <w:marTop w:val="0"/>
          <w:marBottom w:val="0"/>
          <w:divBdr>
            <w:top w:val="none" w:sz="0" w:space="0" w:color="auto"/>
            <w:left w:val="none" w:sz="0" w:space="0" w:color="auto"/>
            <w:bottom w:val="none" w:sz="0" w:space="0" w:color="auto"/>
            <w:right w:val="none" w:sz="0" w:space="0" w:color="auto"/>
          </w:divBdr>
          <w:divsChild>
            <w:div w:id="982005880">
              <w:marLeft w:val="0"/>
              <w:marRight w:val="0"/>
              <w:marTop w:val="0"/>
              <w:marBottom w:val="0"/>
              <w:divBdr>
                <w:top w:val="none" w:sz="0" w:space="0" w:color="auto"/>
                <w:left w:val="none" w:sz="0" w:space="0" w:color="auto"/>
                <w:bottom w:val="none" w:sz="0" w:space="0" w:color="auto"/>
                <w:right w:val="none" w:sz="0" w:space="0" w:color="auto"/>
              </w:divBdr>
              <w:divsChild>
                <w:div w:id="145170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1729833">
      <w:bodyDiv w:val="1"/>
      <w:marLeft w:val="0"/>
      <w:marRight w:val="0"/>
      <w:marTop w:val="0"/>
      <w:marBottom w:val="0"/>
      <w:divBdr>
        <w:top w:val="none" w:sz="0" w:space="0" w:color="auto"/>
        <w:left w:val="none" w:sz="0" w:space="0" w:color="auto"/>
        <w:bottom w:val="none" w:sz="0" w:space="0" w:color="auto"/>
        <w:right w:val="none" w:sz="0" w:space="0" w:color="auto"/>
      </w:divBdr>
      <w:divsChild>
        <w:div w:id="102262539">
          <w:marLeft w:val="1166"/>
          <w:marRight w:val="0"/>
          <w:marTop w:val="67"/>
          <w:marBottom w:val="0"/>
          <w:divBdr>
            <w:top w:val="none" w:sz="0" w:space="0" w:color="auto"/>
            <w:left w:val="none" w:sz="0" w:space="0" w:color="auto"/>
            <w:bottom w:val="none" w:sz="0" w:space="0" w:color="auto"/>
            <w:right w:val="none" w:sz="0" w:space="0" w:color="auto"/>
          </w:divBdr>
        </w:div>
        <w:div w:id="844634614">
          <w:marLeft w:val="1886"/>
          <w:marRight w:val="0"/>
          <w:marTop w:val="67"/>
          <w:marBottom w:val="0"/>
          <w:divBdr>
            <w:top w:val="none" w:sz="0" w:space="0" w:color="auto"/>
            <w:left w:val="none" w:sz="0" w:space="0" w:color="auto"/>
            <w:bottom w:val="none" w:sz="0" w:space="0" w:color="auto"/>
            <w:right w:val="none" w:sz="0" w:space="0" w:color="auto"/>
          </w:divBdr>
        </w:div>
        <w:div w:id="2056541582">
          <w:marLeft w:val="3326"/>
          <w:marRight w:val="0"/>
          <w:marTop w:val="58"/>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164971306">
      <w:bodyDiv w:val="1"/>
      <w:marLeft w:val="0"/>
      <w:marRight w:val="0"/>
      <w:marTop w:val="0"/>
      <w:marBottom w:val="0"/>
      <w:divBdr>
        <w:top w:val="none" w:sz="0" w:space="0" w:color="auto"/>
        <w:left w:val="none" w:sz="0" w:space="0" w:color="auto"/>
        <w:bottom w:val="none" w:sz="0" w:space="0" w:color="auto"/>
        <w:right w:val="none" w:sz="0" w:space="0" w:color="auto"/>
      </w:divBdr>
      <w:divsChild>
        <w:div w:id="804271065">
          <w:marLeft w:val="547"/>
          <w:marRight w:val="0"/>
          <w:marTop w:val="154"/>
          <w:marBottom w:val="0"/>
          <w:divBdr>
            <w:top w:val="none" w:sz="0" w:space="0" w:color="auto"/>
            <w:left w:val="none" w:sz="0" w:space="0" w:color="auto"/>
            <w:bottom w:val="none" w:sz="0" w:space="0" w:color="auto"/>
            <w:right w:val="none" w:sz="0" w:space="0" w:color="auto"/>
          </w:divBdr>
        </w:div>
        <w:div w:id="903102875">
          <w:marLeft w:val="547"/>
          <w:marRight w:val="0"/>
          <w:marTop w:val="154"/>
          <w:marBottom w:val="0"/>
          <w:divBdr>
            <w:top w:val="none" w:sz="0" w:space="0" w:color="auto"/>
            <w:left w:val="none" w:sz="0" w:space="0" w:color="auto"/>
            <w:bottom w:val="none" w:sz="0" w:space="0" w:color="auto"/>
            <w:right w:val="none" w:sz="0" w:space="0" w:color="auto"/>
          </w:divBdr>
        </w:div>
        <w:div w:id="957687747">
          <w:marLeft w:val="547"/>
          <w:marRight w:val="0"/>
          <w:marTop w:val="154"/>
          <w:marBottom w:val="0"/>
          <w:divBdr>
            <w:top w:val="none" w:sz="0" w:space="0" w:color="auto"/>
            <w:left w:val="none" w:sz="0" w:space="0" w:color="auto"/>
            <w:bottom w:val="none" w:sz="0" w:space="0" w:color="auto"/>
            <w:right w:val="none" w:sz="0" w:space="0" w:color="auto"/>
          </w:divBdr>
        </w:div>
        <w:div w:id="701786104">
          <w:marLeft w:val="547"/>
          <w:marRight w:val="0"/>
          <w:marTop w:val="154"/>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11321732">
      <w:bodyDiv w:val="1"/>
      <w:marLeft w:val="0"/>
      <w:marRight w:val="0"/>
      <w:marTop w:val="0"/>
      <w:marBottom w:val="0"/>
      <w:divBdr>
        <w:top w:val="none" w:sz="0" w:space="0" w:color="auto"/>
        <w:left w:val="none" w:sz="0" w:space="0" w:color="auto"/>
        <w:bottom w:val="none" w:sz="0" w:space="0" w:color="auto"/>
        <w:right w:val="none" w:sz="0" w:space="0" w:color="auto"/>
      </w:divBdr>
      <w:divsChild>
        <w:div w:id="912396059">
          <w:marLeft w:val="1166"/>
          <w:marRight w:val="0"/>
          <w:marTop w:val="67"/>
          <w:marBottom w:val="0"/>
          <w:divBdr>
            <w:top w:val="none" w:sz="0" w:space="0" w:color="auto"/>
            <w:left w:val="none" w:sz="0" w:space="0" w:color="auto"/>
            <w:bottom w:val="none" w:sz="0" w:space="0" w:color="auto"/>
            <w:right w:val="none" w:sz="0" w:space="0" w:color="auto"/>
          </w:divBdr>
        </w:div>
        <w:div w:id="296107780">
          <w:marLeft w:val="1886"/>
          <w:marRight w:val="0"/>
          <w:marTop w:val="67"/>
          <w:marBottom w:val="0"/>
          <w:divBdr>
            <w:top w:val="none" w:sz="0" w:space="0" w:color="auto"/>
            <w:left w:val="none" w:sz="0" w:space="0" w:color="auto"/>
            <w:bottom w:val="none" w:sz="0" w:space="0" w:color="auto"/>
            <w:right w:val="none" w:sz="0" w:space="0" w:color="auto"/>
          </w:divBdr>
        </w:div>
        <w:div w:id="117645696">
          <w:marLeft w:val="1886"/>
          <w:marRight w:val="0"/>
          <w:marTop w:val="67"/>
          <w:marBottom w:val="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408848103">
      <w:bodyDiv w:val="1"/>
      <w:marLeft w:val="0"/>
      <w:marRight w:val="0"/>
      <w:marTop w:val="0"/>
      <w:marBottom w:val="0"/>
      <w:divBdr>
        <w:top w:val="none" w:sz="0" w:space="0" w:color="auto"/>
        <w:left w:val="none" w:sz="0" w:space="0" w:color="auto"/>
        <w:bottom w:val="none" w:sz="0" w:space="0" w:color="auto"/>
        <w:right w:val="none" w:sz="0" w:space="0" w:color="auto"/>
      </w:divBdr>
      <w:divsChild>
        <w:div w:id="1518887505">
          <w:marLeft w:val="0"/>
          <w:marRight w:val="0"/>
          <w:marTop w:val="0"/>
          <w:marBottom w:val="0"/>
          <w:divBdr>
            <w:top w:val="none" w:sz="0" w:space="0" w:color="auto"/>
            <w:left w:val="none" w:sz="0" w:space="0" w:color="auto"/>
            <w:bottom w:val="none" w:sz="0" w:space="0" w:color="auto"/>
            <w:right w:val="none" w:sz="0" w:space="0" w:color="auto"/>
          </w:divBdr>
          <w:divsChild>
            <w:div w:id="1752968591">
              <w:marLeft w:val="0"/>
              <w:marRight w:val="0"/>
              <w:marTop w:val="0"/>
              <w:marBottom w:val="0"/>
              <w:divBdr>
                <w:top w:val="none" w:sz="0" w:space="0" w:color="auto"/>
                <w:left w:val="none" w:sz="0" w:space="0" w:color="auto"/>
                <w:bottom w:val="none" w:sz="0" w:space="0" w:color="auto"/>
                <w:right w:val="none" w:sz="0" w:space="0" w:color="auto"/>
              </w:divBdr>
              <w:divsChild>
                <w:div w:id="107015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576301">
      <w:bodyDiv w:val="1"/>
      <w:marLeft w:val="0"/>
      <w:marRight w:val="0"/>
      <w:marTop w:val="0"/>
      <w:marBottom w:val="0"/>
      <w:divBdr>
        <w:top w:val="none" w:sz="0" w:space="0" w:color="auto"/>
        <w:left w:val="none" w:sz="0" w:space="0" w:color="auto"/>
        <w:bottom w:val="none" w:sz="0" w:space="0" w:color="auto"/>
        <w:right w:val="none" w:sz="0" w:space="0" w:color="auto"/>
      </w:divBdr>
      <w:divsChild>
        <w:div w:id="1860971205">
          <w:marLeft w:val="1166"/>
          <w:marRight w:val="0"/>
          <w:marTop w:val="67"/>
          <w:marBottom w:val="0"/>
          <w:divBdr>
            <w:top w:val="none" w:sz="0" w:space="0" w:color="auto"/>
            <w:left w:val="none" w:sz="0" w:space="0" w:color="auto"/>
            <w:bottom w:val="none" w:sz="0" w:space="0" w:color="auto"/>
            <w:right w:val="none" w:sz="0" w:space="0" w:color="auto"/>
          </w:divBdr>
        </w:div>
        <w:div w:id="291834411">
          <w:marLeft w:val="1886"/>
          <w:marRight w:val="0"/>
          <w:marTop w:val="67"/>
          <w:marBottom w:val="0"/>
          <w:divBdr>
            <w:top w:val="none" w:sz="0" w:space="0" w:color="auto"/>
            <w:left w:val="none" w:sz="0" w:space="0" w:color="auto"/>
            <w:bottom w:val="none" w:sz="0" w:space="0" w:color="auto"/>
            <w:right w:val="none" w:sz="0" w:space="0" w:color="auto"/>
          </w:divBdr>
        </w:div>
        <w:div w:id="1685010293">
          <w:marLeft w:val="3326"/>
          <w:marRight w:val="0"/>
          <w:marTop w:val="58"/>
          <w:marBottom w:val="0"/>
          <w:divBdr>
            <w:top w:val="none" w:sz="0" w:space="0" w:color="auto"/>
            <w:left w:val="none" w:sz="0" w:space="0" w:color="auto"/>
            <w:bottom w:val="none" w:sz="0" w:space="0" w:color="auto"/>
            <w:right w:val="none" w:sz="0" w:space="0" w:color="auto"/>
          </w:divBdr>
        </w:div>
        <w:div w:id="704019560">
          <w:marLeft w:val="1166"/>
          <w:marRight w:val="0"/>
          <w:marTop w:val="67"/>
          <w:marBottom w:val="0"/>
          <w:divBdr>
            <w:top w:val="none" w:sz="0" w:space="0" w:color="auto"/>
            <w:left w:val="none" w:sz="0" w:space="0" w:color="auto"/>
            <w:bottom w:val="none" w:sz="0" w:space="0" w:color="auto"/>
            <w:right w:val="none" w:sz="0" w:space="0" w:color="auto"/>
          </w:divBdr>
        </w:div>
        <w:div w:id="1024134289">
          <w:marLeft w:val="1886"/>
          <w:marRight w:val="0"/>
          <w:marTop w:val="67"/>
          <w:marBottom w:val="0"/>
          <w:divBdr>
            <w:top w:val="none" w:sz="0" w:space="0" w:color="auto"/>
            <w:left w:val="none" w:sz="0" w:space="0" w:color="auto"/>
            <w:bottom w:val="none" w:sz="0" w:space="0" w:color="auto"/>
            <w:right w:val="none" w:sz="0" w:space="0" w:color="auto"/>
          </w:divBdr>
        </w:div>
        <w:div w:id="1793666863">
          <w:marLeft w:val="1886"/>
          <w:marRight w:val="0"/>
          <w:marTop w:val="67"/>
          <w:marBottom w:val="0"/>
          <w:divBdr>
            <w:top w:val="none" w:sz="0" w:space="0" w:color="auto"/>
            <w:left w:val="none" w:sz="0" w:space="0" w:color="auto"/>
            <w:bottom w:val="none" w:sz="0" w:space="0" w:color="auto"/>
            <w:right w:val="none" w:sz="0" w:space="0" w:color="auto"/>
          </w:divBdr>
        </w:div>
        <w:div w:id="82343999">
          <w:marLeft w:val="1886"/>
          <w:marRight w:val="0"/>
          <w:marTop w:val="67"/>
          <w:marBottom w:val="0"/>
          <w:divBdr>
            <w:top w:val="none" w:sz="0" w:space="0" w:color="auto"/>
            <w:left w:val="none" w:sz="0" w:space="0" w:color="auto"/>
            <w:bottom w:val="none" w:sz="0" w:space="0" w:color="auto"/>
            <w:right w:val="none" w:sz="0" w:space="0" w:color="auto"/>
          </w:divBdr>
        </w:div>
        <w:div w:id="316499680">
          <w:marLeft w:val="1166"/>
          <w:marRight w:val="0"/>
          <w:marTop w:val="67"/>
          <w:marBottom w:val="0"/>
          <w:divBdr>
            <w:top w:val="none" w:sz="0" w:space="0" w:color="auto"/>
            <w:left w:val="none" w:sz="0" w:space="0" w:color="auto"/>
            <w:bottom w:val="none" w:sz="0" w:space="0" w:color="auto"/>
            <w:right w:val="none" w:sz="0" w:space="0" w:color="auto"/>
          </w:divBdr>
        </w:div>
        <w:div w:id="2133208806">
          <w:marLeft w:val="1886"/>
          <w:marRight w:val="0"/>
          <w:marTop w:val="67"/>
          <w:marBottom w:val="0"/>
          <w:divBdr>
            <w:top w:val="none" w:sz="0" w:space="0" w:color="auto"/>
            <w:left w:val="none" w:sz="0" w:space="0" w:color="auto"/>
            <w:bottom w:val="none" w:sz="0" w:space="0" w:color="auto"/>
            <w:right w:val="none" w:sz="0" w:space="0" w:color="auto"/>
          </w:divBdr>
        </w:div>
        <w:div w:id="899556931">
          <w:marLeft w:val="1886"/>
          <w:marRight w:val="0"/>
          <w:marTop w:val="67"/>
          <w:marBottom w:val="0"/>
          <w:divBdr>
            <w:top w:val="none" w:sz="0" w:space="0" w:color="auto"/>
            <w:left w:val="none" w:sz="0" w:space="0" w:color="auto"/>
            <w:bottom w:val="none" w:sz="0" w:space="0" w:color="auto"/>
            <w:right w:val="none" w:sz="0" w:space="0" w:color="auto"/>
          </w:divBdr>
        </w:div>
        <w:div w:id="326596000">
          <w:marLeft w:val="1166"/>
          <w:marRight w:val="0"/>
          <w:marTop w:val="67"/>
          <w:marBottom w:val="0"/>
          <w:divBdr>
            <w:top w:val="none" w:sz="0" w:space="0" w:color="auto"/>
            <w:left w:val="none" w:sz="0" w:space="0" w:color="auto"/>
            <w:bottom w:val="none" w:sz="0" w:space="0" w:color="auto"/>
            <w:right w:val="none" w:sz="0" w:space="0" w:color="auto"/>
          </w:divBdr>
        </w:div>
        <w:div w:id="1790389458">
          <w:marLeft w:val="1886"/>
          <w:marRight w:val="0"/>
          <w:marTop w:val="67"/>
          <w:marBottom w:val="0"/>
          <w:divBdr>
            <w:top w:val="none" w:sz="0" w:space="0" w:color="auto"/>
            <w:left w:val="none" w:sz="0" w:space="0" w:color="auto"/>
            <w:bottom w:val="none" w:sz="0" w:space="0" w:color="auto"/>
            <w:right w:val="none" w:sz="0" w:space="0" w:color="auto"/>
          </w:divBdr>
        </w:div>
        <w:div w:id="233123422">
          <w:marLeft w:val="1886"/>
          <w:marRight w:val="0"/>
          <w:marTop w:val="67"/>
          <w:marBottom w:val="0"/>
          <w:divBdr>
            <w:top w:val="none" w:sz="0" w:space="0" w:color="auto"/>
            <w:left w:val="none" w:sz="0" w:space="0" w:color="auto"/>
            <w:bottom w:val="none" w:sz="0" w:space="0" w:color="auto"/>
            <w:right w:val="none" w:sz="0" w:space="0" w:color="auto"/>
          </w:divBdr>
        </w:div>
        <w:div w:id="2130196543">
          <w:marLeft w:val="1886"/>
          <w:marRight w:val="0"/>
          <w:marTop w:val="67"/>
          <w:marBottom w:val="0"/>
          <w:divBdr>
            <w:top w:val="none" w:sz="0" w:space="0" w:color="auto"/>
            <w:left w:val="none" w:sz="0" w:space="0" w:color="auto"/>
            <w:bottom w:val="none" w:sz="0" w:space="0" w:color="auto"/>
            <w:right w:val="none" w:sz="0" w:space="0" w:color="auto"/>
          </w:divBdr>
        </w:div>
        <w:div w:id="582184523">
          <w:marLeft w:val="1166"/>
          <w:marRight w:val="0"/>
          <w:marTop w:val="67"/>
          <w:marBottom w:val="0"/>
          <w:divBdr>
            <w:top w:val="none" w:sz="0" w:space="0" w:color="auto"/>
            <w:left w:val="none" w:sz="0" w:space="0" w:color="auto"/>
            <w:bottom w:val="none" w:sz="0" w:space="0" w:color="auto"/>
            <w:right w:val="none" w:sz="0" w:space="0" w:color="auto"/>
          </w:divBdr>
        </w:div>
        <w:div w:id="1046877387">
          <w:marLeft w:val="1886"/>
          <w:marRight w:val="0"/>
          <w:marTop w:val="67"/>
          <w:marBottom w:val="0"/>
          <w:divBdr>
            <w:top w:val="none" w:sz="0" w:space="0" w:color="auto"/>
            <w:left w:val="none" w:sz="0" w:space="0" w:color="auto"/>
            <w:bottom w:val="none" w:sz="0" w:space="0" w:color="auto"/>
            <w:right w:val="none" w:sz="0" w:space="0" w:color="auto"/>
          </w:divBdr>
        </w:div>
        <w:div w:id="249200117">
          <w:marLeft w:val="1886"/>
          <w:marRight w:val="0"/>
          <w:marTop w:val="67"/>
          <w:marBottom w:val="0"/>
          <w:divBdr>
            <w:top w:val="none" w:sz="0" w:space="0" w:color="auto"/>
            <w:left w:val="none" w:sz="0" w:space="0" w:color="auto"/>
            <w:bottom w:val="none" w:sz="0" w:space="0" w:color="auto"/>
            <w:right w:val="none" w:sz="0" w:space="0" w:color="auto"/>
          </w:divBdr>
        </w:div>
        <w:div w:id="1944920306">
          <w:marLeft w:val="1166"/>
          <w:marRight w:val="0"/>
          <w:marTop w:val="67"/>
          <w:marBottom w:val="0"/>
          <w:divBdr>
            <w:top w:val="none" w:sz="0" w:space="0" w:color="auto"/>
            <w:left w:val="none" w:sz="0" w:space="0" w:color="auto"/>
            <w:bottom w:val="none" w:sz="0" w:space="0" w:color="auto"/>
            <w:right w:val="none" w:sz="0" w:space="0" w:color="auto"/>
          </w:divBdr>
        </w:div>
        <w:div w:id="138573194">
          <w:marLeft w:val="1800"/>
          <w:marRight w:val="0"/>
          <w:marTop w:val="62"/>
          <w:marBottom w:val="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701B7-2A60-4A49-BB67-0648CED7B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3</Pages>
  <Words>969</Words>
  <Characters>4653</Characters>
  <Application>Microsoft Office Word</Application>
  <DocSecurity>0</DocSecurity>
  <Lines>273</Lines>
  <Paragraphs>200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2019-05-03T10:06:00Z</dcterms:created>
  <dcterms:modified xsi:type="dcterms:W3CDTF">2019-05-03T10:06:00Z</dcterms:modified>
  <cp:category/>
</cp:coreProperties>
</file>