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4CA9405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75615A">
        <w:rPr>
          <w:rFonts w:ascii="Arial" w:eastAsia="SimSun" w:hAnsi="Arial" w:cs="Times New Roman"/>
          <w:b/>
          <w:sz w:val="24"/>
          <w:szCs w:val="20"/>
          <w:lang w:val="en-GB"/>
        </w:rPr>
        <w:t>90</w:t>
      </w:r>
      <w:r w:rsidR="00AC1932">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410136">
        <w:rPr>
          <w:rFonts w:ascii="Arial" w:eastAsia="SimSun" w:hAnsi="Arial" w:cs="Times New Roman"/>
          <w:b/>
          <w:bCs/>
          <w:sz w:val="24"/>
          <w:szCs w:val="20"/>
          <w:lang w:val="en-GB" w:eastAsia="zh-CN"/>
        </w:rPr>
        <w:t>19</w:t>
      </w:r>
      <w:r w:rsidR="00410136" w:rsidRPr="00257C48">
        <w:rPr>
          <w:rFonts w:ascii="Arial" w:eastAsia="SimSun" w:hAnsi="Arial" w:cs="Times New Roman"/>
          <w:b/>
          <w:bCs/>
          <w:sz w:val="24"/>
          <w:szCs w:val="20"/>
          <w:lang w:val="en-GB" w:eastAsia="zh-CN"/>
        </w:rPr>
        <w:t>0</w:t>
      </w:r>
      <w:r w:rsidR="00410136">
        <w:rPr>
          <w:rFonts w:ascii="Arial" w:eastAsia="SimSun" w:hAnsi="Arial" w:cs="Times New Roman"/>
          <w:b/>
          <w:bCs/>
          <w:sz w:val="24"/>
          <w:szCs w:val="20"/>
          <w:lang w:val="en-GB" w:eastAsia="zh-CN"/>
        </w:rPr>
        <w:t>3</w:t>
      </w:r>
      <w:r w:rsidR="0085211E">
        <w:rPr>
          <w:rFonts w:ascii="Arial" w:eastAsia="SimSun" w:hAnsi="Arial" w:cs="Times New Roman"/>
          <w:b/>
          <w:bCs/>
          <w:sz w:val="24"/>
          <w:szCs w:val="20"/>
          <w:lang w:val="en-GB" w:eastAsia="zh-CN"/>
        </w:rPr>
        <w:t>9</w:t>
      </w:r>
      <w:bookmarkStart w:id="3" w:name="_GoBack"/>
      <w:bookmarkEnd w:id="3"/>
      <w:r w:rsidR="00410136">
        <w:rPr>
          <w:rFonts w:ascii="Arial" w:eastAsia="SimSun" w:hAnsi="Arial" w:cs="Times New Roman"/>
          <w:b/>
          <w:bCs/>
          <w:sz w:val="24"/>
          <w:szCs w:val="20"/>
          <w:lang w:val="en-GB" w:eastAsia="zh-CN"/>
        </w:rPr>
        <w:t>17</w:t>
      </w:r>
    </w:p>
    <w:p w14:paraId="3DEDC117" w14:textId="1372724E" w:rsidR="00841BCD" w:rsidRPr="00841BCD" w:rsidRDefault="0041013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 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75615A">
        <w:rPr>
          <w:rFonts w:ascii="Arial" w:eastAsia="SimSun" w:hAnsi="Arial" w:cs="Times New Roman"/>
          <w:b/>
          <w:sz w:val="24"/>
          <w:szCs w:val="20"/>
          <w:lang w:val="en-GB"/>
        </w:rPr>
        <w:t>1</w:t>
      </w:r>
      <w:r>
        <w:rPr>
          <w:rFonts w:ascii="Arial" w:eastAsia="SimSun" w:hAnsi="Arial" w:cs="Times New Roman"/>
          <w:b/>
          <w:sz w:val="24"/>
          <w:szCs w:val="20"/>
          <w:lang w:val="en-GB"/>
        </w:rPr>
        <w:t>2</w:t>
      </w:r>
      <w:r w:rsidR="0075615A" w:rsidRPr="0075615A">
        <w:rPr>
          <w:rFonts w:ascii="Arial" w:eastAsia="SimSun" w:hAnsi="Arial" w:cs="Times New Roman"/>
          <w:b/>
          <w:sz w:val="24"/>
          <w:szCs w:val="20"/>
          <w:vertAlign w:val="superscript"/>
          <w:lang w:val="en-GB"/>
        </w:rPr>
        <w:t>t</w:t>
      </w:r>
      <w:r>
        <w:rPr>
          <w:rFonts w:ascii="Arial" w:eastAsia="SimSun" w:hAnsi="Arial" w:cs="Times New Roman"/>
          <w:b/>
          <w:sz w:val="24"/>
          <w:szCs w:val="20"/>
          <w:vertAlign w:val="superscript"/>
          <w:lang w:val="en-GB"/>
        </w:rPr>
        <w:t>h</w:t>
      </w:r>
      <w:r w:rsidR="0075615A">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7561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2F4FFF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10136" w:rsidRPr="00410136">
        <w:rPr>
          <w:rFonts w:ascii="Arial" w:eastAsia="Calibri" w:hAnsi="Arial" w:cs="Arial"/>
          <w:b/>
          <w:bCs/>
          <w:sz w:val="24"/>
          <w:lang w:val="en-GB"/>
        </w:rPr>
        <w:t>UE TCI state switch requirements discussion</w:t>
      </w:r>
      <w:r w:rsidRPr="00841BCD" w:rsidDel="000A742C">
        <w:rPr>
          <w:rFonts w:ascii="Arial" w:eastAsia="Calibri" w:hAnsi="Arial" w:cs="Arial"/>
          <w:b/>
          <w:bCs/>
          <w:sz w:val="24"/>
          <w:lang w:val="en-GB"/>
        </w:rPr>
        <w:t xml:space="preserve"> </w:t>
      </w:r>
    </w:p>
    <w:p w14:paraId="53921647" w14:textId="799AEB5F" w:rsidR="00841BCD" w:rsidRPr="00257C48"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E5325" w:rsidRPr="00257C48">
        <w:rPr>
          <w:rFonts w:ascii="Arial" w:eastAsia="MS Mincho" w:hAnsi="Arial" w:cs="Arial"/>
          <w:b/>
          <w:bCs/>
          <w:sz w:val="24"/>
          <w:szCs w:val="20"/>
          <w:lang w:val="en-GB"/>
        </w:rPr>
        <w:t>6.1</w:t>
      </w:r>
      <w:r w:rsidR="00410136">
        <w:rPr>
          <w:rFonts w:ascii="Arial" w:eastAsia="MS Mincho" w:hAnsi="Arial" w:cs="Arial"/>
          <w:b/>
          <w:bCs/>
          <w:sz w:val="24"/>
          <w:szCs w:val="20"/>
          <w:lang w:val="en-GB"/>
        </w:rPr>
        <w:t>0</w:t>
      </w:r>
      <w:r w:rsidR="000E5325" w:rsidRPr="00257C48">
        <w:rPr>
          <w:rFonts w:ascii="Arial" w:eastAsia="MS Mincho" w:hAnsi="Arial" w:cs="Arial"/>
          <w:b/>
          <w:bCs/>
          <w:sz w:val="24"/>
          <w:szCs w:val="20"/>
          <w:lang w:val="en-GB"/>
        </w:rPr>
        <w:t>.7.</w:t>
      </w:r>
      <w:r w:rsidR="00410136">
        <w:rPr>
          <w:rFonts w:ascii="Arial" w:eastAsia="MS Mincho" w:hAnsi="Arial" w:cs="Arial"/>
          <w:b/>
          <w:bCs/>
          <w:sz w:val="24"/>
          <w:szCs w:val="20"/>
          <w:lang w:val="en-GB"/>
        </w:rPr>
        <w:t>4.1</w:t>
      </w:r>
    </w:p>
    <w:p w14:paraId="266D763D" w14:textId="77777777" w:rsidR="00841BCD" w:rsidRPr="00841BCD" w:rsidRDefault="00841BCD" w:rsidP="00841BCD">
      <w:pPr>
        <w:tabs>
          <w:tab w:val="left" w:pos="1985"/>
        </w:tabs>
        <w:rPr>
          <w:rFonts w:ascii="Arial" w:eastAsia="Calibri" w:hAnsi="Arial" w:cs="Arial"/>
          <w:b/>
          <w:bCs/>
          <w:sz w:val="24"/>
          <w:lang w:val="en-GB"/>
        </w:rPr>
      </w:pPr>
      <w:r w:rsidRPr="00257C48">
        <w:rPr>
          <w:rFonts w:ascii="Arial" w:eastAsia="Calibri" w:hAnsi="Arial" w:cs="Arial"/>
          <w:b/>
          <w:bCs/>
          <w:sz w:val="24"/>
          <w:lang w:val="en-GB"/>
        </w:rPr>
        <w:t>Document for:</w:t>
      </w:r>
      <w:r w:rsidRPr="00257C48">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032660D4" w:rsidR="00A22B78" w:rsidRDefault="00BF6727" w:rsidP="00841BCD">
      <w:pPr>
        <w:ind w:right="-22"/>
        <w:rPr>
          <w:rFonts w:eastAsia="Calibri" w:cs="Times New Roman"/>
          <w:szCs w:val="20"/>
          <w:lang w:val="en-GB"/>
        </w:rPr>
      </w:pPr>
      <w:r>
        <w:rPr>
          <w:rFonts w:eastAsia="Calibri" w:cs="Times New Roman"/>
          <w:szCs w:val="20"/>
          <w:lang w:val="en-GB"/>
        </w:rPr>
        <w:t>In</w:t>
      </w:r>
      <w:r w:rsidR="000E5325">
        <w:rPr>
          <w:rFonts w:eastAsia="Calibri" w:cs="Times New Roman"/>
          <w:szCs w:val="20"/>
          <w:lang w:val="en-GB"/>
        </w:rPr>
        <w:t xml:space="preserve"> </w:t>
      </w:r>
      <w:r>
        <w:rPr>
          <w:rFonts w:eastAsia="Calibri" w:cs="Times New Roman"/>
          <w:szCs w:val="20"/>
          <w:lang w:val="en-GB"/>
        </w:rPr>
        <w:t xml:space="preserve">RAN4 meeting in </w:t>
      </w:r>
      <w:r w:rsidR="005E45CF">
        <w:rPr>
          <w:rFonts w:eastAsia="Calibri" w:cs="Times New Roman"/>
          <w:szCs w:val="20"/>
          <w:lang w:val="en-GB"/>
        </w:rPr>
        <w:t xml:space="preserve">Athens RAN4 continued the </w:t>
      </w:r>
      <w:r w:rsidR="00D70407">
        <w:rPr>
          <w:rFonts w:eastAsia="Calibri" w:cs="Times New Roman"/>
          <w:szCs w:val="20"/>
          <w:lang w:val="en-GB"/>
        </w:rPr>
        <w:t xml:space="preserve">discussion from </w:t>
      </w:r>
      <w:r>
        <w:rPr>
          <w:rFonts w:eastAsia="Calibri" w:cs="Times New Roman"/>
          <w:szCs w:val="20"/>
          <w:lang w:val="en-GB"/>
        </w:rPr>
        <w:t>Spokane related to the UE requirements regarding TCI state and switching delay</w:t>
      </w:r>
      <w:r w:rsidR="00D70407">
        <w:rPr>
          <w:rFonts w:eastAsia="Calibri" w:cs="Times New Roman"/>
          <w:szCs w:val="20"/>
          <w:lang w:val="en-GB"/>
        </w:rPr>
        <w:t>.</w:t>
      </w:r>
      <w:r>
        <w:rPr>
          <w:rFonts w:eastAsia="Calibri" w:cs="Times New Roman"/>
          <w:szCs w:val="20"/>
          <w:lang w:val="en-GB"/>
        </w:rPr>
        <w:t xml:space="preserve"> </w:t>
      </w:r>
      <w:r w:rsidR="00D70407">
        <w:rPr>
          <w:rFonts w:eastAsia="Calibri" w:cs="Times New Roman"/>
          <w:szCs w:val="20"/>
          <w:lang w:val="en-GB"/>
        </w:rPr>
        <w:t>A</w:t>
      </w:r>
      <w:r>
        <w:rPr>
          <w:rFonts w:eastAsia="Calibri" w:cs="Times New Roman"/>
          <w:szCs w:val="20"/>
          <w:lang w:val="en-GB"/>
        </w:rPr>
        <w:t xml:space="preserve"> WF was agreed in</w:t>
      </w:r>
      <w:r w:rsidR="00D70407">
        <w:rPr>
          <w:rFonts w:eastAsia="Calibri" w:cs="Times New Roman"/>
          <w:szCs w:val="20"/>
          <w:lang w:val="en-GB"/>
        </w:rPr>
        <w:t xml:space="preserve"> Spokane</w:t>
      </w:r>
      <w:r>
        <w:rPr>
          <w:rFonts w:eastAsia="Calibri" w:cs="Times New Roman"/>
          <w:szCs w:val="20"/>
          <w:lang w:val="en-GB"/>
        </w:rPr>
        <w:t xml:space="preserve"> [</w:t>
      </w:r>
      <w:r w:rsidR="00E6775A">
        <w:rPr>
          <w:rFonts w:eastAsia="Calibri" w:cs="Times New Roman"/>
          <w:szCs w:val="20"/>
        </w:rPr>
        <w:t>1</w:t>
      </w:r>
      <w:r>
        <w:rPr>
          <w:rFonts w:eastAsia="Calibri" w:cs="Times New Roman"/>
          <w:szCs w:val="20"/>
          <w:lang w:val="en-GB"/>
        </w:rPr>
        <w:t xml:space="preserve">] </w:t>
      </w:r>
      <w:r w:rsidRPr="00BF6727">
        <w:rPr>
          <w:rFonts w:eastAsia="Calibri" w:cs="Times New Roman"/>
          <w:szCs w:val="20"/>
        </w:rPr>
        <w:t xml:space="preserve">WF </w:t>
      </w:r>
      <w:r w:rsidR="00D70407">
        <w:rPr>
          <w:rFonts w:eastAsia="Calibri" w:cs="Times New Roman"/>
          <w:szCs w:val="20"/>
        </w:rPr>
        <w:t>while only little progress was made in Athens</w:t>
      </w:r>
      <w:r w:rsidR="002C2D19">
        <w:rPr>
          <w:rFonts w:eastAsia="Calibri" w:cs="Times New Roman"/>
          <w:szCs w:val="20"/>
          <w:lang w:val="en-GB"/>
        </w:rPr>
        <w:t xml:space="preserve">. </w:t>
      </w:r>
    </w:p>
    <w:p w14:paraId="397F5B17" w14:textId="2E330910" w:rsidR="00BF6727" w:rsidRDefault="00BF6727" w:rsidP="00841BCD">
      <w:pPr>
        <w:ind w:right="-22"/>
        <w:rPr>
          <w:rFonts w:eastAsia="Calibri" w:cs="Times New Roman"/>
          <w:szCs w:val="20"/>
          <w:lang w:val="en-GB"/>
        </w:rPr>
      </w:pPr>
      <w:r>
        <w:rPr>
          <w:rFonts w:eastAsia="Calibri" w:cs="Times New Roman"/>
          <w:szCs w:val="20"/>
          <w:lang w:val="en-GB"/>
        </w:rPr>
        <w:t xml:space="preserve">In this paper we </w:t>
      </w:r>
      <w:r w:rsidR="00862814">
        <w:rPr>
          <w:rFonts w:eastAsia="Calibri" w:cs="Times New Roman"/>
          <w:szCs w:val="20"/>
          <w:lang w:val="en-GB"/>
        </w:rPr>
        <w:t xml:space="preserve">continue to </w:t>
      </w:r>
      <w:r>
        <w:rPr>
          <w:rFonts w:eastAsia="Calibri" w:cs="Times New Roman"/>
          <w:szCs w:val="20"/>
          <w:lang w:val="en-GB"/>
        </w:rPr>
        <w:t>discuss the issues raised in the WF</w:t>
      </w:r>
      <w:r w:rsidR="00D70407">
        <w:rPr>
          <w:rFonts w:eastAsia="Calibri" w:cs="Times New Roman"/>
          <w:szCs w:val="20"/>
          <w:lang w:val="en-GB"/>
        </w:rPr>
        <w:t xml:space="preserve"> [1]</w:t>
      </w:r>
      <w:r>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6FAF2449" w14:textId="39F40991" w:rsidR="00945A35" w:rsidRDefault="00945A35" w:rsidP="00945A35">
      <w:pPr>
        <w:ind w:right="-22"/>
        <w:rPr>
          <w:rFonts w:eastAsia="Calibri" w:cs="Times New Roman"/>
          <w:szCs w:val="20"/>
          <w:lang w:val="en-GB"/>
        </w:rPr>
      </w:pPr>
      <w:r>
        <w:rPr>
          <w:rFonts w:eastAsia="Calibri" w:cs="Times New Roman"/>
          <w:szCs w:val="20"/>
          <w:lang w:val="en-GB"/>
        </w:rPr>
        <w:t>The WF raised two points to be discussed further in RAN4:</w:t>
      </w:r>
    </w:p>
    <w:p w14:paraId="621FCEB9" w14:textId="668442D6" w:rsidR="00945A35" w:rsidRDefault="00945A35" w:rsidP="00945A35">
      <w:pPr>
        <w:pStyle w:val="ListParagraph"/>
        <w:numPr>
          <w:ilvl w:val="0"/>
          <w:numId w:val="21"/>
        </w:numPr>
        <w:ind w:right="-22"/>
        <w:rPr>
          <w:rFonts w:eastAsia="Calibri" w:cs="Times New Roman"/>
          <w:szCs w:val="20"/>
          <w:lang w:val="en-GB"/>
        </w:rPr>
      </w:pPr>
      <w:r>
        <w:rPr>
          <w:rFonts w:eastAsia="Calibri" w:cs="Times New Roman"/>
          <w:szCs w:val="20"/>
          <w:lang w:val="en-GB"/>
        </w:rPr>
        <w:t>TCI switching Delay</w:t>
      </w:r>
    </w:p>
    <w:p w14:paraId="7B0507AC" w14:textId="560CEEEF" w:rsidR="00945A35" w:rsidRDefault="00945A35" w:rsidP="00945A35">
      <w:pPr>
        <w:pStyle w:val="ListParagraph"/>
        <w:numPr>
          <w:ilvl w:val="0"/>
          <w:numId w:val="21"/>
        </w:numPr>
        <w:ind w:right="-22"/>
        <w:rPr>
          <w:rFonts w:eastAsia="Calibri" w:cs="Times New Roman"/>
          <w:szCs w:val="20"/>
          <w:lang w:val="en-GB"/>
        </w:rPr>
      </w:pPr>
      <w:r>
        <w:rPr>
          <w:rFonts w:eastAsia="Calibri" w:cs="Times New Roman"/>
          <w:szCs w:val="20"/>
          <w:lang w:val="en-GB"/>
        </w:rPr>
        <w:t>TCI details for SCell activation in FR2</w:t>
      </w:r>
    </w:p>
    <w:p w14:paraId="4865E848" w14:textId="77777777" w:rsidR="00D70407" w:rsidRDefault="00D70407" w:rsidP="00945A35">
      <w:pPr>
        <w:ind w:right="-22"/>
        <w:rPr>
          <w:rFonts w:eastAsia="Calibri" w:cs="Times New Roman"/>
          <w:szCs w:val="20"/>
          <w:lang w:val="en-GB"/>
        </w:rPr>
      </w:pPr>
      <w:r>
        <w:rPr>
          <w:rFonts w:eastAsia="Calibri" w:cs="Times New Roman"/>
          <w:szCs w:val="20"/>
          <w:lang w:val="en-GB"/>
        </w:rPr>
        <w:t>In Athens RAN4 agreed following:</w:t>
      </w:r>
    </w:p>
    <w:p w14:paraId="6697B0C9" w14:textId="6CA990E8" w:rsidR="00D70407" w:rsidRPr="00772B26" w:rsidRDefault="00D70407" w:rsidP="00772B26">
      <w:pPr>
        <w:pStyle w:val="ListParagraph"/>
        <w:numPr>
          <w:ilvl w:val="0"/>
          <w:numId w:val="25"/>
        </w:numPr>
        <w:ind w:right="-22"/>
        <w:rPr>
          <w:rFonts w:eastAsia="Calibri" w:cs="Times New Roman"/>
          <w:i/>
          <w:szCs w:val="20"/>
          <w:lang w:val="en-GB"/>
        </w:rPr>
      </w:pPr>
      <w:bookmarkStart w:id="4" w:name="_Hlk3210050"/>
      <w:r w:rsidRPr="00772B26">
        <w:rPr>
          <w:rFonts w:eastAsia="Calibri" w:cs="Times New Roman" w:hint="eastAsia"/>
          <w:i/>
          <w:szCs w:val="20"/>
          <w:lang w:val="en-GB"/>
        </w:rPr>
        <w:t xml:space="preserve">Agreement: </w:t>
      </w:r>
      <w:r w:rsidRPr="00772B26">
        <w:rPr>
          <w:rFonts w:eastAsia="Calibri" w:cs="Times New Roman"/>
          <w:i/>
          <w:szCs w:val="20"/>
          <w:lang w:val="en-GB"/>
        </w:rPr>
        <w:t>cases of TCI state switching to be considered for RRM requirements</w:t>
      </w:r>
    </w:p>
    <w:p w14:paraId="6465FAC4" w14:textId="77777777" w:rsidR="00D70407" w:rsidRPr="00772B26" w:rsidRDefault="00D70407" w:rsidP="00772B26">
      <w:pPr>
        <w:pStyle w:val="ListParagraph"/>
        <w:numPr>
          <w:ilvl w:val="1"/>
          <w:numId w:val="25"/>
        </w:numPr>
        <w:ind w:right="-22"/>
        <w:rPr>
          <w:rFonts w:eastAsia="Calibri" w:cs="Times New Roman"/>
          <w:i/>
          <w:szCs w:val="20"/>
        </w:rPr>
      </w:pPr>
      <w:r w:rsidRPr="00772B26">
        <w:rPr>
          <w:rFonts w:eastAsia="Calibri" w:cs="Times New Roman"/>
          <w:i/>
          <w:szCs w:val="20"/>
        </w:rPr>
        <w:t xml:space="preserve">Active TCI state switching for PDSCH based on DCI </w:t>
      </w:r>
    </w:p>
    <w:p w14:paraId="375212B0" w14:textId="77777777" w:rsidR="00D70407" w:rsidRPr="00772B26" w:rsidRDefault="00D70407" w:rsidP="00772B26">
      <w:pPr>
        <w:pStyle w:val="ListParagraph"/>
        <w:numPr>
          <w:ilvl w:val="1"/>
          <w:numId w:val="25"/>
        </w:numPr>
        <w:ind w:right="-22"/>
        <w:rPr>
          <w:rFonts w:eastAsia="Calibri" w:cs="Times New Roman"/>
          <w:i/>
          <w:szCs w:val="20"/>
          <w:lang w:val="en-GB"/>
        </w:rPr>
      </w:pPr>
      <w:r w:rsidRPr="00772B26">
        <w:rPr>
          <w:rFonts w:eastAsia="Calibri" w:cs="Times New Roman"/>
          <w:i/>
          <w:szCs w:val="20"/>
        </w:rPr>
        <w:t>Active TCI state switching for PDCCH based on MAC CE</w:t>
      </w:r>
    </w:p>
    <w:bookmarkEnd w:id="4"/>
    <w:p w14:paraId="0020410C" w14:textId="5BCB27D6" w:rsidR="00D70407" w:rsidRDefault="00D70407" w:rsidP="00945A35">
      <w:pPr>
        <w:ind w:right="-22"/>
        <w:rPr>
          <w:rFonts w:eastAsia="Calibri" w:cs="Times New Roman"/>
          <w:szCs w:val="20"/>
          <w:lang w:val="en-GB"/>
        </w:rPr>
      </w:pPr>
      <w:r>
        <w:rPr>
          <w:rFonts w:eastAsia="Calibri" w:cs="Times New Roman"/>
          <w:szCs w:val="20"/>
          <w:lang w:val="en-GB"/>
        </w:rPr>
        <w:t>A number of aspects were left open among others whether and how to define known/unknown TCI state, switching delays and possible interrupts when switching TCI state.</w:t>
      </w:r>
    </w:p>
    <w:p w14:paraId="54211C3A" w14:textId="0999BE57" w:rsidR="00945A35" w:rsidRDefault="00945A35" w:rsidP="00945A35">
      <w:pPr>
        <w:ind w:right="-22"/>
        <w:rPr>
          <w:rFonts w:eastAsia="Calibri" w:cs="Times New Roman"/>
          <w:szCs w:val="20"/>
          <w:lang w:val="en-GB"/>
        </w:rPr>
      </w:pPr>
    </w:p>
    <w:p w14:paraId="0444358F" w14:textId="2C6FFA6A" w:rsidR="00061B76" w:rsidRPr="008826C1" w:rsidRDefault="00061B76" w:rsidP="00061B76">
      <w:pPr>
        <w:pStyle w:val="RAN4H2"/>
      </w:pPr>
      <w:r>
        <w:rPr>
          <w:rFonts w:eastAsia="Calibri"/>
          <w:lang w:val="en-GB"/>
        </w:rPr>
        <w:t>TCI Frame work</w:t>
      </w:r>
    </w:p>
    <w:p w14:paraId="1DFCBF51" w14:textId="2D7D615B" w:rsidR="00061B76" w:rsidRDefault="00061B76" w:rsidP="00945A35">
      <w:pPr>
        <w:ind w:right="-22"/>
        <w:rPr>
          <w:rFonts w:eastAsia="Calibri" w:cs="Times New Roman"/>
          <w:szCs w:val="20"/>
          <w:lang w:val="en-GB"/>
        </w:rPr>
      </w:pPr>
      <w:r>
        <w:rPr>
          <w:rFonts w:eastAsia="Calibri" w:cs="Times New Roman"/>
          <w:szCs w:val="20"/>
          <w:lang w:val="en-GB"/>
        </w:rPr>
        <w:t xml:space="preserve">Initially we look at the TCI state frame work </w:t>
      </w:r>
      <w:r w:rsidR="00862814">
        <w:rPr>
          <w:rFonts w:eastAsia="Calibri" w:cs="Times New Roman"/>
          <w:szCs w:val="20"/>
          <w:lang w:val="en-GB"/>
        </w:rPr>
        <w:t>to</w:t>
      </w:r>
      <w:r>
        <w:rPr>
          <w:rFonts w:eastAsia="Calibri" w:cs="Times New Roman"/>
          <w:szCs w:val="20"/>
          <w:lang w:val="en-GB"/>
        </w:rPr>
        <w:t xml:space="preserve"> facilitate the TCI state related UE requirements discussion in RAN4.  </w:t>
      </w:r>
    </w:p>
    <w:p w14:paraId="49132463" w14:textId="0C0A9998" w:rsidR="00061B76" w:rsidRDefault="00061B76" w:rsidP="00945A35">
      <w:pPr>
        <w:ind w:right="-22"/>
        <w:rPr>
          <w:rFonts w:eastAsia="Calibri" w:cs="Times New Roman"/>
          <w:szCs w:val="20"/>
          <w:lang w:val="en-GB"/>
        </w:rPr>
      </w:pPr>
      <w:r>
        <w:rPr>
          <w:rFonts w:eastAsia="Calibri" w:cs="Times New Roman"/>
          <w:szCs w:val="20"/>
          <w:lang w:val="en-GB"/>
        </w:rPr>
        <w:t>RRC may configure the UE with a TCI state list in the PDSCH configuration. Additionally</w:t>
      </w:r>
      <w:r w:rsidR="00B9752E">
        <w:rPr>
          <w:rFonts w:eastAsia="Calibri" w:cs="Times New Roman"/>
          <w:szCs w:val="20"/>
          <w:lang w:val="en-GB"/>
        </w:rPr>
        <w:t>,</w:t>
      </w:r>
      <w:r>
        <w:rPr>
          <w:rFonts w:eastAsia="Calibri" w:cs="Times New Roman"/>
          <w:szCs w:val="20"/>
          <w:lang w:val="en-GB"/>
        </w:rPr>
        <w:t xml:space="preserve"> the network may configure the UE with a list of TCI states used for PDCCH, which is a subset of the TCI states configured for PDSCH. Network may configure the UE with between 1 and 128 TCI states.</w:t>
      </w:r>
    </w:p>
    <w:p w14:paraId="1B1C50AC" w14:textId="54D69D38" w:rsidR="00061B76" w:rsidRDefault="00061B76" w:rsidP="00945A35">
      <w:pPr>
        <w:ind w:right="-22"/>
        <w:rPr>
          <w:rFonts w:eastAsia="Calibri" w:cs="Times New Roman"/>
          <w:szCs w:val="20"/>
          <w:lang w:val="en-GB"/>
        </w:rPr>
      </w:pPr>
      <w:r>
        <w:rPr>
          <w:rFonts w:eastAsia="Calibri" w:cs="Times New Roman"/>
          <w:szCs w:val="20"/>
          <w:lang w:val="en-GB"/>
        </w:rPr>
        <w:t xml:space="preserve">The network may additionally indicate </w:t>
      </w:r>
      <w:r w:rsidR="00B9752E">
        <w:rPr>
          <w:rFonts w:eastAsia="Calibri" w:cs="Times New Roman"/>
          <w:szCs w:val="20"/>
          <w:lang w:val="en-GB"/>
        </w:rPr>
        <w:t xml:space="preserve">UE, </w:t>
      </w:r>
      <w:r>
        <w:rPr>
          <w:rFonts w:eastAsia="Calibri" w:cs="Times New Roman"/>
          <w:szCs w:val="20"/>
          <w:lang w:val="en-GB"/>
        </w:rPr>
        <w:t>using MAC CE</w:t>
      </w:r>
      <w:r w:rsidR="00B9752E">
        <w:rPr>
          <w:rFonts w:eastAsia="Calibri" w:cs="Times New Roman"/>
          <w:szCs w:val="20"/>
          <w:lang w:val="en-GB"/>
        </w:rPr>
        <w:t xml:space="preserve">, a number of active TCI states for PDSCH (activation command). Similarly, the network may indicate the UE, in a MAC CE, a TCI state for PDCCH reception </w:t>
      </w:r>
      <w:r w:rsidR="002435ED">
        <w:rPr>
          <w:rFonts w:eastAsia="Calibri" w:cs="Times New Roman"/>
          <w:szCs w:val="20"/>
          <w:lang w:val="en-GB"/>
        </w:rPr>
        <w:t>of</w:t>
      </w:r>
      <w:r w:rsidR="00B9752E">
        <w:rPr>
          <w:rFonts w:eastAsia="Calibri" w:cs="Times New Roman"/>
          <w:szCs w:val="20"/>
          <w:lang w:val="en-GB"/>
        </w:rPr>
        <w:t xml:space="preserve"> a CORESET of the serving cell (activation command). It should be noted that the configuration of TCI states for PDSCH and PDCCH should be such that the UE can decode the PDSCH if it can decode the PDCCH.</w:t>
      </w:r>
    </w:p>
    <w:p w14:paraId="36FA311A" w14:textId="5E1EF8A6" w:rsidR="00D0332F" w:rsidRDefault="00B9752E" w:rsidP="00945A35">
      <w:pPr>
        <w:ind w:right="-22"/>
      </w:pPr>
      <w:r>
        <w:rPr>
          <w:rFonts w:eastAsia="Calibri" w:cs="Times New Roman"/>
          <w:szCs w:val="20"/>
          <w:lang w:val="en-GB"/>
        </w:rPr>
        <w:t>When the UE receives a MAC activation command</w:t>
      </w:r>
      <w:r w:rsidR="00D0332F">
        <w:rPr>
          <w:rFonts w:eastAsia="Calibri" w:cs="Times New Roman"/>
          <w:szCs w:val="20"/>
          <w:lang w:val="en-GB"/>
        </w:rPr>
        <w:t>, the U</w:t>
      </w:r>
      <w:r w:rsidR="00EB1A12">
        <w:rPr>
          <w:rFonts w:eastAsia="Calibri" w:cs="Times New Roman"/>
          <w:szCs w:val="20"/>
          <w:lang w:val="en-GB"/>
        </w:rPr>
        <w:t>E</w:t>
      </w:r>
      <w:r w:rsidR="00D0332F">
        <w:rPr>
          <w:rFonts w:eastAsia="Calibri" w:cs="Times New Roman"/>
          <w:szCs w:val="20"/>
          <w:lang w:val="en-GB"/>
        </w:rPr>
        <w:t xml:space="preserve"> shall apply the indicated mapping between TCI states and Codepoint of the DCI field ‘</w:t>
      </w:r>
      <w:r w:rsidR="00D0332F" w:rsidRPr="00772B26">
        <w:rPr>
          <w:i/>
        </w:rPr>
        <w:t>Transmission Configuration Indication</w:t>
      </w:r>
      <w:r w:rsidR="00D0332F">
        <w:t xml:space="preserve">'. </w:t>
      </w:r>
    </w:p>
    <w:p w14:paraId="2B399F2B" w14:textId="6535F402" w:rsidR="00B9752E" w:rsidRDefault="00D0332F" w:rsidP="00945A35">
      <w:pPr>
        <w:ind w:right="-22"/>
      </w:pPr>
      <w:r>
        <w:t xml:space="preserve">After the UE receives the RRC TCI state list configuration and before receiving the MAC activation command, the UE can assume that the </w:t>
      </w:r>
      <w:r w:rsidR="00EB1A12">
        <w:t>DM-RS is QCL with SSB used for initial access.</w:t>
      </w:r>
      <w:r>
        <w:t xml:space="preserve"> </w:t>
      </w:r>
    </w:p>
    <w:p w14:paraId="61DEECA8" w14:textId="77777777" w:rsidR="00EB1A12" w:rsidRDefault="00EB1A12" w:rsidP="00945A35">
      <w:pPr>
        <w:ind w:right="-22"/>
        <w:rPr>
          <w:rFonts w:eastAsia="Calibri" w:cs="Times New Roman"/>
          <w:szCs w:val="20"/>
          <w:lang w:val="en-GB"/>
        </w:rPr>
      </w:pPr>
    </w:p>
    <w:p w14:paraId="2D2065D0" w14:textId="0E18523C" w:rsidR="00945A35" w:rsidRPr="008826C1" w:rsidRDefault="00945A35" w:rsidP="00945A35">
      <w:pPr>
        <w:pStyle w:val="RAN4H2"/>
      </w:pPr>
      <w:r>
        <w:rPr>
          <w:rFonts w:eastAsia="Calibri"/>
          <w:lang w:val="en-GB"/>
        </w:rPr>
        <w:t>TCI switching Delay</w:t>
      </w:r>
    </w:p>
    <w:p w14:paraId="36AFE3EF" w14:textId="7832CED5" w:rsidR="00EB1A12" w:rsidRDefault="00EB1A12" w:rsidP="00945A35">
      <w:pPr>
        <w:ind w:right="-22"/>
        <w:rPr>
          <w:rFonts w:eastAsia="Calibri" w:cs="Times New Roman"/>
          <w:szCs w:val="20"/>
          <w:lang w:val="en-GB"/>
        </w:rPr>
      </w:pPr>
      <w:r>
        <w:rPr>
          <w:rFonts w:eastAsia="Calibri" w:cs="Times New Roman"/>
          <w:szCs w:val="20"/>
          <w:lang w:val="en-GB"/>
        </w:rPr>
        <w:t>A number of open issues were discussed in Athens meeting regarding the TCI switching and latencies.</w:t>
      </w:r>
    </w:p>
    <w:p w14:paraId="5035B465" w14:textId="77777777" w:rsidR="00DB3718" w:rsidRDefault="00DB3718" w:rsidP="00945A35">
      <w:pPr>
        <w:ind w:right="-22"/>
        <w:rPr>
          <w:rFonts w:eastAsia="Calibri" w:cs="Times New Roman"/>
          <w:szCs w:val="20"/>
          <w:lang w:val="en-GB"/>
        </w:rPr>
      </w:pPr>
    </w:p>
    <w:p w14:paraId="2D966FE9" w14:textId="36F88C80" w:rsidR="007F5226" w:rsidRPr="00772B26" w:rsidRDefault="00DB3718" w:rsidP="00772B26">
      <w:pPr>
        <w:pStyle w:val="RAN4H3"/>
      </w:pPr>
      <w:r>
        <w:t>RRC triggered TCI state change</w:t>
      </w:r>
    </w:p>
    <w:p w14:paraId="4061E3A8" w14:textId="79426EA9" w:rsidR="00EB1A12" w:rsidRDefault="00EB1A12" w:rsidP="00945A35">
      <w:pPr>
        <w:ind w:right="-22"/>
        <w:rPr>
          <w:rFonts w:eastAsia="Calibri" w:cs="Times New Roman"/>
          <w:szCs w:val="20"/>
          <w:lang w:val="en-GB"/>
        </w:rPr>
      </w:pPr>
      <w:r>
        <w:rPr>
          <w:rFonts w:eastAsia="Calibri" w:cs="Times New Roman"/>
          <w:szCs w:val="20"/>
          <w:lang w:val="en-GB"/>
        </w:rPr>
        <w:t xml:space="preserve">One aspect was whether the higher layer configuration (RRC configuration) can directly can trigger a TCI state change. From higher layer configuration point it is possible that network only configures one TCI state – which could indicate that this TCI state shall be applied by the UE. </w:t>
      </w:r>
    </w:p>
    <w:p w14:paraId="049C41F5" w14:textId="447BB9A2" w:rsidR="00FD6B5D" w:rsidRDefault="00FD6B5D" w:rsidP="00945A35">
      <w:pPr>
        <w:ind w:right="-22"/>
        <w:rPr>
          <w:rFonts w:eastAsia="Calibri" w:cs="Times New Roman"/>
          <w:szCs w:val="20"/>
          <w:lang w:val="en-GB"/>
        </w:rPr>
      </w:pPr>
      <w:r>
        <w:rPr>
          <w:rFonts w:eastAsia="Calibri" w:cs="Times New Roman"/>
          <w:szCs w:val="20"/>
          <w:lang w:val="en-GB"/>
        </w:rPr>
        <w:t xml:space="preserve">It seems that the specification so far only covers the RRC configuration, the MAC activation and DCI change. It seems unclear whether receiving an RRC configuration with a single entry in the TCI state list also implicitly means that this TCI is activated upon reception </w:t>
      </w:r>
      <w:r w:rsidR="00E235BB">
        <w:rPr>
          <w:rFonts w:eastAsia="Calibri" w:cs="Times New Roman"/>
          <w:szCs w:val="20"/>
          <w:lang w:val="en-GB"/>
        </w:rPr>
        <w:t xml:space="preserve">of the RRC configuration </w:t>
      </w:r>
      <w:r>
        <w:rPr>
          <w:rFonts w:eastAsia="Calibri" w:cs="Times New Roman"/>
          <w:szCs w:val="20"/>
          <w:lang w:val="en-GB"/>
        </w:rPr>
        <w:t>or whether a separate MAC activation command is still necessary.</w:t>
      </w:r>
    </w:p>
    <w:p w14:paraId="1EB67A4A" w14:textId="6759CE1D" w:rsidR="00C41A9B" w:rsidRDefault="00C41A9B" w:rsidP="00C41A9B">
      <w:pPr>
        <w:pStyle w:val="RAN4Observation"/>
        <w:numPr>
          <w:ilvl w:val="0"/>
          <w:numId w:val="11"/>
        </w:numPr>
      </w:pPr>
      <w:r>
        <w:t>It is unclear from RAN1 and RAN2 specification whether MAC activation command is always necessary</w:t>
      </w:r>
      <w:r w:rsidRPr="0008612A">
        <w:t>.</w:t>
      </w:r>
    </w:p>
    <w:p w14:paraId="425F9C51" w14:textId="080E1133" w:rsidR="00EB1A12" w:rsidRDefault="00EB1A12" w:rsidP="00945A35">
      <w:pPr>
        <w:ind w:right="-22"/>
        <w:rPr>
          <w:rFonts w:eastAsia="Calibri" w:cs="Times New Roman"/>
          <w:szCs w:val="20"/>
          <w:lang w:val="en-GB"/>
        </w:rPr>
      </w:pPr>
    </w:p>
    <w:p w14:paraId="4643D745" w14:textId="3D82CE85" w:rsidR="007F5226" w:rsidRPr="00772B26" w:rsidRDefault="00DB3718" w:rsidP="00772B26">
      <w:pPr>
        <w:pStyle w:val="RAN4H3"/>
      </w:pPr>
      <w:r>
        <w:t>MAC CE triggered TCI state change</w:t>
      </w:r>
    </w:p>
    <w:p w14:paraId="0E2FACF8" w14:textId="175A2B79" w:rsidR="007F5226" w:rsidRDefault="007F5226" w:rsidP="00945A35">
      <w:pPr>
        <w:ind w:right="-22"/>
        <w:rPr>
          <w:rFonts w:eastAsia="Calibri" w:cs="Times New Roman"/>
          <w:szCs w:val="20"/>
          <w:lang w:val="en-GB"/>
        </w:rPr>
      </w:pPr>
      <w:r>
        <w:rPr>
          <w:rFonts w:eastAsia="Calibri" w:cs="Times New Roman"/>
          <w:szCs w:val="20"/>
          <w:lang w:val="en-GB"/>
        </w:rPr>
        <w:t xml:space="preserve">Another aspect discussed was the latency related to change of the active TCI states among the </w:t>
      </w:r>
      <w:r w:rsidR="00FD6B5D">
        <w:rPr>
          <w:rFonts w:eastAsia="Calibri" w:cs="Times New Roman"/>
          <w:szCs w:val="20"/>
          <w:lang w:val="en-GB"/>
        </w:rPr>
        <w:t xml:space="preserve">RRC </w:t>
      </w:r>
      <w:r>
        <w:rPr>
          <w:rFonts w:eastAsia="Calibri" w:cs="Times New Roman"/>
          <w:szCs w:val="20"/>
          <w:lang w:val="en-GB"/>
        </w:rPr>
        <w:t xml:space="preserve">configured TCI states. This latency relates to </w:t>
      </w:r>
      <w:r w:rsidR="00FD6B5D">
        <w:rPr>
          <w:rFonts w:eastAsia="Calibri" w:cs="Times New Roman"/>
          <w:szCs w:val="20"/>
          <w:lang w:val="en-GB"/>
        </w:rPr>
        <w:t xml:space="preserve">the latency </w:t>
      </w:r>
      <w:r>
        <w:rPr>
          <w:rFonts w:eastAsia="Calibri" w:cs="Times New Roman"/>
          <w:szCs w:val="20"/>
          <w:lang w:val="en-GB"/>
        </w:rPr>
        <w:t xml:space="preserve">when </w:t>
      </w:r>
      <w:r w:rsidR="00FD6B5D">
        <w:rPr>
          <w:rFonts w:eastAsia="Calibri" w:cs="Times New Roman"/>
          <w:szCs w:val="20"/>
          <w:lang w:val="en-GB"/>
        </w:rPr>
        <w:t xml:space="preserve">the </w:t>
      </w:r>
      <w:r>
        <w:rPr>
          <w:rFonts w:eastAsia="Calibri" w:cs="Times New Roman"/>
          <w:szCs w:val="20"/>
          <w:lang w:val="en-GB"/>
        </w:rPr>
        <w:t xml:space="preserve">UE receives a MAC CE indicating a new TCI state activation </w:t>
      </w:r>
      <w:r w:rsidR="00FD6B5D">
        <w:rPr>
          <w:rFonts w:eastAsia="Calibri" w:cs="Times New Roman"/>
          <w:szCs w:val="20"/>
          <w:lang w:val="en-GB"/>
        </w:rPr>
        <w:t xml:space="preserve">command </w:t>
      </w:r>
      <w:r>
        <w:rPr>
          <w:rFonts w:eastAsia="Calibri" w:cs="Times New Roman"/>
          <w:szCs w:val="20"/>
          <w:lang w:val="en-GB"/>
        </w:rPr>
        <w:t>(</w:t>
      </w:r>
      <w:r w:rsidR="00FD6B5D">
        <w:rPr>
          <w:rFonts w:eastAsia="Calibri" w:cs="Times New Roman"/>
          <w:szCs w:val="20"/>
          <w:lang w:val="en-GB"/>
        </w:rPr>
        <w:t xml:space="preserve">i.e. a </w:t>
      </w:r>
      <w:r>
        <w:rPr>
          <w:rFonts w:eastAsia="Calibri" w:cs="Times New Roman"/>
          <w:szCs w:val="20"/>
          <w:lang w:val="en-GB"/>
        </w:rPr>
        <w:t xml:space="preserve">new set of active TCI states for PDSCH and/or PDCCH). </w:t>
      </w:r>
    </w:p>
    <w:p w14:paraId="013EBF45" w14:textId="736DAA68" w:rsidR="007F5226" w:rsidRDefault="00FD6B5D" w:rsidP="00945A35">
      <w:pPr>
        <w:ind w:right="-22"/>
        <w:rPr>
          <w:rFonts w:eastAsia="Calibri" w:cs="Times New Roman"/>
          <w:szCs w:val="20"/>
          <w:lang w:val="en-GB"/>
        </w:rPr>
      </w:pPr>
      <w:r>
        <w:rPr>
          <w:rFonts w:eastAsia="Calibri" w:cs="Times New Roman"/>
          <w:szCs w:val="20"/>
          <w:lang w:val="en-GB"/>
        </w:rPr>
        <w:t xml:space="preserve">The latency for this case is clear from 38.214 section 5.1.5. The newly indicated mapping between DCI codepoint and TCI states should be applied in UE side starting from </w:t>
      </w:r>
      <m:oMath>
        <m:r>
          <w:rPr>
            <w:rFonts w:ascii="Cambria Math" w:hAnsi="Cambria Math"/>
            <w:szCs w:val="20"/>
          </w:rPr>
          <m:t>n+3</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m:t>
            </m:r>
          </m:sub>
          <m:sup>
            <m:r>
              <w:rPr>
                <w:rFonts w:ascii="Cambria Math" w:hAnsi="Cambria Math"/>
                <w:szCs w:val="20"/>
              </w:rPr>
              <m:t>subframe,μ</m:t>
            </m:r>
          </m:sup>
        </m:sSubSup>
        <m:r>
          <w:rPr>
            <w:rFonts w:ascii="Cambria Math" w:eastAsiaTheme="minorEastAsia" w:hAnsi="Cambria Math"/>
            <w:szCs w:val="20"/>
          </w:rPr>
          <m:t>+1</m:t>
        </m:r>
      </m:oMath>
      <w:r>
        <w:rPr>
          <w:rFonts w:eastAsia="Calibri" w:cs="Times New Roman"/>
          <w:szCs w:val="20"/>
          <w:lang w:val="en-GB"/>
        </w:rPr>
        <w:t xml:space="preserve">. Where </w:t>
      </w:r>
      <w:r w:rsidR="00C41A9B">
        <w:rPr>
          <w:rFonts w:eastAsia="Calibri" w:cs="Times New Roman"/>
          <w:szCs w:val="20"/>
          <w:lang w:val="en-GB"/>
        </w:rPr>
        <w:t>‘</w:t>
      </w:r>
      <w:r w:rsidRPr="00772B26">
        <w:rPr>
          <w:rFonts w:eastAsia="Calibri" w:cs="Times New Roman"/>
          <w:i/>
          <w:szCs w:val="20"/>
          <w:lang w:val="en-GB"/>
        </w:rPr>
        <w:t>n</w:t>
      </w:r>
      <w:r w:rsidR="00C41A9B" w:rsidRPr="00772B26">
        <w:rPr>
          <w:rFonts w:eastAsia="Calibri" w:cs="Times New Roman"/>
          <w:szCs w:val="20"/>
          <w:lang w:val="en-GB"/>
        </w:rPr>
        <w:t>’</w:t>
      </w:r>
      <w:r>
        <w:rPr>
          <w:rFonts w:eastAsia="Calibri" w:cs="Times New Roman"/>
          <w:szCs w:val="20"/>
          <w:lang w:val="en-GB"/>
        </w:rPr>
        <w:t xml:space="preserve"> refers to the slot where the ACK for the PDSCH carrying the activation command</w:t>
      </w:r>
      <w:r w:rsidR="00C41A9B">
        <w:rPr>
          <w:rFonts w:eastAsia="Calibri" w:cs="Times New Roman"/>
          <w:szCs w:val="20"/>
          <w:lang w:val="en-GB"/>
        </w:rPr>
        <w:t xml:space="preserve"> is transmitted</w:t>
      </w:r>
      <w:r>
        <w:rPr>
          <w:rFonts w:eastAsia="Calibri" w:cs="Times New Roman"/>
          <w:szCs w:val="20"/>
          <w:lang w:val="en-GB"/>
        </w:rPr>
        <w:t>.</w:t>
      </w:r>
    </w:p>
    <w:p w14:paraId="7E79866D" w14:textId="77268929" w:rsidR="00C41A9B" w:rsidRDefault="00C41A9B" w:rsidP="00C41A9B">
      <w:pPr>
        <w:pStyle w:val="RAN4Observation"/>
      </w:pPr>
      <w:r>
        <w:t xml:space="preserve">The newly indicated mapping between DCI codepoint and TCI states should be applied in the UE starting from </w:t>
      </w:r>
      <m:oMath>
        <m:r>
          <w:rPr>
            <w:rFonts w:ascii="Cambria Math" w:hAnsi="Cambria Math"/>
          </w:rPr>
          <m:t>n+3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eastAsiaTheme="minorEastAsia" w:hAnsi="Cambria Math"/>
          </w:rPr>
          <m:t>+1</m:t>
        </m:r>
      </m:oMath>
      <w:r>
        <w:t>.</w:t>
      </w:r>
    </w:p>
    <w:p w14:paraId="52EFAB1C" w14:textId="5AEBDD23" w:rsidR="007A08EC" w:rsidRDefault="00125A85" w:rsidP="00C41A9B">
      <w:pPr>
        <w:tabs>
          <w:tab w:val="left" w:pos="907"/>
        </w:tabs>
        <w:ind w:right="-22"/>
        <w:rPr>
          <w:rFonts w:eastAsia="Calibri" w:cs="Times New Roman"/>
          <w:szCs w:val="20"/>
          <w:lang w:val="en-GB"/>
        </w:rPr>
      </w:pPr>
      <w:r>
        <w:rPr>
          <w:rFonts w:eastAsia="Calibri" w:cs="Times New Roman"/>
          <w:szCs w:val="20"/>
          <w:lang w:val="en-GB"/>
        </w:rPr>
        <w:t xml:space="preserve">It was </w:t>
      </w:r>
      <w:r w:rsidR="00223523">
        <w:rPr>
          <w:rFonts w:eastAsia="Calibri" w:cs="Times New Roman"/>
          <w:szCs w:val="20"/>
          <w:lang w:val="en-GB"/>
        </w:rPr>
        <w:t xml:space="preserve">further </w:t>
      </w:r>
      <w:r>
        <w:rPr>
          <w:rFonts w:eastAsia="Calibri" w:cs="Times New Roman"/>
          <w:szCs w:val="20"/>
          <w:lang w:val="en-GB"/>
        </w:rPr>
        <w:t xml:space="preserve">discussed in Athens meeting whether there would be </w:t>
      </w:r>
      <w:r w:rsidR="00223523">
        <w:rPr>
          <w:rFonts w:eastAsia="Calibri" w:cs="Times New Roman"/>
          <w:szCs w:val="20"/>
          <w:lang w:val="en-GB"/>
        </w:rPr>
        <w:t xml:space="preserve">an </w:t>
      </w:r>
      <w:r>
        <w:rPr>
          <w:rFonts w:eastAsia="Calibri" w:cs="Times New Roman"/>
          <w:szCs w:val="20"/>
          <w:lang w:val="en-GB"/>
        </w:rPr>
        <w:t>additional latenc</w:t>
      </w:r>
      <w:r w:rsidR="00223523">
        <w:rPr>
          <w:rFonts w:eastAsia="Calibri" w:cs="Times New Roman"/>
          <w:szCs w:val="20"/>
          <w:lang w:val="en-GB"/>
        </w:rPr>
        <w:t>y</w:t>
      </w:r>
      <w:r>
        <w:rPr>
          <w:rFonts w:eastAsia="Calibri" w:cs="Times New Roman"/>
          <w:szCs w:val="20"/>
          <w:lang w:val="en-GB"/>
        </w:rPr>
        <w:t xml:space="preserve"> on UE side once a new MAC CE is received, possibly changing the TCI state for </w:t>
      </w:r>
      <w:r w:rsidR="00223523">
        <w:rPr>
          <w:rFonts w:eastAsia="Calibri" w:cs="Times New Roman"/>
          <w:szCs w:val="20"/>
          <w:lang w:val="en-GB"/>
        </w:rPr>
        <w:t xml:space="preserve">the </w:t>
      </w:r>
      <w:r>
        <w:rPr>
          <w:rFonts w:eastAsia="Calibri" w:cs="Times New Roman"/>
          <w:szCs w:val="20"/>
          <w:lang w:val="en-GB"/>
        </w:rPr>
        <w:t xml:space="preserve">PDCCH. </w:t>
      </w:r>
    </w:p>
    <w:p w14:paraId="3DA2E502" w14:textId="0A9EC03C" w:rsidR="0006594D" w:rsidRDefault="0070471A" w:rsidP="00C41A9B">
      <w:pPr>
        <w:tabs>
          <w:tab w:val="left" w:pos="907"/>
        </w:tabs>
        <w:ind w:right="-22"/>
        <w:rPr>
          <w:rFonts w:eastAsia="Calibri" w:cs="Times New Roman"/>
          <w:szCs w:val="20"/>
          <w:lang w:val="en-GB"/>
        </w:rPr>
      </w:pPr>
      <w:r>
        <w:rPr>
          <w:rFonts w:eastAsia="Calibri" w:cs="Times New Roman"/>
          <w:szCs w:val="20"/>
          <w:lang w:val="en-GB"/>
        </w:rPr>
        <w:t xml:space="preserve">Under normal operating conditions the gNB should not reconfigure the active TCI states – especially the TCI state for PDCCH – blindly. </w:t>
      </w:r>
      <w:r w:rsidR="00223523">
        <w:rPr>
          <w:rFonts w:eastAsia="Calibri" w:cs="Times New Roman"/>
          <w:szCs w:val="20"/>
          <w:lang w:val="en-GB"/>
        </w:rPr>
        <w:t xml:space="preserve">I.e. without having received any measurements the relate SR unless network has good deployment visibility. </w:t>
      </w:r>
      <w:r>
        <w:rPr>
          <w:rFonts w:eastAsia="Calibri" w:cs="Times New Roman"/>
          <w:szCs w:val="20"/>
          <w:lang w:val="en-GB"/>
        </w:rPr>
        <w:t xml:space="preserve">Under normal conditions the </w:t>
      </w:r>
      <w:r w:rsidR="0006594D">
        <w:rPr>
          <w:rFonts w:eastAsia="Calibri" w:cs="Times New Roman"/>
          <w:szCs w:val="20"/>
          <w:lang w:val="en-GB"/>
        </w:rPr>
        <w:t xml:space="preserve">new activation command would include TCI states for which the UE has send at least a measurement report. </w:t>
      </w:r>
    </w:p>
    <w:p w14:paraId="31D7B4FA" w14:textId="3E2881CB" w:rsidR="00A802B6" w:rsidRDefault="0006594D" w:rsidP="00C41A9B">
      <w:pPr>
        <w:tabs>
          <w:tab w:val="left" w:pos="907"/>
        </w:tabs>
        <w:ind w:right="-22"/>
        <w:rPr>
          <w:rFonts w:eastAsia="Calibri" w:cs="Times New Roman"/>
          <w:szCs w:val="20"/>
          <w:lang w:val="en-GB"/>
        </w:rPr>
      </w:pPr>
      <w:r>
        <w:rPr>
          <w:rFonts w:eastAsia="Calibri" w:cs="Times New Roman"/>
          <w:szCs w:val="20"/>
          <w:lang w:val="en-GB"/>
        </w:rPr>
        <w:t>However, the network may send a MAC activation command including a</w:t>
      </w:r>
      <w:r w:rsidR="0070471A">
        <w:rPr>
          <w:rFonts w:eastAsia="Calibri" w:cs="Times New Roman"/>
          <w:szCs w:val="20"/>
          <w:lang w:val="en-GB"/>
        </w:rPr>
        <w:t xml:space="preserve">ctivating a </w:t>
      </w:r>
      <w:r>
        <w:rPr>
          <w:rFonts w:eastAsia="Calibri" w:cs="Times New Roman"/>
          <w:szCs w:val="20"/>
          <w:lang w:val="en-GB"/>
        </w:rPr>
        <w:t>one or more</w:t>
      </w:r>
      <w:r w:rsidR="0070471A">
        <w:rPr>
          <w:rFonts w:eastAsia="Calibri" w:cs="Times New Roman"/>
          <w:szCs w:val="20"/>
          <w:lang w:val="en-GB"/>
        </w:rPr>
        <w:t xml:space="preserve"> TCI state</w:t>
      </w:r>
      <w:r>
        <w:rPr>
          <w:rFonts w:eastAsia="Calibri" w:cs="Times New Roman"/>
          <w:szCs w:val="20"/>
          <w:lang w:val="en-GB"/>
        </w:rPr>
        <w:t>s</w:t>
      </w:r>
      <w:r w:rsidR="0070471A">
        <w:rPr>
          <w:rFonts w:eastAsia="Calibri" w:cs="Times New Roman"/>
          <w:szCs w:val="20"/>
          <w:lang w:val="en-GB"/>
        </w:rPr>
        <w:t xml:space="preserve"> which </w:t>
      </w:r>
      <w:r w:rsidR="000719B7">
        <w:rPr>
          <w:rFonts w:eastAsia="Calibri" w:cs="Times New Roman"/>
          <w:szCs w:val="20"/>
          <w:lang w:val="en-GB"/>
        </w:rPr>
        <w:t xml:space="preserve">RS </w:t>
      </w:r>
      <w:r>
        <w:rPr>
          <w:rFonts w:eastAsia="Calibri" w:cs="Times New Roman"/>
          <w:szCs w:val="20"/>
          <w:lang w:val="en-GB"/>
        </w:rPr>
        <w:t>have not been reported.</w:t>
      </w:r>
    </w:p>
    <w:p w14:paraId="3A3236B5" w14:textId="0735BED7" w:rsidR="00E275A2" w:rsidRDefault="00E275A2" w:rsidP="00E275A2">
      <w:pPr>
        <w:pStyle w:val="RAN4Observation"/>
        <w:numPr>
          <w:ilvl w:val="0"/>
          <w:numId w:val="11"/>
        </w:numPr>
      </w:pPr>
      <w:r>
        <w:t>The MAC TCI activation command CE may include one or more TCI states whose RS has not been reported to the network</w:t>
      </w:r>
      <w:r w:rsidRPr="0008612A">
        <w:t>.</w:t>
      </w:r>
    </w:p>
    <w:p w14:paraId="5808B118" w14:textId="537B1D5E" w:rsidR="0006594D" w:rsidRDefault="00E275A2" w:rsidP="00C41A9B">
      <w:pPr>
        <w:tabs>
          <w:tab w:val="left" w:pos="907"/>
        </w:tabs>
        <w:ind w:right="-22"/>
        <w:rPr>
          <w:rFonts w:eastAsia="Calibri" w:cs="Times New Roman"/>
          <w:szCs w:val="20"/>
          <w:lang w:val="en-GB"/>
        </w:rPr>
      </w:pPr>
      <w:r>
        <w:rPr>
          <w:rFonts w:eastAsia="Calibri" w:cs="Times New Roman"/>
          <w:szCs w:val="20"/>
          <w:lang w:val="en-GB"/>
        </w:rPr>
        <w:t>I</w:t>
      </w:r>
      <w:r w:rsidR="0006594D">
        <w:rPr>
          <w:rFonts w:eastAsia="Calibri" w:cs="Times New Roman"/>
          <w:szCs w:val="20"/>
          <w:lang w:val="en-GB"/>
        </w:rPr>
        <w:t xml:space="preserve">ncluding e.g. one TCI state for which the </w:t>
      </w:r>
      <w:r>
        <w:rPr>
          <w:rFonts w:eastAsia="Calibri" w:cs="Times New Roman"/>
          <w:szCs w:val="20"/>
          <w:lang w:val="en-GB"/>
        </w:rPr>
        <w:t>ass</w:t>
      </w:r>
      <w:r w:rsidR="009D724F">
        <w:rPr>
          <w:rFonts w:eastAsia="Calibri" w:cs="Times New Roman"/>
          <w:szCs w:val="20"/>
          <w:lang w:val="en-GB"/>
        </w:rPr>
        <w:t>o</w:t>
      </w:r>
      <w:r>
        <w:rPr>
          <w:rFonts w:eastAsia="Calibri" w:cs="Times New Roman"/>
          <w:szCs w:val="20"/>
          <w:lang w:val="en-GB"/>
        </w:rPr>
        <w:t>ciated</w:t>
      </w:r>
      <w:r w:rsidR="0006594D">
        <w:rPr>
          <w:rFonts w:eastAsia="Calibri" w:cs="Times New Roman"/>
          <w:szCs w:val="20"/>
          <w:lang w:val="en-GB"/>
        </w:rPr>
        <w:t xml:space="preserve"> RS has not been reported by the UE, would not necessarily mean that the UE would not be ready to receive (based on DCI indication) using another TCI state for which a UE measurement report has been sent earlier. I.e. only in case the MAC activation command </w:t>
      </w:r>
      <w:r w:rsidR="009D724F">
        <w:rPr>
          <w:rFonts w:eastAsia="Calibri" w:cs="Times New Roman"/>
          <w:szCs w:val="20"/>
          <w:lang w:val="en-GB"/>
        </w:rPr>
        <w:t xml:space="preserve">to be </w:t>
      </w:r>
      <w:r w:rsidR="0006594D">
        <w:rPr>
          <w:rFonts w:eastAsia="Calibri" w:cs="Times New Roman"/>
          <w:szCs w:val="20"/>
          <w:lang w:val="en-GB"/>
        </w:rPr>
        <w:t xml:space="preserve">applied </w:t>
      </w:r>
      <w:r w:rsidR="009D724F">
        <w:rPr>
          <w:rFonts w:eastAsia="Calibri" w:cs="Times New Roman"/>
          <w:szCs w:val="20"/>
          <w:lang w:val="en-GB"/>
        </w:rPr>
        <w:t xml:space="preserve">by the UE </w:t>
      </w:r>
      <w:r w:rsidR="0006594D">
        <w:rPr>
          <w:rFonts w:eastAsia="Calibri" w:cs="Times New Roman"/>
          <w:szCs w:val="20"/>
          <w:lang w:val="en-GB"/>
        </w:rPr>
        <w:t>is followed by a DCI indication</w:t>
      </w:r>
      <w:r w:rsidR="009D724F">
        <w:rPr>
          <w:rFonts w:eastAsia="Calibri" w:cs="Times New Roman"/>
          <w:szCs w:val="20"/>
          <w:lang w:val="en-GB"/>
        </w:rPr>
        <w:t>,</w:t>
      </w:r>
      <w:r w:rsidR="0006594D">
        <w:rPr>
          <w:rFonts w:eastAsia="Calibri" w:cs="Times New Roman"/>
          <w:szCs w:val="20"/>
          <w:lang w:val="en-GB"/>
        </w:rPr>
        <w:t xml:space="preserve"> indicat</w:t>
      </w:r>
      <w:r w:rsidR="000719B7">
        <w:rPr>
          <w:rFonts w:eastAsia="Calibri" w:cs="Times New Roman"/>
          <w:szCs w:val="20"/>
          <w:lang w:val="en-GB"/>
        </w:rPr>
        <w:t>ing</w:t>
      </w:r>
      <w:r w:rsidR="0006594D">
        <w:rPr>
          <w:rFonts w:eastAsia="Calibri" w:cs="Times New Roman"/>
          <w:szCs w:val="20"/>
          <w:lang w:val="en-GB"/>
        </w:rPr>
        <w:t xml:space="preserve"> use of </w:t>
      </w:r>
      <w:r w:rsidR="000719B7">
        <w:rPr>
          <w:rFonts w:eastAsia="Calibri" w:cs="Times New Roman"/>
          <w:szCs w:val="20"/>
          <w:lang w:val="en-GB"/>
        </w:rPr>
        <w:t xml:space="preserve">TCI state for </w:t>
      </w:r>
      <w:r w:rsidR="009D724F">
        <w:rPr>
          <w:rFonts w:eastAsia="Calibri" w:cs="Times New Roman"/>
          <w:szCs w:val="20"/>
          <w:lang w:val="en-GB"/>
        </w:rPr>
        <w:t xml:space="preserve">a </w:t>
      </w:r>
      <w:r w:rsidR="000719B7">
        <w:rPr>
          <w:rFonts w:eastAsia="Calibri" w:cs="Times New Roman"/>
          <w:szCs w:val="20"/>
          <w:lang w:val="en-GB"/>
        </w:rPr>
        <w:t xml:space="preserve">PDCCH </w:t>
      </w:r>
      <w:r w:rsidR="009D724F">
        <w:rPr>
          <w:rFonts w:eastAsia="Calibri" w:cs="Times New Roman"/>
          <w:szCs w:val="20"/>
          <w:lang w:val="en-GB"/>
        </w:rPr>
        <w:t xml:space="preserve">TCI state, </w:t>
      </w:r>
      <w:r w:rsidR="000719B7">
        <w:rPr>
          <w:rFonts w:eastAsia="Calibri" w:cs="Times New Roman"/>
          <w:szCs w:val="20"/>
          <w:lang w:val="en-GB"/>
        </w:rPr>
        <w:t xml:space="preserve">for which </w:t>
      </w:r>
      <w:r w:rsidR="009D724F">
        <w:rPr>
          <w:rFonts w:eastAsia="Calibri" w:cs="Times New Roman"/>
          <w:szCs w:val="20"/>
          <w:lang w:val="en-GB"/>
        </w:rPr>
        <w:t>the associated</w:t>
      </w:r>
      <w:r w:rsidR="000719B7">
        <w:rPr>
          <w:rFonts w:eastAsia="Calibri" w:cs="Times New Roman"/>
          <w:szCs w:val="20"/>
          <w:lang w:val="en-GB"/>
        </w:rPr>
        <w:t xml:space="preserve"> RS has </w:t>
      </w:r>
      <w:r w:rsidR="0006594D">
        <w:rPr>
          <w:rFonts w:eastAsia="Calibri" w:cs="Times New Roman"/>
          <w:szCs w:val="20"/>
          <w:lang w:val="en-GB"/>
        </w:rPr>
        <w:t>no</w:t>
      </w:r>
      <w:r w:rsidR="000719B7">
        <w:rPr>
          <w:rFonts w:eastAsia="Calibri" w:cs="Times New Roman"/>
          <w:szCs w:val="20"/>
          <w:lang w:val="en-GB"/>
        </w:rPr>
        <w:t xml:space="preserve">t been </w:t>
      </w:r>
      <w:r w:rsidR="0006594D">
        <w:rPr>
          <w:rFonts w:eastAsia="Calibri" w:cs="Times New Roman"/>
          <w:szCs w:val="20"/>
          <w:lang w:val="en-GB"/>
        </w:rPr>
        <w:t xml:space="preserve">reported, would there potentially be a need for additional UE measurement latency before reception is reliable. </w:t>
      </w:r>
    </w:p>
    <w:p w14:paraId="24A84496" w14:textId="2E42A084" w:rsidR="00AB4AEA" w:rsidRDefault="00AB4AEA" w:rsidP="00AB4AEA">
      <w:pPr>
        <w:pStyle w:val="RAN4proposal"/>
      </w:pPr>
      <w:bookmarkStart w:id="5" w:name="_Hlk5027638"/>
      <w:r>
        <w:t xml:space="preserve">Additional latency applying new codepoint </w:t>
      </w:r>
      <w:r w:rsidR="00515F86">
        <w:t>is</w:t>
      </w:r>
      <w:r>
        <w:t xml:space="preserve"> allowed if new MAC activation command includes </w:t>
      </w:r>
      <w:r w:rsidR="000719B7">
        <w:t>‘</w:t>
      </w:r>
      <w:r>
        <w:t>unknown</w:t>
      </w:r>
      <w:r w:rsidR="000719B7">
        <w:t>’</w:t>
      </w:r>
      <w:r>
        <w:t xml:space="preserve"> PDCCH TCI state</w:t>
      </w:r>
      <w:r w:rsidRPr="0008612A">
        <w:t>.</w:t>
      </w:r>
    </w:p>
    <w:bookmarkEnd w:id="5"/>
    <w:p w14:paraId="74B9D4B4" w14:textId="77777777" w:rsidR="000719B7" w:rsidRDefault="00705F7C" w:rsidP="00C41A9B">
      <w:pPr>
        <w:tabs>
          <w:tab w:val="left" w:pos="907"/>
        </w:tabs>
        <w:ind w:right="-22"/>
        <w:rPr>
          <w:rFonts w:eastAsia="Calibri" w:cs="Times New Roman"/>
          <w:szCs w:val="20"/>
          <w:lang w:val="en-GB"/>
        </w:rPr>
      </w:pPr>
      <w:r>
        <w:rPr>
          <w:rFonts w:eastAsia="Calibri" w:cs="Times New Roman"/>
          <w:szCs w:val="20"/>
          <w:lang w:val="en-GB"/>
        </w:rPr>
        <w:t xml:space="preserve">In Athens meeting </w:t>
      </w:r>
      <w:r w:rsidR="00184971">
        <w:rPr>
          <w:rFonts w:eastAsia="Calibri" w:cs="Times New Roman"/>
          <w:szCs w:val="20"/>
          <w:lang w:val="en-GB"/>
        </w:rPr>
        <w:t xml:space="preserve">RAN4 started </w:t>
      </w:r>
      <w:r>
        <w:rPr>
          <w:rFonts w:eastAsia="Calibri" w:cs="Times New Roman"/>
          <w:szCs w:val="20"/>
          <w:lang w:val="en-GB"/>
        </w:rPr>
        <w:t>the discussion regarding known/unknown TCI state</w:t>
      </w:r>
      <w:r w:rsidR="000719B7">
        <w:rPr>
          <w:rFonts w:eastAsia="Calibri" w:cs="Times New Roman"/>
          <w:szCs w:val="20"/>
          <w:lang w:val="en-GB"/>
        </w:rPr>
        <w:t xml:space="preserve"> and how this could be defined for beam management</w:t>
      </w:r>
      <w:r w:rsidR="00184971">
        <w:rPr>
          <w:rFonts w:eastAsia="Calibri" w:cs="Times New Roman"/>
          <w:szCs w:val="20"/>
          <w:lang w:val="en-GB"/>
        </w:rPr>
        <w:t>. Many companies took the similar approach as what RAN4 has been applying for e.g. SCell activation delays. I.e. the condition depends when the UE has sen</w:t>
      </w:r>
      <w:r w:rsidR="000719B7">
        <w:rPr>
          <w:rFonts w:eastAsia="Calibri" w:cs="Times New Roman"/>
          <w:szCs w:val="20"/>
          <w:lang w:val="en-GB"/>
        </w:rPr>
        <w:t>t</w:t>
      </w:r>
      <w:r w:rsidR="00184971">
        <w:rPr>
          <w:rFonts w:eastAsia="Calibri" w:cs="Times New Roman"/>
          <w:szCs w:val="20"/>
          <w:lang w:val="en-GB"/>
        </w:rPr>
        <w:t xml:space="preserve"> the last measurement report related to SCell. </w:t>
      </w:r>
    </w:p>
    <w:p w14:paraId="23868DFE" w14:textId="7BCEA0EA" w:rsidR="00705F7C" w:rsidRDefault="00184971" w:rsidP="00C41A9B">
      <w:pPr>
        <w:tabs>
          <w:tab w:val="left" w:pos="907"/>
        </w:tabs>
        <w:ind w:right="-22"/>
        <w:rPr>
          <w:rFonts w:eastAsia="Calibri" w:cs="Times New Roman"/>
          <w:szCs w:val="20"/>
          <w:lang w:val="en-GB"/>
        </w:rPr>
      </w:pPr>
      <w:r>
        <w:rPr>
          <w:rFonts w:eastAsia="Calibri" w:cs="Times New Roman"/>
          <w:szCs w:val="20"/>
          <w:lang w:val="en-GB"/>
        </w:rPr>
        <w:t xml:space="preserve">For TCI state </w:t>
      </w:r>
      <w:r w:rsidR="0012760D">
        <w:rPr>
          <w:rFonts w:eastAsia="Calibri" w:cs="Times New Roman"/>
          <w:szCs w:val="20"/>
          <w:lang w:val="en-GB"/>
        </w:rPr>
        <w:t xml:space="preserve">for PDCCH </w:t>
      </w:r>
      <w:r>
        <w:rPr>
          <w:rFonts w:eastAsia="Calibri" w:cs="Times New Roman"/>
          <w:szCs w:val="20"/>
          <w:lang w:val="en-GB"/>
        </w:rPr>
        <w:t xml:space="preserve">this </w:t>
      </w:r>
      <w:r w:rsidR="0012760D">
        <w:rPr>
          <w:rFonts w:eastAsia="Calibri" w:cs="Times New Roman"/>
          <w:szCs w:val="20"/>
          <w:lang w:val="en-GB"/>
        </w:rPr>
        <w:t>c</w:t>
      </w:r>
      <w:r>
        <w:rPr>
          <w:rFonts w:eastAsia="Calibri" w:cs="Times New Roman"/>
          <w:szCs w:val="20"/>
          <w:lang w:val="en-GB"/>
        </w:rPr>
        <w:t>ould</w:t>
      </w:r>
      <w:r w:rsidR="000719B7">
        <w:rPr>
          <w:rFonts w:eastAsia="Calibri" w:cs="Times New Roman"/>
          <w:szCs w:val="20"/>
          <w:lang w:val="en-GB"/>
        </w:rPr>
        <w:t xml:space="preserve"> </w:t>
      </w:r>
      <w:r w:rsidR="0012760D">
        <w:rPr>
          <w:rFonts w:eastAsia="Calibri" w:cs="Times New Roman"/>
          <w:szCs w:val="20"/>
          <w:lang w:val="en-GB"/>
        </w:rPr>
        <w:t xml:space="preserve">e.g. </w:t>
      </w:r>
      <w:r w:rsidR="000719B7">
        <w:rPr>
          <w:rFonts w:eastAsia="Calibri" w:cs="Times New Roman"/>
          <w:szCs w:val="20"/>
          <w:lang w:val="en-GB"/>
        </w:rPr>
        <w:t>mean</w:t>
      </w:r>
      <w:r w:rsidR="0012760D">
        <w:rPr>
          <w:rFonts w:eastAsia="Calibri" w:cs="Times New Roman"/>
          <w:szCs w:val="20"/>
          <w:lang w:val="en-GB"/>
        </w:rPr>
        <w:t xml:space="preserve"> that if the UE has sent an L1-RSRP report for the RS </w:t>
      </w:r>
      <w:r w:rsidR="00515F86">
        <w:rPr>
          <w:rFonts w:eastAsia="Calibri" w:cs="Times New Roman"/>
          <w:szCs w:val="20"/>
          <w:lang w:val="en-GB"/>
        </w:rPr>
        <w:t>associated</w:t>
      </w:r>
      <w:r w:rsidR="0012760D">
        <w:rPr>
          <w:rFonts w:eastAsia="Calibri" w:cs="Times New Roman"/>
          <w:szCs w:val="20"/>
          <w:lang w:val="en-GB"/>
        </w:rPr>
        <w:t xml:space="preserve"> to the PDCCH TCI state within a given time period, the TCI state would be defined as ‘known’. Otherwise it would be defined as ‘unknown’ or blind.</w:t>
      </w:r>
    </w:p>
    <w:p w14:paraId="7959068D" w14:textId="7DA1ED8A" w:rsidR="00F904E8" w:rsidRDefault="00F904E8" w:rsidP="00F904E8">
      <w:pPr>
        <w:pStyle w:val="RAN4proposal"/>
      </w:pPr>
      <w:bookmarkStart w:id="6" w:name="_Hlk5027653"/>
      <w:r>
        <w:rPr>
          <w:lang w:val="en-GB"/>
        </w:rPr>
        <w:lastRenderedPageBreak/>
        <w:t>The PDCCH TCI state is ‘blind’ if the UE has not sent an L1-RSRP report for the RS related to the PDCCH TCI state within a given time period</w:t>
      </w:r>
      <w:r w:rsidRPr="0008612A">
        <w:t>.</w:t>
      </w:r>
    </w:p>
    <w:bookmarkEnd w:id="6"/>
    <w:p w14:paraId="6C167E91" w14:textId="3B0CF48E" w:rsidR="00125A85" w:rsidRDefault="00527B74" w:rsidP="00C41A9B">
      <w:pPr>
        <w:tabs>
          <w:tab w:val="left" w:pos="907"/>
        </w:tabs>
        <w:ind w:right="-22"/>
        <w:rPr>
          <w:rFonts w:eastAsia="Calibri" w:cs="Times New Roman"/>
          <w:szCs w:val="20"/>
          <w:lang w:val="en-GB"/>
        </w:rPr>
      </w:pPr>
      <w:r>
        <w:rPr>
          <w:rFonts w:eastAsia="Calibri" w:cs="Times New Roman"/>
          <w:szCs w:val="20"/>
          <w:lang w:val="en-GB"/>
        </w:rPr>
        <w:t xml:space="preserve">In this situation RAN4 would need to discuss </w:t>
      </w:r>
      <w:r w:rsidR="0012760D">
        <w:rPr>
          <w:rFonts w:eastAsia="Calibri" w:cs="Times New Roman"/>
          <w:szCs w:val="20"/>
          <w:lang w:val="en-GB"/>
        </w:rPr>
        <w:t>t</w:t>
      </w:r>
      <w:r>
        <w:rPr>
          <w:rFonts w:eastAsia="Calibri" w:cs="Times New Roman"/>
          <w:szCs w:val="20"/>
          <w:lang w:val="en-GB"/>
        </w:rPr>
        <w:t>he actual latency would need to be decided</w:t>
      </w:r>
      <w:r w:rsidR="0012760D">
        <w:rPr>
          <w:rFonts w:eastAsia="Calibri" w:cs="Times New Roman"/>
          <w:szCs w:val="20"/>
          <w:lang w:val="en-GB"/>
        </w:rPr>
        <w:t xml:space="preserve"> for blind or unknown PDCCH TCI state</w:t>
      </w:r>
      <w:r w:rsidR="00AB4AEA">
        <w:rPr>
          <w:rFonts w:eastAsia="Calibri" w:cs="Times New Roman"/>
          <w:szCs w:val="20"/>
          <w:lang w:val="en-GB"/>
        </w:rPr>
        <w:t>.</w:t>
      </w:r>
      <w:r w:rsidR="0012760D">
        <w:rPr>
          <w:rFonts w:eastAsia="Calibri" w:cs="Times New Roman"/>
          <w:szCs w:val="20"/>
          <w:lang w:val="en-GB"/>
        </w:rPr>
        <w:t xml:space="preserve"> </w:t>
      </w:r>
      <w:r w:rsidR="00FB2261">
        <w:rPr>
          <w:rFonts w:eastAsia="Calibri" w:cs="Times New Roman"/>
          <w:szCs w:val="20"/>
          <w:lang w:val="en-GB"/>
        </w:rPr>
        <w:t>RAN4 should here account the RS used for the given TCI state. I.e. one</w:t>
      </w:r>
      <w:r w:rsidR="0012760D">
        <w:rPr>
          <w:rFonts w:eastAsia="Calibri" w:cs="Times New Roman"/>
          <w:szCs w:val="20"/>
          <w:lang w:val="en-GB"/>
        </w:rPr>
        <w:t xml:space="preserve"> approach </w:t>
      </w:r>
      <w:r w:rsidR="00FB2261">
        <w:rPr>
          <w:rFonts w:eastAsia="Calibri" w:cs="Times New Roman"/>
          <w:szCs w:val="20"/>
          <w:lang w:val="en-GB"/>
        </w:rPr>
        <w:t xml:space="preserve">is to define this latency based on the reference signal of the TCI State. </w:t>
      </w:r>
    </w:p>
    <w:p w14:paraId="739D6C84" w14:textId="01051C31" w:rsidR="00F904E8" w:rsidRDefault="00F904E8" w:rsidP="00F904E8">
      <w:pPr>
        <w:pStyle w:val="RAN4proposal"/>
      </w:pPr>
      <w:r>
        <w:rPr>
          <w:rFonts w:eastAsia="Calibri" w:cs="Times New Roman"/>
          <w:szCs w:val="20"/>
          <w:lang w:val="en-GB"/>
        </w:rPr>
        <w:t>Define the ‘blind’ TCI state change latency based on the reference signal of the TCI State</w:t>
      </w:r>
      <w:r w:rsidRPr="0008612A">
        <w:t>.</w:t>
      </w:r>
    </w:p>
    <w:p w14:paraId="7690FF28" w14:textId="48C4DC21" w:rsidR="00AB4AEA" w:rsidRDefault="000719B7" w:rsidP="00C41A9B">
      <w:pPr>
        <w:tabs>
          <w:tab w:val="left" w:pos="907"/>
        </w:tabs>
        <w:ind w:right="-22"/>
        <w:rPr>
          <w:rFonts w:eastAsia="Calibri" w:cs="Times New Roman"/>
          <w:szCs w:val="20"/>
          <w:lang w:val="en-GB"/>
        </w:rPr>
      </w:pPr>
      <w:r>
        <w:rPr>
          <w:rFonts w:eastAsia="Calibri" w:cs="Times New Roman"/>
          <w:szCs w:val="20"/>
          <w:lang w:val="en-GB"/>
        </w:rPr>
        <w:t>However, one need to remember that network may configure MAC activation command including same PDCCH TCI state as currently in use</w:t>
      </w:r>
      <w:r w:rsidR="0012760D">
        <w:rPr>
          <w:rFonts w:eastAsia="Calibri" w:cs="Times New Roman"/>
          <w:szCs w:val="20"/>
          <w:lang w:val="en-GB"/>
        </w:rPr>
        <w:t>. In this case there would of course not be a need for any reporting conditions.</w:t>
      </w:r>
    </w:p>
    <w:p w14:paraId="22F4CF26" w14:textId="3BF19E75" w:rsidR="00F904E8" w:rsidRDefault="00F904E8" w:rsidP="00C41A9B">
      <w:pPr>
        <w:tabs>
          <w:tab w:val="left" w:pos="907"/>
        </w:tabs>
        <w:ind w:right="-22"/>
        <w:rPr>
          <w:rFonts w:eastAsia="Calibri" w:cs="Times New Roman"/>
          <w:szCs w:val="20"/>
          <w:lang w:val="en-GB"/>
        </w:rPr>
      </w:pPr>
      <w:r>
        <w:rPr>
          <w:rFonts w:eastAsia="Calibri" w:cs="Times New Roman"/>
          <w:szCs w:val="20"/>
          <w:lang w:val="en-GB"/>
        </w:rPr>
        <w:t xml:space="preserve">As baseline for the actual latency it should be accounted that any MAC activation command includes TCI states only for beams within the serving cell. I.e. it can be assumed that the actual time and frequency changes will be rather limited. </w:t>
      </w:r>
      <w:r w:rsidR="00EF00C2">
        <w:rPr>
          <w:rFonts w:eastAsia="Calibri" w:cs="Times New Roman"/>
          <w:szCs w:val="20"/>
          <w:lang w:val="en-GB"/>
        </w:rPr>
        <w:t xml:space="preserve">I.e. the amount of RS needed by the UE for fine tuning e.g. AGC, fine time/frequency settings can be assumed to small. We would assume that for SSB based RS one occasion should be </w:t>
      </w:r>
      <w:r w:rsidR="00515F86">
        <w:rPr>
          <w:rFonts w:eastAsia="Calibri" w:cs="Times New Roman"/>
          <w:szCs w:val="20"/>
          <w:lang w:val="en-GB"/>
        </w:rPr>
        <w:t>enough</w:t>
      </w:r>
      <w:r w:rsidR="00EF00C2">
        <w:rPr>
          <w:rFonts w:eastAsia="Calibri" w:cs="Times New Roman"/>
          <w:szCs w:val="20"/>
          <w:lang w:val="en-GB"/>
        </w:rPr>
        <w:t xml:space="preserve"> while for CSI-RS based it would depend on the CSI-RS configuration.</w:t>
      </w:r>
    </w:p>
    <w:p w14:paraId="3C50B17A" w14:textId="70892B0D" w:rsidR="00EF00C2" w:rsidRDefault="00EF00C2" w:rsidP="00772B26">
      <w:pPr>
        <w:pStyle w:val="RAN4proposal"/>
      </w:pPr>
      <w:r>
        <w:t>For ‘blind’ TCI state switch, using SSB based RS, one additional SSB occasion latency is allowed.</w:t>
      </w:r>
    </w:p>
    <w:p w14:paraId="2E0EBBEB" w14:textId="3B524843" w:rsidR="00EF00C2" w:rsidRDefault="00EF00C2" w:rsidP="00EF00C2">
      <w:pPr>
        <w:pStyle w:val="RAN4proposal"/>
      </w:pPr>
      <w:r>
        <w:t>For ‘blind’ TCI state switch, using CSI-RS based RS, one additional CSI-RS measurement latency is allowed</w:t>
      </w:r>
      <w:r w:rsidRPr="0008612A">
        <w:t>.</w:t>
      </w:r>
    </w:p>
    <w:p w14:paraId="45AA1966" w14:textId="77777777" w:rsidR="00AB4AEA" w:rsidRDefault="00AB4AEA" w:rsidP="00772B26">
      <w:pPr>
        <w:tabs>
          <w:tab w:val="left" w:pos="907"/>
        </w:tabs>
        <w:ind w:right="-22"/>
        <w:rPr>
          <w:rFonts w:eastAsia="Calibri" w:cs="Times New Roman"/>
          <w:szCs w:val="20"/>
          <w:lang w:val="en-GB"/>
        </w:rPr>
      </w:pPr>
    </w:p>
    <w:p w14:paraId="1E4F5AFF" w14:textId="13B382B0" w:rsidR="00CA6ED2" w:rsidRPr="00A37002" w:rsidRDefault="00CA6ED2" w:rsidP="00CA6ED2">
      <w:pPr>
        <w:pStyle w:val="RAN4H3"/>
      </w:pPr>
      <w:r>
        <w:t>DCI triggered TCI state change</w:t>
      </w:r>
    </w:p>
    <w:p w14:paraId="007E2DB7" w14:textId="69C1E414" w:rsidR="007F5226" w:rsidRDefault="00EB1A12" w:rsidP="00945A35">
      <w:pPr>
        <w:ind w:right="-22"/>
        <w:rPr>
          <w:rFonts w:eastAsia="Calibri" w:cs="Times New Roman"/>
          <w:szCs w:val="20"/>
          <w:lang w:val="en-GB"/>
        </w:rPr>
      </w:pPr>
      <w:r>
        <w:rPr>
          <w:rFonts w:eastAsia="Calibri" w:cs="Times New Roman"/>
          <w:szCs w:val="20"/>
          <w:lang w:val="en-GB"/>
        </w:rPr>
        <w:t>T</w:t>
      </w:r>
      <w:r w:rsidR="000B0FD6">
        <w:rPr>
          <w:rFonts w:eastAsia="Calibri" w:cs="Times New Roman"/>
          <w:szCs w:val="20"/>
          <w:lang w:val="en-GB"/>
        </w:rPr>
        <w:t xml:space="preserve">he UE </w:t>
      </w:r>
      <w:r>
        <w:rPr>
          <w:rFonts w:eastAsia="Calibri" w:cs="Times New Roman"/>
          <w:szCs w:val="20"/>
          <w:lang w:val="en-GB"/>
        </w:rPr>
        <w:t>may be configured with up to 8 active TCI state</w:t>
      </w:r>
      <w:r w:rsidR="00911FA6">
        <w:rPr>
          <w:rFonts w:eastAsia="Calibri" w:cs="Times New Roman"/>
          <w:szCs w:val="20"/>
          <w:lang w:val="en-GB"/>
        </w:rPr>
        <w:t>s</w:t>
      </w:r>
      <w:r>
        <w:rPr>
          <w:rFonts w:eastAsia="Calibri" w:cs="Times New Roman"/>
          <w:szCs w:val="20"/>
          <w:lang w:val="en-GB"/>
        </w:rPr>
        <w:t xml:space="preserve"> </w:t>
      </w:r>
      <w:r w:rsidR="000B0FD6">
        <w:rPr>
          <w:rFonts w:eastAsia="Calibri" w:cs="Times New Roman"/>
          <w:szCs w:val="20"/>
          <w:lang w:val="en-GB"/>
        </w:rPr>
        <w:t xml:space="preserve">which can then be switched </w:t>
      </w:r>
      <w:r w:rsidR="00911FA6">
        <w:rPr>
          <w:rFonts w:eastAsia="Calibri" w:cs="Times New Roman"/>
          <w:szCs w:val="20"/>
          <w:lang w:val="en-GB"/>
        </w:rPr>
        <w:t xml:space="preserve">dynamically </w:t>
      </w:r>
      <w:r w:rsidR="000B0FD6">
        <w:rPr>
          <w:rFonts w:eastAsia="Calibri" w:cs="Times New Roman"/>
          <w:szCs w:val="20"/>
          <w:lang w:val="en-GB"/>
        </w:rPr>
        <w:t xml:space="preserve">by gNB </w:t>
      </w:r>
      <w:r>
        <w:rPr>
          <w:rFonts w:eastAsia="Calibri" w:cs="Times New Roman"/>
          <w:szCs w:val="20"/>
          <w:lang w:val="en-GB"/>
        </w:rPr>
        <w:t>by DCI command</w:t>
      </w:r>
      <w:r w:rsidR="00911FA6">
        <w:rPr>
          <w:rFonts w:eastAsia="Calibri" w:cs="Times New Roman"/>
          <w:szCs w:val="20"/>
          <w:lang w:val="en-GB"/>
        </w:rPr>
        <w:t>s</w:t>
      </w:r>
      <w:r>
        <w:rPr>
          <w:rFonts w:eastAsia="Calibri" w:cs="Times New Roman"/>
          <w:szCs w:val="20"/>
          <w:lang w:val="en-GB"/>
        </w:rPr>
        <w:t>. Switch</w:t>
      </w:r>
      <w:r w:rsidR="00515F86">
        <w:rPr>
          <w:rFonts w:eastAsia="Calibri" w:cs="Times New Roman"/>
          <w:szCs w:val="20"/>
          <w:lang w:val="en-GB"/>
        </w:rPr>
        <w:t>ing</w:t>
      </w:r>
      <w:r>
        <w:rPr>
          <w:rFonts w:eastAsia="Calibri" w:cs="Times New Roman"/>
          <w:szCs w:val="20"/>
          <w:lang w:val="en-GB"/>
        </w:rPr>
        <w:t xml:space="preserve"> </w:t>
      </w:r>
      <w:r w:rsidR="00911FA6">
        <w:rPr>
          <w:rFonts w:eastAsia="Calibri" w:cs="Times New Roman"/>
          <w:szCs w:val="20"/>
          <w:lang w:val="en-GB"/>
        </w:rPr>
        <w:t>between</w:t>
      </w:r>
      <w:r>
        <w:rPr>
          <w:rFonts w:eastAsia="Calibri" w:cs="Times New Roman"/>
          <w:szCs w:val="20"/>
          <w:lang w:val="en-GB"/>
        </w:rPr>
        <w:t xml:space="preserve"> TCI state</w:t>
      </w:r>
      <w:r w:rsidR="00911FA6">
        <w:rPr>
          <w:rFonts w:eastAsia="Calibri" w:cs="Times New Roman"/>
          <w:szCs w:val="20"/>
          <w:lang w:val="en-GB"/>
        </w:rPr>
        <w:t>s among active TCI states</w:t>
      </w:r>
      <w:r>
        <w:rPr>
          <w:rFonts w:eastAsia="Calibri" w:cs="Times New Roman"/>
          <w:szCs w:val="20"/>
          <w:lang w:val="en-GB"/>
        </w:rPr>
        <w:t xml:space="preserve"> </w:t>
      </w:r>
      <w:r w:rsidR="00911FA6">
        <w:rPr>
          <w:rFonts w:eastAsia="Calibri" w:cs="Times New Roman"/>
          <w:szCs w:val="20"/>
          <w:lang w:val="en-GB"/>
        </w:rPr>
        <w:t>may be done</w:t>
      </w:r>
      <w:r w:rsidR="007F5226">
        <w:rPr>
          <w:rFonts w:eastAsia="Calibri" w:cs="Times New Roman"/>
          <w:szCs w:val="20"/>
          <w:lang w:val="en-GB"/>
        </w:rPr>
        <w:t xml:space="preserve"> </w:t>
      </w:r>
      <w:r w:rsidR="000B0FD6">
        <w:rPr>
          <w:rFonts w:eastAsia="Calibri" w:cs="Times New Roman"/>
          <w:szCs w:val="20"/>
          <w:lang w:val="en-GB"/>
        </w:rPr>
        <w:t>on a need base</w:t>
      </w:r>
      <w:r w:rsidR="00911FA6">
        <w:rPr>
          <w:rFonts w:eastAsia="Calibri" w:cs="Times New Roman"/>
          <w:szCs w:val="20"/>
          <w:lang w:val="en-GB"/>
        </w:rPr>
        <w:t xml:space="preserve"> from network point of view,</w:t>
      </w:r>
      <w:r w:rsidR="000B0FD6">
        <w:rPr>
          <w:rFonts w:eastAsia="Calibri" w:cs="Times New Roman"/>
          <w:szCs w:val="20"/>
          <w:lang w:val="en-GB"/>
        </w:rPr>
        <w:t xml:space="preserve"> to ensure that the UE is served/using the </w:t>
      </w:r>
      <w:r w:rsidR="00911FA6">
        <w:rPr>
          <w:rFonts w:eastAsia="Calibri" w:cs="Times New Roman"/>
          <w:szCs w:val="20"/>
          <w:lang w:val="en-GB"/>
        </w:rPr>
        <w:t xml:space="preserve">most suitable </w:t>
      </w:r>
      <w:r w:rsidR="000B0FD6">
        <w:rPr>
          <w:rFonts w:eastAsia="Calibri" w:cs="Times New Roman"/>
          <w:szCs w:val="20"/>
          <w:lang w:val="en-GB"/>
        </w:rPr>
        <w:t xml:space="preserve">beam. </w:t>
      </w:r>
    </w:p>
    <w:p w14:paraId="5D5E3645" w14:textId="719C1FD1" w:rsidR="007F5226" w:rsidRDefault="007F5226" w:rsidP="00945A35">
      <w:pPr>
        <w:ind w:right="-22"/>
        <w:rPr>
          <w:rFonts w:eastAsia="Calibri" w:cs="Times New Roman"/>
          <w:szCs w:val="20"/>
          <w:lang w:val="en-GB"/>
        </w:rPr>
      </w:pPr>
      <w:r>
        <w:rPr>
          <w:rFonts w:eastAsia="Calibri" w:cs="Times New Roman"/>
          <w:szCs w:val="20"/>
          <w:lang w:val="en-GB"/>
        </w:rPr>
        <w:t xml:space="preserve">One example of dynamic switching </w:t>
      </w:r>
      <w:r w:rsidR="00911FA6">
        <w:rPr>
          <w:rFonts w:eastAsia="Calibri" w:cs="Times New Roman"/>
          <w:szCs w:val="20"/>
          <w:lang w:val="en-GB"/>
        </w:rPr>
        <w:t xml:space="preserve">among active TCI states </w:t>
      </w:r>
      <w:r>
        <w:rPr>
          <w:rFonts w:eastAsia="Calibri" w:cs="Times New Roman"/>
          <w:szCs w:val="20"/>
          <w:lang w:val="en-GB"/>
        </w:rPr>
        <w:t>is that the gNB use one active TCI state for PDCCH and another active TCI state for PDSCH. I.e. dynamic TCI state switch by scheduling data using different beam than used for PDCCH.</w:t>
      </w:r>
    </w:p>
    <w:p w14:paraId="0D7D7A88" w14:textId="4455B49A" w:rsidR="00AF0546" w:rsidRPr="00AF0546" w:rsidRDefault="00AF0546" w:rsidP="00772B26">
      <w:pPr>
        <w:pStyle w:val="RAN4Observation"/>
      </w:pPr>
      <w:r w:rsidRPr="0008612A">
        <w:t>N</w:t>
      </w:r>
      <w:r>
        <w:t xml:space="preserve">etwork may use </w:t>
      </w:r>
      <w:r w:rsidR="00515F86">
        <w:t xml:space="preserve">DCI for </w:t>
      </w:r>
      <w:r>
        <w:t>dynamic switching among the activated TCI states</w:t>
      </w:r>
      <w:r w:rsidRPr="0008612A">
        <w:t>.</w:t>
      </w:r>
    </w:p>
    <w:p w14:paraId="1D44BA53" w14:textId="7ADB815E" w:rsidR="007A08EC" w:rsidRDefault="007A08EC" w:rsidP="00945A35">
      <w:pPr>
        <w:ind w:right="-22"/>
        <w:rPr>
          <w:szCs w:val="20"/>
        </w:rPr>
      </w:pPr>
      <w:r>
        <w:rPr>
          <w:szCs w:val="20"/>
        </w:rPr>
        <w:t xml:space="preserve">For dynamic TCI state switching, the UE can under some conditions assume that the time between the PDCCH including the TCI state and the PDSCH is at least threshold </w:t>
      </w:r>
      <w:r>
        <w:rPr>
          <w:i/>
          <w:iCs/>
          <w:szCs w:val="20"/>
        </w:rPr>
        <w:t>timeDurationForQCL.</w:t>
      </w:r>
      <w:r>
        <w:rPr>
          <w:iCs/>
          <w:szCs w:val="20"/>
        </w:rPr>
        <w:t xml:space="preserve"> </w:t>
      </w:r>
      <w:r w:rsidR="00AF0546">
        <w:rPr>
          <w:iCs/>
          <w:szCs w:val="20"/>
        </w:rPr>
        <w:t xml:space="preserve">This latency depends on the UE capability and applies for FR2. </w:t>
      </w:r>
    </w:p>
    <w:p w14:paraId="7B87EE50" w14:textId="2C0B893D" w:rsidR="00911FA6" w:rsidRDefault="00AF0546" w:rsidP="00945A35">
      <w:pPr>
        <w:ind w:right="-22"/>
        <w:rPr>
          <w:rFonts w:eastAsia="Calibri" w:cs="Times New Roman"/>
          <w:szCs w:val="20"/>
          <w:lang w:val="en-GB"/>
        </w:rPr>
      </w:pPr>
      <w:r>
        <w:rPr>
          <w:szCs w:val="20"/>
        </w:rPr>
        <w:t xml:space="preserve">I.e. </w:t>
      </w:r>
      <w:r w:rsidR="006743FD">
        <w:rPr>
          <w:szCs w:val="20"/>
        </w:rPr>
        <w:t>for FR2 and 60</w:t>
      </w:r>
      <w:r>
        <w:rPr>
          <w:szCs w:val="20"/>
        </w:rPr>
        <w:t>KHz</w:t>
      </w:r>
      <w:r w:rsidR="006743FD">
        <w:rPr>
          <w:szCs w:val="20"/>
        </w:rPr>
        <w:t xml:space="preserve"> and 120 KHz SCS</w:t>
      </w:r>
      <w:r>
        <w:rPr>
          <w:szCs w:val="20"/>
        </w:rPr>
        <w:t xml:space="preserve"> the UE is allowed a certain minimum latency between receiving the PDCCH indicating the PDSCH and the actual scheduled PDSCH of</w:t>
      </w:r>
      <w:r w:rsidR="006743FD">
        <w:rPr>
          <w:szCs w:val="20"/>
        </w:rPr>
        <w:t xml:space="preserve"> threshold </w:t>
      </w:r>
      <w:r w:rsidR="006743FD">
        <w:rPr>
          <w:i/>
          <w:iCs/>
          <w:szCs w:val="20"/>
        </w:rPr>
        <w:t>timeDurationForQCL</w:t>
      </w:r>
      <w:r>
        <w:rPr>
          <w:i/>
          <w:iCs/>
          <w:szCs w:val="20"/>
        </w:rPr>
        <w:t>.</w:t>
      </w:r>
    </w:p>
    <w:p w14:paraId="43847ED4" w14:textId="32049FB1" w:rsidR="006743FD" w:rsidRDefault="006743FD" w:rsidP="00945A35">
      <w:pPr>
        <w:ind w:right="-22"/>
        <w:rPr>
          <w:rFonts w:eastAsia="Calibri" w:cs="Times New Roman"/>
          <w:szCs w:val="20"/>
          <w:lang w:val="en-GB"/>
        </w:rPr>
      </w:pPr>
      <w:r>
        <w:rPr>
          <w:rFonts w:eastAsia="Calibri" w:cs="Times New Roman"/>
          <w:szCs w:val="20"/>
          <w:lang w:val="en-GB"/>
        </w:rPr>
        <w:t xml:space="preserve">For FR1 assumption is omnidirectional reception and </w:t>
      </w:r>
      <w:r w:rsidR="00AF0546">
        <w:rPr>
          <w:rFonts w:eastAsia="Calibri" w:cs="Times New Roman"/>
          <w:szCs w:val="20"/>
          <w:lang w:val="en-GB"/>
        </w:rPr>
        <w:t xml:space="preserve">a similar </w:t>
      </w:r>
      <w:r>
        <w:rPr>
          <w:rFonts w:eastAsia="Calibri" w:cs="Times New Roman"/>
          <w:szCs w:val="20"/>
          <w:lang w:val="en-GB"/>
        </w:rPr>
        <w:t xml:space="preserve">latency </w:t>
      </w:r>
      <w:r w:rsidR="00AF0546">
        <w:rPr>
          <w:rFonts w:eastAsia="Calibri" w:cs="Times New Roman"/>
          <w:szCs w:val="20"/>
          <w:lang w:val="en-GB"/>
        </w:rPr>
        <w:t>(</w:t>
      </w:r>
      <w:r w:rsidR="00AF0546">
        <w:rPr>
          <w:i/>
          <w:iCs/>
          <w:szCs w:val="20"/>
        </w:rPr>
        <w:t>timeDurationForQCL</w:t>
      </w:r>
      <w:r w:rsidR="00AF0546">
        <w:rPr>
          <w:rFonts w:eastAsia="Calibri" w:cs="Times New Roman"/>
          <w:szCs w:val="20"/>
          <w:lang w:val="en-GB"/>
        </w:rPr>
        <w:t xml:space="preserve">) </w:t>
      </w:r>
      <w:r>
        <w:rPr>
          <w:rFonts w:eastAsia="Calibri" w:cs="Times New Roman"/>
          <w:szCs w:val="20"/>
          <w:lang w:val="en-GB"/>
        </w:rPr>
        <w:t xml:space="preserve">is not </w:t>
      </w:r>
      <w:r w:rsidR="00AF0546">
        <w:rPr>
          <w:rFonts w:eastAsia="Calibri" w:cs="Times New Roman"/>
          <w:szCs w:val="20"/>
          <w:lang w:val="en-GB"/>
        </w:rPr>
        <w:t>defined</w:t>
      </w:r>
      <w:r>
        <w:rPr>
          <w:rFonts w:eastAsia="Calibri" w:cs="Times New Roman"/>
          <w:szCs w:val="20"/>
          <w:lang w:val="en-GB"/>
        </w:rPr>
        <w:t>.</w:t>
      </w:r>
    </w:p>
    <w:p w14:paraId="57A8958E" w14:textId="78EE261A" w:rsidR="00AF0546" w:rsidRPr="00AF0546" w:rsidRDefault="00AF0546" w:rsidP="00AF0546">
      <w:pPr>
        <w:pStyle w:val="RAN4Observation"/>
      </w:pPr>
      <w:r>
        <w:t xml:space="preserve">In FR2 the UE is allowed a switching delay between active TCI states of </w:t>
      </w:r>
      <w:r>
        <w:rPr>
          <w:i/>
          <w:iCs/>
        </w:rPr>
        <w:t>timeDurationForQCL</w:t>
      </w:r>
      <w:r w:rsidRPr="0008612A">
        <w:t>.</w:t>
      </w:r>
    </w:p>
    <w:p w14:paraId="537930B6" w14:textId="604FA38C" w:rsidR="001C7798" w:rsidRPr="00AF0546" w:rsidRDefault="001C7798" w:rsidP="001C7798">
      <w:pPr>
        <w:pStyle w:val="RAN4Observation"/>
      </w:pPr>
      <w:r>
        <w:t>In FR1 a similar switching delay between active TCI states (</w:t>
      </w:r>
      <w:r>
        <w:rPr>
          <w:i/>
          <w:iCs/>
        </w:rPr>
        <w:t>timeDurationForQCL</w:t>
      </w:r>
      <w:r w:rsidRPr="00772B26">
        <w:rPr>
          <w:iCs/>
        </w:rPr>
        <w:t>)</w:t>
      </w:r>
      <w:r>
        <w:rPr>
          <w:iCs/>
        </w:rPr>
        <w:t xml:space="preserve"> is not defined</w:t>
      </w:r>
      <w:r w:rsidRPr="0008612A">
        <w:t>.</w:t>
      </w:r>
    </w:p>
    <w:p w14:paraId="44F97C49" w14:textId="57B8D02F" w:rsidR="008E3A8D" w:rsidRDefault="001C7798" w:rsidP="00945A35">
      <w:pPr>
        <w:ind w:right="-22"/>
        <w:rPr>
          <w:rFonts w:eastAsia="Calibri" w:cs="Times New Roman"/>
          <w:szCs w:val="20"/>
          <w:lang w:val="en-GB"/>
        </w:rPr>
      </w:pPr>
      <w:r>
        <w:rPr>
          <w:rFonts w:eastAsia="Calibri" w:cs="Times New Roman"/>
          <w:szCs w:val="20"/>
          <w:lang w:val="en-GB"/>
        </w:rPr>
        <w:t xml:space="preserve">From this it is clear that </w:t>
      </w:r>
      <w:r w:rsidR="008E3A8D">
        <w:rPr>
          <w:rFonts w:eastAsia="Calibri" w:cs="Times New Roman"/>
          <w:szCs w:val="20"/>
          <w:lang w:val="en-GB"/>
        </w:rPr>
        <w:t xml:space="preserve">for dynamic TCI state change based on DCI indication/codepoint, RAN1 has already defined the necessary UE latency. As the UE can assume that the PDSCH has same timing as the PDCCH, there is no need for any further UE latencies. </w:t>
      </w:r>
    </w:p>
    <w:p w14:paraId="7E6FCA3F" w14:textId="3CFF1559" w:rsidR="00AB4AEA" w:rsidRDefault="00AB4AEA" w:rsidP="00AB4AEA">
      <w:pPr>
        <w:pStyle w:val="RAN4Observation"/>
        <w:numPr>
          <w:ilvl w:val="0"/>
          <w:numId w:val="11"/>
        </w:numPr>
      </w:pPr>
      <w:r>
        <w:t>The UE can assume that the PDSCH has same timing as the PDCCH</w:t>
      </w:r>
      <w:r w:rsidRPr="0008612A">
        <w:t>.</w:t>
      </w:r>
    </w:p>
    <w:p w14:paraId="1E8EFE99" w14:textId="53CC6B75" w:rsidR="00AB4AEA" w:rsidRDefault="00AB4AEA" w:rsidP="00AB4AEA">
      <w:pPr>
        <w:pStyle w:val="RAN4proposal"/>
      </w:pPr>
      <w:r>
        <w:t xml:space="preserve">For DCI triggered </w:t>
      </w:r>
      <w:r w:rsidR="00F904E8">
        <w:t xml:space="preserve">PDSCH </w:t>
      </w:r>
      <w:r>
        <w:t>TCI s</w:t>
      </w:r>
      <w:r w:rsidR="00F904E8">
        <w:t>t</w:t>
      </w:r>
      <w:r>
        <w:t xml:space="preserve">ate </w:t>
      </w:r>
      <w:r w:rsidR="00515F86">
        <w:t>switch,</w:t>
      </w:r>
      <w:r>
        <w:t xml:space="preserve"> no additional latency is needed</w:t>
      </w:r>
      <w:r w:rsidR="00515F86">
        <w:t xml:space="preserve"> besides what is defined by RAN1</w:t>
      </w:r>
      <w:r w:rsidRPr="0008612A">
        <w:t>.</w:t>
      </w:r>
    </w:p>
    <w:p w14:paraId="24CFD05C" w14:textId="55EA4773" w:rsidR="001C7798" w:rsidRDefault="001C7798" w:rsidP="00945A35">
      <w:pPr>
        <w:ind w:right="-22"/>
        <w:rPr>
          <w:rFonts w:eastAsia="Calibri" w:cs="Times New Roman"/>
          <w:szCs w:val="20"/>
          <w:lang w:val="en-GB"/>
        </w:rPr>
      </w:pPr>
      <w:r>
        <w:rPr>
          <w:rFonts w:eastAsia="Calibri" w:cs="Times New Roman"/>
          <w:szCs w:val="20"/>
          <w:lang w:val="en-GB"/>
        </w:rPr>
        <w:t>For DCI triggered TCI state change we propose to adapt the latency defined by RAN1</w:t>
      </w:r>
      <w:r w:rsidR="008E3A8D">
        <w:rPr>
          <w:rFonts w:eastAsia="Calibri" w:cs="Times New Roman"/>
          <w:szCs w:val="20"/>
          <w:lang w:val="en-GB"/>
        </w:rPr>
        <w:t>.</w:t>
      </w:r>
    </w:p>
    <w:p w14:paraId="75F9C05D" w14:textId="1807A031" w:rsidR="008E3A8D" w:rsidRDefault="008E3A8D" w:rsidP="008E3A8D">
      <w:pPr>
        <w:pStyle w:val="RAN4proposal"/>
      </w:pPr>
      <w:r>
        <w:t xml:space="preserve">Use defined RAN1 delay as baseline for defining RAN4 DCI based </w:t>
      </w:r>
      <w:r w:rsidR="00F904E8">
        <w:t xml:space="preserve">PDSCH </w:t>
      </w:r>
      <w:r>
        <w:t>TCI state change delay requirements</w:t>
      </w:r>
      <w:r w:rsidRPr="0008612A">
        <w:t>.</w:t>
      </w:r>
    </w:p>
    <w:p w14:paraId="17C3DD3F" w14:textId="77777777" w:rsidR="008E3A8D" w:rsidRPr="00772B26" w:rsidRDefault="008E3A8D" w:rsidP="00945A35">
      <w:pPr>
        <w:ind w:right="-22"/>
        <w:rPr>
          <w:rFonts w:eastAsia="Calibri" w:cs="Times New Roman"/>
          <w:szCs w:val="20"/>
        </w:rPr>
      </w:pPr>
    </w:p>
    <w:p w14:paraId="53C3800F" w14:textId="77777777" w:rsidR="00DD1C04" w:rsidRDefault="00DD1C04" w:rsidP="00945A35">
      <w:pPr>
        <w:ind w:right="-22"/>
        <w:rPr>
          <w:rFonts w:eastAsia="Calibri" w:cs="Times New Roman"/>
          <w:szCs w:val="20"/>
          <w:lang w:val="en-GB"/>
        </w:rPr>
      </w:pPr>
    </w:p>
    <w:p w14:paraId="0E1494F2" w14:textId="2F7BD049" w:rsidR="00DD1C04" w:rsidRPr="008826C1" w:rsidRDefault="00DD1C04" w:rsidP="00DD1C04">
      <w:pPr>
        <w:pStyle w:val="RAN4H2"/>
      </w:pPr>
      <w:r>
        <w:rPr>
          <w:rFonts w:eastAsia="Calibri"/>
          <w:lang w:val="en-GB"/>
        </w:rPr>
        <w:t>TCI switching and Interrupts</w:t>
      </w:r>
    </w:p>
    <w:p w14:paraId="079FC737" w14:textId="0267D88F" w:rsidR="00DD1C04" w:rsidRDefault="00DD1C04" w:rsidP="00945A35">
      <w:pPr>
        <w:ind w:right="-22"/>
        <w:rPr>
          <w:rFonts w:eastAsia="Calibri" w:cs="Times New Roman"/>
          <w:szCs w:val="20"/>
          <w:lang w:val="en-GB"/>
        </w:rPr>
      </w:pPr>
      <w:r>
        <w:rPr>
          <w:rFonts w:eastAsia="Calibri" w:cs="Times New Roman"/>
          <w:szCs w:val="20"/>
          <w:lang w:val="en-GB"/>
        </w:rPr>
        <w:t>Discussions related</w:t>
      </w:r>
      <w:r w:rsidR="00A97DB8">
        <w:rPr>
          <w:rFonts w:eastAsia="Calibri" w:cs="Times New Roman"/>
          <w:szCs w:val="20"/>
          <w:lang w:val="en-GB"/>
        </w:rPr>
        <w:t xml:space="preserve"> to interruption</w:t>
      </w:r>
      <w:r>
        <w:rPr>
          <w:rFonts w:eastAsia="Calibri" w:cs="Times New Roman"/>
          <w:szCs w:val="20"/>
          <w:lang w:val="en-GB"/>
        </w:rPr>
        <w:t>s</w:t>
      </w:r>
      <w:r w:rsidR="00A97DB8">
        <w:rPr>
          <w:rFonts w:eastAsia="Calibri" w:cs="Times New Roman"/>
          <w:szCs w:val="20"/>
          <w:lang w:val="en-GB"/>
        </w:rPr>
        <w:t xml:space="preserve"> due the TCI switch was raised</w:t>
      </w:r>
      <w:r>
        <w:rPr>
          <w:rFonts w:eastAsia="Calibri" w:cs="Times New Roman"/>
          <w:szCs w:val="20"/>
          <w:lang w:val="en-GB"/>
        </w:rPr>
        <w:t xml:space="preserve"> during the discussions</w:t>
      </w:r>
      <w:r w:rsidR="00A97DB8">
        <w:rPr>
          <w:rFonts w:eastAsia="Calibri" w:cs="Times New Roman"/>
          <w:szCs w:val="20"/>
          <w:lang w:val="en-GB"/>
        </w:rPr>
        <w:t>. Looking at the history and reasoning why interruptions were introduced in LTE (and later NR), a TCI state change should not cause interru</w:t>
      </w:r>
      <w:r w:rsidR="00F8793A">
        <w:rPr>
          <w:rFonts w:eastAsia="Calibri" w:cs="Times New Roman"/>
          <w:szCs w:val="20"/>
          <w:lang w:val="en-GB"/>
        </w:rPr>
        <w:t>p</w:t>
      </w:r>
      <w:r w:rsidR="00A97DB8">
        <w:rPr>
          <w:rFonts w:eastAsia="Calibri" w:cs="Times New Roman"/>
          <w:szCs w:val="20"/>
          <w:lang w:val="en-GB"/>
        </w:rPr>
        <w:t xml:space="preserve">tions. </w:t>
      </w:r>
    </w:p>
    <w:p w14:paraId="78CA0714" w14:textId="38AE49EB" w:rsidR="00DD1C04" w:rsidRDefault="00DD1C04" w:rsidP="00945A35">
      <w:pPr>
        <w:ind w:right="-22"/>
        <w:rPr>
          <w:rFonts w:eastAsia="Calibri" w:cs="Times New Roman"/>
          <w:szCs w:val="20"/>
          <w:lang w:val="en-GB"/>
        </w:rPr>
      </w:pPr>
      <w:r>
        <w:rPr>
          <w:rFonts w:eastAsia="Calibri" w:cs="Times New Roman"/>
          <w:szCs w:val="20"/>
          <w:lang w:val="en-GB"/>
        </w:rPr>
        <w:t>The dynamic TCI state change by DCI involves UE change of spatial Rx filters which does not cause interruptions as no RF needs to be activated.</w:t>
      </w:r>
    </w:p>
    <w:p w14:paraId="115689C6" w14:textId="20DFECB6" w:rsidR="00DD1C04" w:rsidRDefault="00DD1C04" w:rsidP="00945A35">
      <w:pPr>
        <w:ind w:right="-22"/>
        <w:rPr>
          <w:rFonts w:eastAsia="Calibri" w:cs="Times New Roman"/>
          <w:szCs w:val="20"/>
          <w:lang w:val="en-GB"/>
        </w:rPr>
      </w:pPr>
      <w:r>
        <w:rPr>
          <w:rFonts w:eastAsia="Calibri" w:cs="Times New Roman"/>
          <w:szCs w:val="20"/>
          <w:lang w:val="en-GB"/>
        </w:rPr>
        <w:t>Applying a new activation command received in a MAC CE should not cause interrupts either. Applying the new TCI states may involve activation of a new panel on the UE side (which is the reason for the current latency). However, activating a new panel should not lead to similar RF pulling as is the reasoning behind the current interrupts.</w:t>
      </w:r>
    </w:p>
    <w:p w14:paraId="70DA7C9A" w14:textId="4F3CA4F1" w:rsidR="00A97DB8" w:rsidRDefault="00A97DB8" w:rsidP="00945A35">
      <w:pPr>
        <w:ind w:right="-22"/>
        <w:rPr>
          <w:rFonts w:eastAsia="Calibri" w:cs="Times New Roman"/>
          <w:szCs w:val="20"/>
          <w:lang w:val="en-GB"/>
        </w:rPr>
      </w:pPr>
    </w:p>
    <w:p w14:paraId="2C15BD9B" w14:textId="68E5D82A" w:rsidR="00F8793A" w:rsidRDefault="00F8793A" w:rsidP="00F8793A">
      <w:pPr>
        <w:pStyle w:val="RAN4Observation"/>
      </w:pPr>
      <w:r>
        <w:t>A TCI state change does not involve turning on or off any receivers</w:t>
      </w:r>
      <w:r w:rsidRPr="0008612A">
        <w:t>.</w:t>
      </w:r>
    </w:p>
    <w:p w14:paraId="745181D8" w14:textId="0B7DFC49" w:rsidR="00F8793A" w:rsidRDefault="00F8793A" w:rsidP="00F8793A">
      <w:pPr>
        <w:pStyle w:val="RAN4Observation"/>
      </w:pPr>
      <w:r>
        <w:t>A TCI state change does not cause interruptions on other active cells</w:t>
      </w:r>
      <w:r w:rsidRPr="0008612A">
        <w:t>.</w:t>
      </w:r>
    </w:p>
    <w:p w14:paraId="6A898C78" w14:textId="1112F8D4" w:rsidR="00496723" w:rsidRPr="00772B26" w:rsidRDefault="00496723" w:rsidP="00772B26">
      <w:pPr>
        <w:pStyle w:val="RAN4proposal"/>
        <w:numPr>
          <w:ilvl w:val="0"/>
          <w:numId w:val="0"/>
        </w:numPr>
        <w:rPr>
          <w:b w:val="0"/>
        </w:rPr>
      </w:pPr>
      <w:r w:rsidRPr="00772B26">
        <w:rPr>
          <w:rFonts w:eastAsia="Calibri" w:cs="Times New Roman"/>
          <w:b w:val="0"/>
          <w:szCs w:val="20"/>
          <w:lang w:val="en-GB"/>
        </w:rPr>
        <w:t xml:space="preserve">Based on this we do not see a need to introduce requirements </w:t>
      </w:r>
      <w:r w:rsidR="0056172F">
        <w:rPr>
          <w:rFonts w:eastAsia="Calibri" w:cs="Times New Roman"/>
          <w:b w:val="0"/>
          <w:szCs w:val="20"/>
          <w:lang w:val="en-GB"/>
        </w:rPr>
        <w:t xml:space="preserve">for </w:t>
      </w:r>
      <w:r w:rsidR="0056172F" w:rsidRPr="00963815">
        <w:rPr>
          <w:rFonts w:eastAsia="Calibri" w:cs="Times New Roman"/>
          <w:b w:val="0"/>
          <w:szCs w:val="20"/>
          <w:lang w:val="en-GB"/>
        </w:rPr>
        <w:t>interrupt</w:t>
      </w:r>
      <w:r w:rsidR="0056172F">
        <w:rPr>
          <w:rFonts w:eastAsia="Calibri" w:cs="Times New Roman"/>
          <w:b w:val="0"/>
          <w:szCs w:val="20"/>
          <w:lang w:val="en-GB"/>
        </w:rPr>
        <w:t>s</w:t>
      </w:r>
      <w:r w:rsidR="0056172F" w:rsidRPr="00963815">
        <w:rPr>
          <w:rFonts w:eastAsia="Calibri" w:cs="Times New Roman"/>
          <w:b w:val="0"/>
          <w:szCs w:val="20"/>
          <w:lang w:val="en-GB"/>
        </w:rPr>
        <w:t xml:space="preserve"> </w:t>
      </w:r>
      <w:r w:rsidR="0056172F">
        <w:rPr>
          <w:rFonts w:eastAsia="Calibri" w:cs="Times New Roman"/>
          <w:b w:val="0"/>
          <w:szCs w:val="20"/>
          <w:lang w:val="en-GB"/>
        </w:rPr>
        <w:t xml:space="preserve">on other cells </w:t>
      </w:r>
      <w:r w:rsidRPr="00772B26">
        <w:rPr>
          <w:rFonts w:eastAsia="Calibri" w:cs="Times New Roman"/>
          <w:b w:val="0"/>
          <w:szCs w:val="20"/>
          <w:lang w:val="en-GB"/>
        </w:rPr>
        <w:t>for neither DCI based TCI state switch nor for applying a new MAC based TCI state activation command.</w:t>
      </w:r>
    </w:p>
    <w:p w14:paraId="05ACD0BE" w14:textId="520F001B" w:rsidR="00496723" w:rsidRDefault="00496723" w:rsidP="00496723">
      <w:pPr>
        <w:pStyle w:val="RAN4proposal"/>
      </w:pPr>
      <w:r>
        <w:t xml:space="preserve">RAN4 does not define interrupts </w:t>
      </w:r>
      <w:r w:rsidR="0056172F">
        <w:t xml:space="preserve">on other cells </w:t>
      </w:r>
      <w:r>
        <w:t>due to receiving MAC TCI state activation command or DCI based TCI state switching</w:t>
      </w:r>
      <w:r w:rsidRPr="0008612A">
        <w:t>.</w:t>
      </w:r>
    </w:p>
    <w:p w14:paraId="09E66A46" w14:textId="77777777" w:rsidR="00496723" w:rsidRPr="00772B26" w:rsidRDefault="00496723" w:rsidP="00945A35">
      <w:pPr>
        <w:ind w:right="-22"/>
        <w:rPr>
          <w:rFonts w:eastAsia="Calibri" w:cs="Times New Roman"/>
          <w:szCs w:val="20"/>
        </w:rPr>
      </w:pPr>
    </w:p>
    <w:p w14:paraId="5CDC9884" w14:textId="6C10E79A" w:rsidR="000B0FD6" w:rsidRPr="008826C1" w:rsidRDefault="000B0FD6" w:rsidP="000B0FD6">
      <w:pPr>
        <w:pStyle w:val="RAN4H2"/>
      </w:pPr>
      <w:r>
        <w:rPr>
          <w:rFonts w:eastAsia="Calibri"/>
          <w:lang w:val="en-GB"/>
        </w:rPr>
        <w:t>TCI details for SCell activation in FR2</w:t>
      </w:r>
    </w:p>
    <w:p w14:paraId="7BE8820A" w14:textId="6E3DCDB1" w:rsidR="006743FD" w:rsidRDefault="006743FD" w:rsidP="00945A35">
      <w:pPr>
        <w:ind w:right="-22"/>
        <w:rPr>
          <w:rFonts w:eastAsia="Calibri" w:cs="Times New Roman"/>
          <w:szCs w:val="20"/>
          <w:lang w:val="en-GB"/>
        </w:rPr>
      </w:pPr>
      <w:r>
        <w:rPr>
          <w:rFonts w:eastAsia="Calibri" w:cs="Times New Roman"/>
          <w:szCs w:val="20"/>
          <w:lang w:val="en-GB"/>
        </w:rPr>
        <w:t>Summary: Only FR2, part of activation delay, until activation command is received – use SSB assumption. Nothing different from other serving cell.</w:t>
      </w:r>
    </w:p>
    <w:p w14:paraId="0F042587" w14:textId="6A8B4525" w:rsidR="00945A35" w:rsidRDefault="007F3BB6" w:rsidP="00945A35">
      <w:pPr>
        <w:ind w:right="-22"/>
        <w:rPr>
          <w:rFonts w:eastAsia="Calibri" w:cs="Times New Roman"/>
          <w:szCs w:val="20"/>
          <w:lang w:val="en-GB"/>
        </w:rPr>
      </w:pPr>
      <w:r w:rsidRPr="000B0FD6">
        <w:rPr>
          <w:rFonts w:eastAsia="Calibri" w:cs="Times New Roman"/>
          <w:szCs w:val="20"/>
          <w:lang w:val="en-GB"/>
        </w:rPr>
        <w:t xml:space="preserve">For this case the question to be discussed was related to the fact that the UE </w:t>
      </w:r>
      <w:r w:rsidR="000B0FD6" w:rsidRPr="000B0FD6">
        <w:rPr>
          <w:rFonts w:eastAsia="Calibri" w:cs="Times New Roman"/>
          <w:szCs w:val="20"/>
          <w:lang w:val="en-GB"/>
        </w:rPr>
        <w:t xml:space="preserve">can be configured </w:t>
      </w:r>
      <w:r w:rsidR="000B0FD6">
        <w:rPr>
          <w:rFonts w:eastAsia="Calibri" w:cs="Times New Roman"/>
          <w:szCs w:val="20"/>
          <w:lang w:val="en-GB"/>
        </w:rPr>
        <w:t xml:space="preserve">with multiple TCI states </w:t>
      </w:r>
      <w:r w:rsidR="006C6B24">
        <w:rPr>
          <w:rFonts w:eastAsia="Calibri" w:cs="Times New Roman"/>
          <w:szCs w:val="20"/>
          <w:lang w:val="en-GB"/>
        </w:rPr>
        <w:t xml:space="preserve">and the SCell </w:t>
      </w:r>
      <w:r w:rsidR="008A138C">
        <w:rPr>
          <w:rFonts w:eastAsia="Calibri" w:cs="Times New Roman"/>
          <w:szCs w:val="20"/>
          <w:lang w:val="en-GB"/>
        </w:rPr>
        <w:t>being present in a band without PCell/PSCell is being activated as first cell.</w:t>
      </w:r>
    </w:p>
    <w:p w14:paraId="4C9311F0" w14:textId="5A6670E9" w:rsidR="008A138C" w:rsidRDefault="008A138C" w:rsidP="00945A35">
      <w:pPr>
        <w:ind w:right="-22"/>
        <w:rPr>
          <w:rFonts w:eastAsia="Calibri" w:cs="Times New Roman"/>
          <w:szCs w:val="20"/>
          <w:lang w:val="en-GB"/>
        </w:rPr>
      </w:pPr>
      <w:r>
        <w:rPr>
          <w:rFonts w:eastAsia="Calibri" w:cs="Times New Roman"/>
          <w:szCs w:val="20"/>
          <w:lang w:val="en-GB"/>
        </w:rPr>
        <w:t>For this case RAN4 should consider the discussions carried out when discussing the number of cells and SSBs the UE should be able to measure. During this discussion it became clear that in Rel-15 the UE is only capable of receiving in one ‘direction’ at a time. Similar would then still need to be accounted in the discussion.</w:t>
      </w:r>
    </w:p>
    <w:p w14:paraId="0B7961F7" w14:textId="0971B647" w:rsidR="008A138C" w:rsidRDefault="008A138C" w:rsidP="00945A35">
      <w:pPr>
        <w:ind w:right="-22"/>
        <w:rPr>
          <w:rFonts w:eastAsia="Calibri" w:cs="Times New Roman"/>
          <w:szCs w:val="20"/>
          <w:lang w:val="en-GB"/>
        </w:rPr>
      </w:pPr>
      <w:r>
        <w:rPr>
          <w:rFonts w:eastAsia="Calibri" w:cs="Times New Roman"/>
          <w:szCs w:val="20"/>
          <w:lang w:val="en-GB"/>
        </w:rPr>
        <w:t xml:space="preserve">Additionally, RAN4 would need to look at the SCell activation delays discussion and </w:t>
      </w:r>
      <w:r w:rsidR="00B10A05">
        <w:rPr>
          <w:rFonts w:eastAsia="Calibri" w:cs="Times New Roman"/>
          <w:szCs w:val="20"/>
          <w:lang w:val="en-GB"/>
        </w:rPr>
        <w:t>which delays are considered for that.</w:t>
      </w:r>
    </w:p>
    <w:p w14:paraId="6A6A68D4" w14:textId="75FD8834" w:rsidR="00B10A05" w:rsidRDefault="00B10A05" w:rsidP="00945A35">
      <w:pPr>
        <w:ind w:right="-22"/>
        <w:rPr>
          <w:rFonts w:eastAsia="Calibri" w:cs="Times New Roman"/>
          <w:szCs w:val="20"/>
          <w:lang w:val="en-GB"/>
        </w:rPr>
      </w:pPr>
      <w:r>
        <w:rPr>
          <w:rFonts w:eastAsia="Calibri" w:cs="Times New Roman"/>
          <w:szCs w:val="20"/>
          <w:lang w:val="en-GB"/>
        </w:rPr>
        <w:t>Basically, the SCell configuration will include one or more BWP including a default BWP</w:t>
      </w:r>
      <w:r w:rsidR="00823B2A">
        <w:rPr>
          <w:rFonts w:eastAsia="Calibri" w:cs="Times New Roman"/>
          <w:szCs w:val="20"/>
          <w:lang w:val="en-GB"/>
        </w:rPr>
        <w:t xml:space="preserve"> in the</w:t>
      </w:r>
      <w:r>
        <w:rPr>
          <w:rFonts w:eastAsia="Calibri" w:cs="Times New Roman"/>
          <w:szCs w:val="20"/>
          <w:lang w:val="en-GB"/>
        </w:rPr>
        <w:t xml:space="preserve"> </w:t>
      </w:r>
      <w:r w:rsidR="00823B2A" w:rsidRPr="00823B2A">
        <w:rPr>
          <w:rFonts w:eastAsia="Calibri" w:cs="Times New Roman"/>
          <w:szCs w:val="20"/>
          <w:lang w:val="en-GB"/>
        </w:rPr>
        <w:t>initial downlink BWP common configuration</w:t>
      </w:r>
      <w:r w:rsidR="00823B2A">
        <w:rPr>
          <w:rFonts w:eastAsia="Calibri" w:cs="Times New Roman"/>
          <w:szCs w:val="20"/>
          <w:lang w:val="en-GB"/>
        </w:rPr>
        <w:t xml:space="preserve"> (</w:t>
      </w:r>
      <w:r w:rsidR="00823B2A" w:rsidRPr="00823B2A">
        <w:rPr>
          <w:rFonts w:eastAsia="Calibri" w:cs="Times New Roman"/>
          <w:i/>
          <w:szCs w:val="20"/>
          <w:lang w:val="en-GB"/>
        </w:rPr>
        <w:t>downlinkConfigCommon</w:t>
      </w:r>
      <w:r w:rsidR="00823B2A">
        <w:rPr>
          <w:rFonts w:eastAsia="Calibri" w:cs="Times New Roman"/>
          <w:szCs w:val="20"/>
          <w:lang w:val="en-GB"/>
        </w:rPr>
        <w:t xml:space="preserve">) which is </w:t>
      </w:r>
      <w:r>
        <w:rPr>
          <w:rFonts w:eastAsia="Calibri" w:cs="Times New Roman"/>
          <w:szCs w:val="20"/>
          <w:lang w:val="en-GB"/>
        </w:rPr>
        <w:t>used when the SCell is being activated.</w:t>
      </w:r>
      <w:r w:rsidR="00CA1869">
        <w:rPr>
          <w:rFonts w:eastAsia="Calibri" w:cs="Times New Roman"/>
          <w:szCs w:val="20"/>
          <w:lang w:val="en-GB"/>
        </w:rPr>
        <w:t xml:space="preserve"> If this is the initial SCell in the band the SCell would need to broadcast SSB, which would have been detected and reported by the UE – unless we’re discussing blind SCell activation.</w:t>
      </w:r>
    </w:p>
    <w:p w14:paraId="1A5F2E4D" w14:textId="5A121D40" w:rsidR="001F0F4F" w:rsidRDefault="001F0F4F" w:rsidP="00945A35">
      <w:pPr>
        <w:ind w:right="-22"/>
        <w:rPr>
          <w:szCs w:val="20"/>
        </w:rPr>
      </w:pPr>
      <w:r>
        <w:rPr>
          <w:rFonts w:eastAsia="Calibri" w:cs="Times New Roman"/>
          <w:szCs w:val="20"/>
          <w:lang w:val="en-GB"/>
        </w:rPr>
        <w:t>38.214 states that ‘</w:t>
      </w:r>
      <w:r w:rsidRPr="00772B26">
        <w:rPr>
          <w:rFonts w:eastAsia="Calibri" w:cs="Times New Roman"/>
          <w:i/>
          <w:szCs w:val="20"/>
          <w:lang w:val="en-GB"/>
        </w:rPr>
        <w:t>a</w:t>
      </w:r>
      <w:r w:rsidRPr="00772B26">
        <w:rPr>
          <w:i/>
          <w:szCs w:val="20"/>
        </w:rPr>
        <w:t>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'QCL-TypeA', and when applicable, also with respect to'QCL-TypeD</w:t>
      </w:r>
      <w:r>
        <w:rPr>
          <w:szCs w:val="20"/>
        </w:rPr>
        <w:t>’.</w:t>
      </w:r>
    </w:p>
    <w:p w14:paraId="736E21BD" w14:textId="7184D7E0" w:rsidR="001F0F4F" w:rsidRDefault="001F0F4F" w:rsidP="00945A35">
      <w:pPr>
        <w:ind w:right="-22"/>
        <w:rPr>
          <w:rFonts w:eastAsia="Calibri" w:cs="Times New Roman"/>
          <w:szCs w:val="20"/>
          <w:lang w:val="en-GB"/>
        </w:rPr>
      </w:pPr>
      <w:r>
        <w:rPr>
          <w:rFonts w:eastAsia="Calibri" w:cs="Times New Roman"/>
          <w:szCs w:val="20"/>
          <w:lang w:val="en-GB"/>
        </w:rPr>
        <w:t>I.e. UE uses the SSB until MAC activation command and DCI indication is received.</w:t>
      </w:r>
    </w:p>
    <w:p w14:paraId="5FDA3EBC" w14:textId="4A284FA2" w:rsidR="00CA1869" w:rsidRDefault="00CA1869" w:rsidP="00945A35">
      <w:pPr>
        <w:ind w:right="-22"/>
        <w:rPr>
          <w:rFonts w:eastAsia="Calibri" w:cs="Times New Roman"/>
          <w:szCs w:val="20"/>
          <w:lang w:val="en-GB"/>
        </w:rPr>
      </w:pPr>
      <w:r>
        <w:rPr>
          <w:rFonts w:eastAsia="Calibri" w:cs="Times New Roman"/>
          <w:szCs w:val="20"/>
          <w:lang w:val="en-GB"/>
        </w:rPr>
        <w:t>Based on the SSB and BWP the UE would possibly also be configured with CSI-RS linked to the BWP. In the end the three open issues in the WF:</w:t>
      </w:r>
    </w:p>
    <w:p w14:paraId="57BEE7E0" w14:textId="77777777" w:rsidR="00E718E4" w:rsidRPr="00CA1869" w:rsidRDefault="00823B2A" w:rsidP="00CA1869">
      <w:pPr>
        <w:numPr>
          <w:ilvl w:val="0"/>
          <w:numId w:val="22"/>
        </w:numPr>
        <w:ind w:right="-22"/>
        <w:rPr>
          <w:rFonts w:eastAsia="Calibri" w:cs="Times New Roman"/>
          <w:szCs w:val="20"/>
          <w:lang w:val="en-GB"/>
        </w:rPr>
      </w:pPr>
      <w:r w:rsidRPr="00CA1869">
        <w:rPr>
          <w:rFonts w:eastAsia="Calibri" w:cs="Times New Roman"/>
          <w:szCs w:val="20"/>
        </w:rPr>
        <w:t>Procedure for down selecting to one active TCI state and spatial relation</w:t>
      </w:r>
    </w:p>
    <w:p w14:paraId="51D26786" w14:textId="77777777" w:rsidR="00E718E4" w:rsidRPr="00CA1869" w:rsidRDefault="00823B2A" w:rsidP="00CA1869">
      <w:pPr>
        <w:numPr>
          <w:ilvl w:val="0"/>
          <w:numId w:val="22"/>
        </w:numPr>
        <w:ind w:right="-22"/>
        <w:rPr>
          <w:rFonts w:eastAsia="Calibri" w:cs="Times New Roman"/>
          <w:szCs w:val="20"/>
          <w:lang w:val="en-GB"/>
        </w:rPr>
      </w:pPr>
      <w:r w:rsidRPr="00CA1869">
        <w:rPr>
          <w:rFonts w:eastAsia="Calibri" w:cs="Times New Roman"/>
          <w:szCs w:val="20"/>
        </w:rPr>
        <w:t>Order of procedure between Scell activation and TCI (spatial relation) selection</w:t>
      </w:r>
    </w:p>
    <w:p w14:paraId="0FDA4FC8" w14:textId="77777777" w:rsidR="00E718E4" w:rsidRPr="00CA1869" w:rsidRDefault="00823B2A" w:rsidP="00CA1869">
      <w:pPr>
        <w:numPr>
          <w:ilvl w:val="0"/>
          <w:numId w:val="22"/>
        </w:numPr>
        <w:ind w:right="-22"/>
        <w:rPr>
          <w:rFonts w:eastAsia="Calibri" w:cs="Times New Roman"/>
          <w:szCs w:val="20"/>
          <w:lang w:val="en-GB"/>
        </w:rPr>
      </w:pPr>
      <w:r w:rsidRPr="00CA1869">
        <w:rPr>
          <w:rFonts w:eastAsia="Calibri" w:cs="Times New Roman"/>
          <w:szCs w:val="20"/>
        </w:rPr>
        <w:t>Total delay required for all these procedures</w:t>
      </w:r>
    </w:p>
    <w:p w14:paraId="47BB5D67" w14:textId="606C0AEA" w:rsidR="00CA1869" w:rsidRDefault="00CA1869" w:rsidP="00945A35">
      <w:pPr>
        <w:ind w:right="-22"/>
        <w:rPr>
          <w:rFonts w:eastAsia="Calibri" w:cs="Times New Roman"/>
          <w:szCs w:val="20"/>
          <w:lang w:val="en-GB"/>
        </w:rPr>
      </w:pPr>
      <w:r>
        <w:rPr>
          <w:rFonts w:eastAsia="Calibri" w:cs="Times New Roman"/>
          <w:szCs w:val="20"/>
          <w:lang w:val="en-GB"/>
        </w:rPr>
        <w:lastRenderedPageBreak/>
        <w:t>A</w:t>
      </w:r>
      <w:r w:rsidR="001F0F4F">
        <w:rPr>
          <w:rFonts w:eastAsia="Calibri" w:cs="Times New Roman"/>
          <w:szCs w:val="20"/>
          <w:lang w:val="en-GB"/>
        </w:rPr>
        <w:t>ll these procedures a</w:t>
      </w:r>
      <w:r>
        <w:rPr>
          <w:rFonts w:eastAsia="Calibri" w:cs="Times New Roman"/>
          <w:szCs w:val="20"/>
          <w:lang w:val="en-GB"/>
        </w:rPr>
        <w:t>re closely related to beam management procedures. E.g. one could assume that the initial BWP on the SCell would be using the SSB as reference</w:t>
      </w:r>
      <w:r w:rsidR="001F0F4F">
        <w:rPr>
          <w:rFonts w:eastAsia="Calibri" w:cs="Times New Roman"/>
          <w:szCs w:val="20"/>
          <w:lang w:val="en-GB"/>
        </w:rPr>
        <w:t xml:space="preserve"> (Ref 38.214)</w:t>
      </w:r>
      <w:r>
        <w:rPr>
          <w:rFonts w:eastAsia="Calibri" w:cs="Times New Roman"/>
          <w:szCs w:val="20"/>
          <w:lang w:val="en-GB"/>
        </w:rPr>
        <w:t xml:space="preserve">. If any further detailed beam refinement is needed, this would be done based on network configuration </w:t>
      </w:r>
      <w:r w:rsidR="00823B2A">
        <w:rPr>
          <w:rFonts w:eastAsia="Calibri" w:cs="Times New Roman"/>
          <w:szCs w:val="20"/>
          <w:lang w:val="en-GB"/>
        </w:rPr>
        <w:t xml:space="preserve">of the SCell </w:t>
      </w:r>
      <w:r>
        <w:rPr>
          <w:rFonts w:eastAsia="Calibri" w:cs="Times New Roman"/>
          <w:szCs w:val="20"/>
          <w:lang w:val="en-GB"/>
        </w:rPr>
        <w:t>and L1-RSRP reporting from the UE</w:t>
      </w:r>
      <w:r w:rsidR="00823B2A">
        <w:rPr>
          <w:rFonts w:eastAsia="Calibri" w:cs="Times New Roman"/>
          <w:szCs w:val="20"/>
          <w:lang w:val="en-GB"/>
        </w:rPr>
        <w:t xml:space="preserve"> (covered by beam management procedures)</w:t>
      </w:r>
      <w:r>
        <w:rPr>
          <w:rFonts w:eastAsia="Calibri" w:cs="Times New Roman"/>
          <w:szCs w:val="20"/>
          <w:lang w:val="en-GB"/>
        </w:rPr>
        <w:t xml:space="preserve">. The delays related to these procedures would be defined </w:t>
      </w:r>
      <w:r w:rsidR="00823B2A">
        <w:rPr>
          <w:rFonts w:eastAsia="Calibri" w:cs="Times New Roman"/>
          <w:szCs w:val="20"/>
          <w:lang w:val="en-GB"/>
        </w:rPr>
        <w:t>u</w:t>
      </w:r>
      <w:r>
        <w:rPr>
          <w:rFonts w:eastAsia="Calibri" w:cs="Times New Roman"/>
          <w:szCs w:val="20"/>
          <w:lang w:val="en-GB"/>
        </w:rPr>
        <w:t xml:space="preserve">nder those </w:t>
      </w:r>
      <w:r w:rsidR="00823B2A">
        <w:rPr>
          <w:rFonts w:eastAsia="Calibri" w:cs="Times New Roman"/>
          <w:szCs w:val="20"/>
          <w:lang w:val="en-GB"/>
        </w:rPr>
        <w:t xml:space="preserve">relevant </w:t>
      </w:r>
      <w:r>
        <w:rPr>
          <w:rFonts w:eastAsia="Calibri" w:cs="Times New Roman"/>
          <w:szCs w:val="20"/>
          <w:lang w:val="en-GB"/>
        </w:rPr>
        <w:t>procedures</w:t>
      </w:r>
      <w:r w:rsidR="001F0F4F">
        <w:rPr>
          <w:rFonts w:eastAsia="Calibri" w:cs="Times New Roman"/>
          <w:szCs w:val="20"/>
          <w:lang w:val="en-GB"/>
        </w:rPr>
        <w:t xml:space="preserve"> which applies for serving cells including activated SCells</w:t>
      </w:r>
      <w:r>
        <w:rPr>
          <w:rFonts w:eastAsia="Calibri" w:cs="Times New Roman"/>
          <w:szCs w:val="20"/>
          <w:lang w:val="en-GB"/>
        </w:rPr>
        <w:t>.</w:t>
      </w:r>
    </w:p>
    <w:p w14:paraId="520C46A0" w14:textId="1BD6250E" w:rsidR="00CA1869" w:rsidRDefault="00CA1869" w:rsidP="00945A35">
      <w:pPr>
        <w:ind w:right="-22"/>
        <w:rPr>
          <w:rFonts w:eastAsia="Calibri" w:cs="Times New Roman"/>
          <w:szCs w:val="20"/>
          <w:lang w:val="en-GB"/>
        </w:rPr>
      </w:pPr>
      <w:r>
        <w:rPr>
          <w:rFonts w:eastAsia="Calibri" w:cs="Times New Roman"/>
          <w:szCs w:val="20"/>
          <w:lang w:val="en-GB"/>
        </w:rPr>
        <w:t>For the SCell activation the initial delay which is defined in RAN4 should be related to the default BWP configured for the SCell in SCell configuration. And this delay should be defined under SCell activation delay section.</w:t>
      </w:r>
    </w:p>
    <w:p w14:paraId="546ABD8E" w14:textId="1DF6D3DE" w:rsidR="00B50310" w:rsidRDefault="00B50310" w:rsidP="00CA1869">
      <w:pPr>
        <w:pStyle w:val="RAN4proposal"/>
      </w:pPr>
      <w:r>
        <w:t>RAN4 defines generic requirement for SCell activation delay.</w:t>
      </w:r>
    </w:p>
    <w:p w14:paraId="6EEE7ABC" w14:textId="5FA13CC3" w:rsidR="00CA1869" w:rsidRDefault="00B50310" w:rsidP="00CA1869">
      <w:pPr>
        <w:pStyle w:val="RAN4proposal"/>
      </w:pPr>
      <w:r>
        <w:t xml:space="preserve">SCell activation delay for an initial SCell in a band (without other serving cells) is defined based on the </w:t>
      </w:r>
      <w:r w:rsidR="00823B2A">
        <w:t>initial</w:t>
      </w:r>
      <w:r>
        <w:t xml:space="preserve"> BWP </w:t>
      </w:r>
      <w:r w:rsidR="00823B2A">
        <w:t xml:space="preserve">(downlinkCommonConfig) </w:t>
      </w:r>
      <w:r>
        <w:t>of the SCell</w:t>
      </w:r>
      <w:r w:rsidR="00CA1869" w:rsidRPr="0008612A">
        <w:t>.</w:t>
      </w:r>
    </w:p>
    <w:p w14:paraId="6229BBC3" w14:textId="77777777" w:rsidR="002C2D19" w:rsidRDefault="002C2D19" w:rsidP="003B659E">
      <w:pPr>
        <w:ind w:right="-22"/>
        <w:rPr>
          <w:rFonts w:cs="Times New Roman"/>
        </w:rPr>
      </w:pPr>
    </w:p>
    <w:p w14:paraId="761516E1" w14:textId="3D552109" w:rsidR="00CD7492" w:rsidRDefault="00CD7492" w:rsidP="00A37002">
      <w:pPr>
        <w:pStyle w:val="RAN4H1"/>
      </w:pPr>
      <w:r w:rsidRPr="00A37002">
        <w:t>Conclusion</w:t>
      </w:r>
    </w:p>
    <w:p w14:paraId="05E13C40" w14:textId="56A7095E" w:rsidR="00E6775A" w:rsidRDefault="00E6775A" w:rsidP="00E6775A">
      <w:pPr>
        <w:rPr>
          <w:rFonts w:eastAsia="Calibri" w:cs="Times New Roman"/>
          <w:szCs w:val="20"/>
          <w:lang w:val="en-GB"/>
        </w:rPr>
      </w:pPr>
      <w:r>
        <w:rPr>
          <w:rFonts w:eastAsia="Calibri" w:cs="Times New Roman"/>
          <w:szCs w:val="20"/>
          <w:lang w:val="en-GB"/>
        </w:rPr>
        <w:t>In this paper we discussed TCI state and switching delay as well as TCI state details for SCells upon activation. Based on the discussion:</w:t>
      </w:r>
    </w:p>
    <w:p w14:paraId="283AF078" w14:textId="77777777" w:rsidR="004B01B9" w:rsidRDefault="004B01B9" w:rsidP="004B01B9">
      <w:pPr>
        <w:pStyle w:val="RAN4proposal"/>
        <w:numPr>
          <w:ilvl w:val="0"/>
          <w:numId w:val="26"/>
        </w:numPr>
      </w:pPr>
      <w:bookmarkStart w:id="7" w:name="_Hlk4957957"/>
      <w:r>
        <w:t>Additional latency applying new codepoint is allowed if new MAC activation command includes ‘unknown’ PDCCH TCI state</w:t>
      </w:r>
      <w:r w:rsidRPr="0008612A">
        <w:t>.</w:t>
      </w:r>
    </w:p>
    <w:p w14:paraId="6DF4E1A0" w14:textId="77777777" w:rsidR="004B01B9" w:rsidRDefault="004B01B9" w:rsidP="004B01B9">
      <w:pPr>
        <w:pStyle w:val="RAN4proposal"/>
      </w:pPr>
      <w:r>
        <w:rPr>
          <w:lang w:val="en-GB"/>
        </w:rPr>
        <w:t>The PDCCH TCI state is ‘blind’ if the UE has not sent an L1-RSRP report for the RS related to the PDCCH TCI state within a given time period</w:t>
      </w:r>
      <w:r w:rsidRPr="0008612A">
        <w:t>.</w:t>
      </w:r>
    </w:p>
    <w:p w14:paraId="252A0518" w14:textId="77777777" w:rsidR="003B3D9E" w:rsidRDefault="003B3D9E" w:rsidP="003B3D9E">
      <w:pPr>
        <w:pStyle w:val="RAN4proposal"/>
      </w:pPr>
      <w:r>
        <w:rPr>
          <w:rFonts w:eastAsia="Calibri" w:cs="Times New Roman"/>
          <w:szCs w:val="20"/>
          <w:lang w:val="en-GB"/>
        </w:rPr>
        <w:t>Define the ‘blind’ TCI state change latency based on the reference signal of the TCI State</w:t>
      </w:r>
      <w:r w:rsidRPr="0008612A">
        <w:t>.</w:t>
      </w:r>
    </w:p>
    <w:bookmarkEnd w:id="7"/>
    <w:p w14:paraId="527A93ED" w14:textId="77777777" w:rsidR="003B3D9E" w:rsidRDefault="003B3D9E" w:rsidP="003B3D9E">
      <w:pPr>
        <w:pStyle w:val="RAN4proposal"/>
      </w:pPr>
      <w:r>
        <w:t>For ‘blind’ TCI state switch, using SSB based RS, one additional SSB occasion latency is allowed.</w:t>
      </w:r>
    </w:p>
    <w:p w14:paraId="734C5BC5" w14:textId="77777777" w:rsidR="003B3D9E" w:rsidRDefault="003B3D9E" w:rsidP="003B3D9E">
      <w:pPr>
        <w:pStyle w:val="RAN4proposal"/>
      </w:pPr>
      <w:r>
        <w:t>For ‘blind’ TCI state switch, using CSI-RS based RS, one additional CSI-RS measurement latency is allowed</w:t>
      </w:r>
      <w:r w:rsidRPr="0008612A">
        <w:t>.</w:t>
      </w:r>
    </w:p>
    <w:p w14:paraId="100DAE53" w14:textId="77777777" w:rsidR="003B3D9E" w:rsidRDefault="003B3D9E" w:rsidP="003B3D9E">
      <w:pPr>
        <w:pStyle w:val="RAN4proposal"/>
      </w:pPr>
      <w:r>
        <w:t>For DCI triggered PDSCH TCI state switch, no additional latency is needed besides what is defined by RAN1</w:t>
      </w:r>
      <w:r w:rsidRPr="0008612A">
        <w:t>.</w:t>
      </w:r>
    </w:p>
    <w:p w14:paraId="37164B5B" w14:textId="77777777" w:rsidR="003B3D9E" w:rsidRDefault="003B3D9E" w:rsidP="003B3D9E">
      <w:pPr>
        <w:pStyle w:val="RAN4proposal"/>
      </w:pPr>
      <w:r>
        <w:t>Use defined RAN1 delay as baseline for defining RAN4 DCI based PDSCH TCI state change delay requirements</w:t>
      </w:r>
      <w:r w:rsidRPr="0008612A">
        <w:t>.</w:t>
      </w:r>
    </w:p>
    <w:p w14:paraId="0C7AFF37" w14:textId="77777777" w:rsidR="003B3D9E" w:rsidRDefault="003B3D9E" w:rsidP="003B3D9E">
      <w:pPr>
        <w:pStyle w:val="RAN4proposal"/>
      </w:pPr>
      <w:r>
        <w:t>RAN4 does not define interrupts on other cells due to receiving MAC TCI state activation command or DCI based TCI state switching</w:t>
      </w:r>
      <w:r w:rsidRPr="0008612A">
        <w:t>.</w:t>
      </w:r>
    </w:p>
    <w:p w14:paraId="681EAC24" w14:textId="77777777" w:rsidR="003B3D9E" w:rsidRDefault="003B3D9E" w:rsidP="003B3D9E">
      <w:pPr>
        <w:pStyle w:val="RAN4proposal"/>
      </w:pPr>
      <w:r>
        <w:t>RAN4 defines generic requirement for SCell activation delay.</w:t>
      </w:r>
    </w:p>
    <w:p w14:paraId="6279B3FC" w14:textId="77777777" w:rsidR="003B3D9E" w:rsidRDefault="003B3D9E" w:rsidP="003B3D9E">
      <w:pPr>
        <w:pStyle w:val="RAN4proposal"/>
      </w:pPr>
      <w:r>
        <w:t>SCell activation delay for an initial SCell in a band (without other serving cells) is defined based on the initial BWP (downlinkCommonConfig) of the SCell</w:t>
      </w:r>
      <w:r w:rsidRPr="0008612A">
        <w:t>.</w:t>
      </w:r>
    </w:p>
    <w:p w14:paraId="03A106D0" w14:textId="39D563E8" w:rsidR="00E6775A" w:rsidRPr="00E6775A" w:rsidRDefault="00E6775A" w:rsidP="00E6775A">
      <w:r>
        <w:t>Once the baseline principles are agreed in RAN4, RAN4 can start to work on possible requirements.</w:t>
      </w:r>
    </w:p>
    <w:p w14:paraId="3DAFBD41" w14:textId="77777777" w:rsidR="003B659E" w:rsidRPr="0095295C" w:rsidRDefault="003B659E" w:rsidP="0008612A">
      <w:pPr>
        <w:pStyle w:val="RAN4H1"/>
      </w:pPr>
      <w:r w:rsidRPr="0095295C">
        <w:t>References</w:t>
      </w:r>
    </w:p>
    <w:p w14:paraId="3AA6176D" w14:textId="77777777" w:rsidR="003B3D9E" w:rsidRDefault="00E6775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 w:name="_Ref431017336"/>
      <w:r w:rsidRPr="00E6775A">
        <w:rPr>
          <w:rFonts w:eastAsia="Calibri" w:cs="Times New Roman"/>
          <w:szCs w:val="20"/>
        </w:rPr>
        <w:t>R4-1816678</w:t>
      </w:r>
      <w:r w:rsidR="003B659E" w:rsidRPr="00E6775A">
        <w:rPr>
          <w:rFonts w:eastAsia="Times New Roman" w:cs="Times New Roman"/>
          <w:szCs w:val="20"/>
          <w:lang w:val="en-GB"/>
        </w:rPr>
        <w:t xml:space="preserve">, </w:t>
      </w:r>
      <w:r w:rsidRPr="00E6775A">
        <w:rPr>
          <w:rFonts w:eastAsia="Times New Roman" w:cs="Times New Roman"/>
          <w:bCs/>
          <w:szCs w:val="20"/>
        </w:rPr>
        <w:t>WF on delay for TCI state switch and SCell activation with multiple TCI states</w:t>
      </w:r>
      <w:r w:rsidR="003B659E" w:rsidRPr="00E6775A">
        <w:rPr>
          <w:rFonts w:eastAsia="Times New Roman" w:cs="Times New Roman"/>
          <w:szCs w:val="20"/>
          <w:lang w:val="en-GB"/>
        </w:rPr>
        <w:t xml:space="preserve">, </w:t>
      </w:r>
      <w:r w:rsidRPr="00E6775A">
        <w:rPr>
          <w:rFonts w:eastAsia="Times New Roman" w:cs="Times New Roman"/>
          <w:szCs w:val="20"/>
          <w:lang w:val="en-GB"/>
        </w:rPr>
        <w:t>Qualcomm</w:t>
      </w:r>
    </w:p>
    <w:p w14:paraId="19FC2F12" w14:textId="15935BDD" w:rsidR="003B659E" w:rsidRPr="00E6775A" w:rsidRDefault="003B3D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B3D9E">
        <w:rPr>
          <w:rFonts w:eastAsia="Times New Roman" w:cs="Times New Roman"/>
          <w:szCs w:val="20"/>
          <w:lang w:val="en-GB"/>
        </w:rPr>
        <w:t>R4-1901779</w:t>
      </w:r>
      <w:r>
        <w:rPr>
          <w:rFonts w:eastAsia="Times New Roman" w:cs="Times New Roman"/>
          <w:szCs w:val="20"/>
          <w:lang w:val="en-GB"/>
        </w:rPr>
        <w:t xml:space="preserve">, </w:t>
      </w:r>
      <w:r w:rsidRPr="003B3D9E">
        <w:rPr>
          <w:rFonts w:eastAsia="Times New Roman" w:cs="Times New Roman"/>
          <w:szCs w:val="20"/>
          <w:lang w:val="en-GB"/>
        </w:rPr>
        <w:t>UE TCI state requirements discussion</w:t>
      </w:r>
      <w:r>
        <w:rPr>
          <w:rFonts w:eastAsia="Times New Roman" w:cs="Times New Roman"/>
          <w:szCs w:val="20"/>
          <w:lang w:val="en-GB"/>
        </w:rPr>
        <w:t>, Nokia, Nokia Shanghai Bell</w:t>
      </w:r>
      <w:r w:rsidR="003B659E" w:rsidRPr="00E6775A" w:rsidDel="00C651B9">
        <w:rPr>
          <w:rFonts w:eastAsia="Times New Roman" w:cs="Times New Roman"/>
          <w:szCs w:val="20"/>
          <w:lang w:val="en-GB"/>
        </w:rPr>
        <w:t xml:space="preserve"> </w:t>
      </w:r>
      <w:bookmarkEnd w:id="8"/>
    </w:p>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4B01B9" w:rsidRDefault="004B01B9" w:rsidP="00001C9B">
      <w:pPr>
        <w:spacing w:after="0" w:line="240" w:lineRule="auto"/>
      </w:pPr>
      <w:r>
        <w:separator/>
      </w:r>
    </w:p>
  </w:endnote>
  <w:endnote w:type="continuationSeparator" w:id="0">
    <w:p w14:paraId="32E19914" w14:textId="77777777" w:rsidR="004B01B9" w:rsidRDefault="004B01B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4B01B9" w:rsidRDefault="004B01B9" w:rsidP="00001C9B">
      <w:pPr>
        <w:spacing w:after="0" w:line="240" w:lineRule="auto"/>
      </w:pPr>
      <w:r>
        <w:separator/>
      </w:r>
    </w:p>
  </w:footnote>
  <w:footnote w:type="continuationSeparator" w:id="0">
    <w:p w14:paraId="0E95C005" w14:textId="77777777" w:rsidR="004B01B9" w:rsidRDefault="004B01B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E2290D"/>
    <w:multiLevelType w:val="hybridMultilevel"/>
    <w:tmpl w:val="2F727E48"/>
    <w:lvl w:ilvl="0" w:tplc="65445FDE">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287F79"/>
    <w:multiLevelType w:val="hybridMultilevel"/>
    <w:tmpl w:val="E3C24CC6"/>
    <w:lvl w:ilvl="0" w:tplc="9D703ADE">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1D489E9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D6CC049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397B26"/>
    <w:multiLevelType w:val="hybridMultilevel"/>
    <w:tmpl w:val="6AFA97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B8D5147"/>
    <w:multiLevelType w:val="hybridMultilevel"/>
    <w:tmpl w:val="BD7E38C8"/>
    <w:lvl w:ilvl="0" w:tplc="AADAE47A">
      <w:start w:val="1"/>
      <w:numFmt w:val="bullet"/>
      <w:lvlText w:val="•"/>
      <w:lvlJc w:val="left"/>
      <w:pPr>
        <w:tabs>
          <w:tab w:val="num" w:pos="720"/>
        </w:tabs>
        <w:ind w:left="720" w:hanging="360"/>
      </w:pPr>
      <w:rPr>
        <w:rFonts w:ascii="Arial" w:hAnsi="Arial" w:hint="default"/>
      </w:rPr>
    </w:lvl>
    <w:lvl w:ilvl="1" w:tplc="DC5E7DBC">
      <w:start w:val="1"/>
      <w:numFmt w:val="bullet"/>
      <w:lvlText w:val="•"/>
      <w:lvlJc w:val="left"/>
      <w:pPr>
        <w:tabs>
          <w:tab w:val="num" w:pos="1440"/>
        </w:tabs>
        <w:ind w:left="1440" w:hanging="360"/>
      </w:pPr>
      <w:rPr>
        <w:rFonts w:ascii="Arial" w:hAnsi="Arial" w:hint="default"/>
      </w:rPr>
    </w:lvl>
    <w:lvl w:ilvl="2" w:tplc="FD508E4E">
      <w:start w:val="1"/>
      <w:numFmt w:val="bullet"/>
      <w:lvlText w:val="•"/>
      <w:lvlJc w:val="left"/>
      <w:pPr>
        <w:tabs>
          <w:tab w:val="num" w:pos="2160"/>
        </w:tabs>
        <w:ind w:left="2160" w:hanging="360"/>
      </w:pPr>
      <w:rPr>
        <w:rFonts w:ascii="Arial" w:hAnsi="Arial" w:hint="default"/>
      </w:rPr>
    </w:lvl>
    <w:lvl w:ilvl="3" w:tplc="D5825AAE" w:tentative="1">
      <w:start w:val="1"/>
      <w:numFmt w:val="bullet"/>
      <w:lvlText w:val="•"/>
      <w:lvlJc w:val="left"/>
      <w:pPr>
        <w:tabs>
          <w:tab w:val="num" w:pos="2880"/>
        </w:tabs>
        <w:ind w:left="2880" w:hanging="360"/>
      </w:pPr>
      <w:rPr>
        <w:rFonts w:ascii="Arial" w:hAnsi="Arial" w:hint="default"/>
      </w:rPr>
    </w:lvl>
    <w:lvl w:ilvl="4" w:tplc="41527A82" w:tentative="1">
      <w:start w:val="1"/>
      <w:numFmt w:val="bullet"/>
      <w:lvlText w:val="•"/>
      <w:lvlJc w:val="left"/>
      <w:pPr>
        <w:tabs>
          <w:tab w:val="num" w:pos="3600"/>
        </w:tabs>
        <w:ind w:left="3600" w:hanging="360"/>
      </w:pPr>
      <w:rPr>
        <w:rFonts w:ascii="Arial" w:hAnsi="Arial" w:hint="default"/>
      </w:rPr>
    </w:lvl>
    <w:lvl w:ilvl="5" w:tplc="3258A940" w:tentative="1">
      <w:start w:val="1"/>
      <w:numFmt w:val="bullet"/>
      <w:lvlText w:val="•"/>
      <w:lvlJc w:val="left"/>
      <w:pPr>
        <w:tabs>
          <w:tab w:val="num" w:pos="4320"/>
        </w:tabs>
        <w:ind w:left="4320" w:hanging="360"/>
      </w:pPr>
      <w:rPr>
        <w:rFonts w:ascii="Arial" w:hAnsi="Arial" w:hint="default"/>
      </w:rPr>
    </w:lvl>
    <w:lvl w:ilvl="6" w:tplc="A5ECE51E" w:tentative="1">
      <w:start w:val="1"/>
      <w:numFmt w:val="bullet"/>
      <w:lvlText w:val="•"/>
      <w:lvlJc w:val="left"/>
      <w:pPr>
        <w:tabs>
          <w:tab w:val="num" w:pos="5040"/>
        </w:tabs>
        <w:ind w:left="5040" w:hanging="360"/>
      </w:pPr>
      <w:rPr>
        <w:rFonts w:ascii="Arial" w:hAnsi="Arial" w:hint="default"/>
      </w:rPr>
    </w:lvl>
    <w:lvl w:ilvl="7" w:tplc="366ADDEE" w:tentative="1">
      <w:start w:val="1"/>
      <w:numFmt w:val="bullet"/>
      <w:lvlText w:val="•"/>
      <w:lvlJc w:val="left"/>
      <w:pPr>
        <w:tabs>
          <w:tab w:val="num" w:pos="5760"/>
        </w:tabs>
        <w:ind w:left="5760" w:hanging="360"/>
      </w:pPr>
      <w:rPr>
        <w:rFonts w:ascii="Arial" w:hAnsi="Arial" w:hint="default"/>
      </w:rPr>
    </w:lvl>
    <w:lvl w:ilvl="8" w:tplc="7AC8E8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2"/>
  </w:num>
  <w:num w:numId="5">
    <w:abstractNumId w:val="12"/>
  </w:num>
  <w:num w:numId="6">
    <w:abstractNumId w:val="7"/>
  </w:num>
  <w:num w:numId="7">
    <w:abstractNumId w:val="8"/>
  </w:num>
  <w:num w:numId="8">
    <w:abstractNumId w:val="8"/>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4"/>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
  </w:num>
  <w:num w:numId="22">
    <w:abstractNumId w:val="13"/>
  </w:num>
  <w:num w:numId="23">
    <w:abstractNumId w:val="8"/>
    <w:lvlOverride w:ilvl="0">
      <w:startOverride w:val="1"/>
    </w:lvlOverride>
  </w:num>
  <w:num w:numId="24">
    <w:abstractNumId w:val="10"/>
  </w:num>
  <w:num w:numId="25">
    <w:abstractNumId w:val="5"/>
  </w:num>
  <w:num w:numId="26">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trackRevisions/>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61B76"/>
    <w:rsid w:val="0006594D"/>
    <w:rsid w:val="000719B7"/>
    <w:rsid w:val="0008612A"/>
    <w:rsid w:val="000B0056"/>
    <w:rsid w:val="000B0FD6"/>
    <w:rsid w:val="000E5325"/>
    <w:rsid w:val="00125A85"/>
    <w:rsid w:val="0012760D"/>
    <w:rsid w:val="00141C74"/>
    <w:rsid w:val="0016364C"/>
    <w:rsid w:val="001745F8"/>
    <w:rsid w:val="00176671"/>
    <w:rsid w:val="001838CF"/>
    <w:rsid w:val="00184971"/>
    <w:rsid w:val="001C2F6D"/>
    <w:rsid w:val="001C7798"/>
    <w:rsid w:val="001E30F6"/>
    <w:rsid w:val="001F0F4F"/>
    <w:rsid w:val="00223523"/>
    <w:rsid w:val="00235F5C"/>
    <w:rsid w:val="002435ED"/>
    <w:rsid w:val="00257C48"/>
    <w:rsid w:val="002B4922"/>
    <w:rsid w:val="002C2D19"/>
    <w:rsid w:val="002D10FA"/>
    <w:rsid w:val="002D4C55"/>
    <w:rsid w:val="003B3D9E"/>
    <w:rsid w:val="003B659E"/>
    <w:rsid w:val="00410136"/>
    <w:rsid w:val="00417AA0"/>
    <w:rsid w:val="0043750A"/>
    <w:rsid w:val="00496723"/>
    <w:rsid w:val="004B01B9"/>
    <w:rsid w:val="004B7B4A"/>
    <w:rsid w:val="004E5E66"/>
    <w:rsid w:val="00503B4D"/>
    <w:rsid w:val="00504EE9"/>
    <w:rsid w:val="00515F86"/>
    <w:rsid w:val="00527B74"/>
    <w:rsid w:val="0054442C"/>
    <w:rsid w:val="00550285"/>
    <w:rsid w:val="0056172F"/>
    <w:rsid w:val="005836F8"/>
    <w:rsid w:val="005918FA"/>
    <w:rsid w:val="005E45CF"/>
    <w:rsid w:val="005E61A8"/>
    <w:rsid w:val="005F6419"/>
    <w:rsid w:val="00617400"/>
    <w:rsid w:val="00664950"/>
    <w:rsid w:val="006743FD"/>
    <w:rsid w:val="00683220"/>
    <w:rsid w:val="00687FA0"/>
    <w:rsid w:val="006B7010"/>
    <w:rsid w:val="006C6B24"/>
    <w:rsid w:val="0070471A"/>
    <w:rsid w:val="00705F7C"/>
    <w:rsid w:val="007145FF"/>
    <w:rsid w:val="00751515"/>
    <w:rsid w:val="0075615A"/>
    <w:rsid w:val="00772B26"/>
    <w:rsid w:val="00785232"/>
    <w:rsid w:val="007A08EC"/>
    <w:rsid w:val="007C3ED0"/>
    <w:rsid w:val="007F3BB6"/>
    <w:rsid w:val="007F5226"/>
    <w:rsid w:val="00806A76"/>
    <w:rsid w:val="00811C9D"/>
    <w:rsid w:val="00816C80"/>
    <w:rsid w:val="008235A3"/>
    <w:rsid w:val="00823B2A"/>
    <w:rsid w:val="00841BCD"/>
    <w:rsid w:val="0085211E"/>
    <w:rsid w:val="00862814"/>
    <w:rsid w:val="008826C1"/>
    <w:rsid w:val="008A138C"/>
    <w:rsid w:val="008E3A8D"/>
    <w:rsid w:val="009042BD"/>
    <w:rsid w:val="009059C8"/>
    <w:rsid w:val="00911FA6"/>
    <w:rsid w:val="00945A35"/>
    <w:rsid w:val="00950BF8"/>
    <w:rsid w:val="00977E1D"/>
    <w:rsid w:val="009A3A0A"/>
    <w:rsid w:val="009B1398"/>
    <w:rsid w:val="009D724F"/>
    <w:rsid w:val="00A22B78"/>
    <w:rsid w:val="00A25AE5"/>
    <w:rsid w:val="00A37002"/>
    <w:rsid w:val="00A802B6"/>
    <w:rsid w:val="00A97DB8"/>
    <w:rsid w:val="00AA1B0E"/>
    <w:rsid w:val="00AB364E"/>
    <w:rsid w:val="00AB4AEA"/>
    <w:rsid w:val="00AC1932"/>
    <w:rsid w:val="00AC5CA7"/>
    <w:rsid w:val="00AE56B1"/>
    <w:rsid w:val="00AF0546"/>
    <w:rsid w:val="00B10A05"/>
    <w:rsid w:val="00B25B29"/>
    <w:rsid w:val="00B50310"/>
    <w:rsid w:val="00B73862"/>
    <w:rsid w:val="00B9752E"/>
    <w:rsid w:val="00BA6E48"/>
    <w:rsid w:val="00BA724E"/>
    <w:rsid w:val="00BF2218"/>
    <w:rsid w:val="00BF6727"/>
    <w:rsid w:val="00C41A9B"/>
    <w:rsid w:val="00CA1869"/>
    <w:rsid w:val="00CA6ED2"/>
    <w:rsid w:val="00CD7492"/>
    <w:rsid w:val="00CE3A6B"/>
    <w:rsid w:val="00D00211"/>
    <w:rsid w:val="00D0332F"/>
    <w:rsid w:val="00D06309"/>
    <w:rsid w:val="00D351EA"/>
    <w:rsid w:val="00D43403"/>
    <w:rsid w:val="00D52FDD"/>
    <w:rsid w:val="00D62E71"/>
    <w:rsid w:val="00D70407"/>
    <w:rsid w:val="00D740CA"/>
    <w:rsid w:val="00D85728"/>
    <w:rsid w:val="00DB3718"/>
    <w:rsid w:val="00DD1C04"/>
    <w:rsid w:val="00DF2997"/>
    <w:rsid w:val="00E11512"/>
    <w:rsid w:val="00E235BB"/>
    <w:rsid w:val="00E275A2"/>
    <w:rsid w:val="00E6775A"/>
    <w:rsid w:val="00E718E4"/>
    <w:rsid w:val="00EB1A12"/>
    <w:rsid w:val="00EC7BC3"/>
    <w:rsid w:val="00ED7600"/>
    <w:rsid w:val="00EF00C2"/>
    <w:rsid w:val="00EF2A70"/>
    <w:rsid w:val="00F1362C"/>
    <w:rsid w:val="00F209F1"/>
    <w:rsid w:val="00F824F5"/>
    <w:rsid w:val="00F8793A"/>
    <w:rsid w:val="00F904E8"/>
    <w:rsid w:val="00FB2261"/>
    <w:rsid w:val="00FC29B9"/>
    <w:rsid w:val="00FC6FD3"/>
    <w:rsid w:val="00FD6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PlaceholderText">
    <w:name w:val="Placeholder Text"/>
    <w:basedOn w:val="DefaultParagraphFont"/>
    <w:uiPriority w:val="99"/>
    <w:semiHidden/>
    <w:rsid w:val="009B1398"/>
    <w:rPr>
      <w:color w:val="808080"/>
    </w:rPr>
  </w:style>
  <w:style w:type="paragraph" w:styleId="BalloonText">
    <w:name w:val="Balloon Text"/>
    <w:basedOn w:val="Normal"/>
    <w:link w:val="BalloonTextChar"/>
    <w:uiPriority w:val="99"/>
    <w:semiHidden/>
    <w:unhideWhenUsed/>
    <w:rsid w:val="00D704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407"/>
    <w:rPr>
      <w:rFonts w:ascii="Segoe UI" w:hAnsi="Segoe UI" w:cs="Segoe UI"/>
      <w:sz w:val="18"/>
      <w:szCs w:val="18"/>
    </w:rPr>
  </w:style>
  <w:style w:type="paragraph" w:customStyle="1" w:styleId="Default">
    <w:name w:val="Default"/>
    <w:rsid w:val="00AB364E"/>
    <w:pPr>
      <w:autoSpaceDE w:val="0"/>
      <w:autoSpaceDN w:val="0"/>
      <w:adjustRightInd w:val="0"/>
      <w:spacing w:after="0" w:line="240" w:lineRule="auto"/>
    </w:pPr>
    <w:rPr>
      <w:rFonts w:ascii="Arial" w:hAnsi="Arial" w:cs="Arial"/>
      <w:color w:val="000000"/>
      <w:sz w:val="24"/>
      <w:szCs w:val="24"/>
      <w:lang w:val="en-GB"/>
    </w:rPr>
  </w:style>
  <w:style w:type="character" w:styleId="CommentReference">
    <w:name w:val="annotation reference"/>
    <w:basedOn w:val="DefaultParagraphFont"/>
    <w:uiPriority w:val="99"/>
    <w:semiHidden/>
    <w:unhideWhenUsed/>
    <w:rsid w:val="00F904E8"/>
    <w:rPr>
      <w:sz w:val="16"/>
      <w:szCs w:val="16"/>
    </w:rPr>
  </w:style>
  <w:style w:type="paragraph" w:styleId="CommentText">
    <w:name w:val="annotation text"/>
    <w:basedOn w:val="Normal"/>
    <w:link w:val="CommentTextChar"/>
    <w:uiPriority w:val="99"/>
    <w:semiHidden/>
    <w:unhideWhenUsed/>
    <w:rsid w:val="00F904E8"/>
    <w:pPr>
      <w:spacing w:line="240" w:lineRule="auto"/>
    </w:pPr>
    <w:rPr>
      <w:szCs w:val="20"/>
    </w:rPr>
  </w:style>
  <w:style w:type="character" w:customStyle="1" w:styleId="CommentTextChar">
    <w:name w:val="Comment Text Char"/>
    <w:basedOn w:val="DefaultParagraphFont"/>
    <w:link w:val="CommentText"/>
    <w:uiPriority w:val="99"/>
    <w:semiHidden/>
    <w:rsid w:val="00F904E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904E8"/>
    <w:rPr>
      <w:b/>
      <w:bCs/>
    </w:rPr>
  </w:style>
  <w:style w:type="character" w:customStyle="1" w:styleId="CommentSubjectChar">
    <w:name w:val="Comment Subject Char"/>
    <w:basedOn w:val="CommentTextChar"/>
    <w:link w:val="CommentSubject"/>
    <w:uiPriority w:val="99"/>
    <w:semiHidden/>
    <w:rsid w:val="00F904E8"/>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345550">
      <w:bodyDiv w:val="1"/>
      <w:marLeft w:val="0"/>
      <w:marRight w:val="0"/>
      <w:marTop w:val="0"/>
      <w:marBottom w:val="0"/>
      <w:divBdr>
        <w:top w:val="none" w:sz="0" w:space="0" w:color="auto"/>
        <w:left w:val="none" w:sz="0" w:space="0" w:color="auto"/>
        <w:bottom w:val="none" w:sz="0" w:space="0" w:color="auto"/>
        <w:right w:val="none" w:sz="0" w:space="0" w:color="auto"/>
      </w:divBdr>
      <w:divsChild>
        <w:div w:id="688680578">
          <w:marLeft w:val="1800"/>
          <w:marRight w:val="0"/>
          <w:marTop w:val="100"/>
          <w:marBottom w:val="0"/>
          <w:divBdr>
            <w:top w:val="none" w:sz="0" w:space="0" w:color="auto"/>
            <w:left w:val="none" w:sz="0" w:space="0" w:color="auto"/>
            <w:bottom w:val="none" w:sz="0" w:space="0" w:color="auto"/>
            <w:right w:val="none" w:sz="0" w:space="0" w:color="auto"/>
          </w:divBdr>
        </w:div>
        <w:div w:id="20714481">
          <w:marLeft w:val="1800"/>
          <w:marRight w:val="0"/>
          <w:marTop w:val="100"/>
          <w:marBottom w:val="0"/>
          <w:divBdr>
            <w:top w:val="none" w:sz="0" w:space="0" w:color="auto"/>
            <w:left w:val="none" w:sz="0" w:space="0" w:color="auto"/>
            <w:bottom w:val="none" w:sz="0" w:space="0" w:color="auto"/>
            <w:right w:val="none" w:sz="0" w:space="0" w:color="auto"/>
          </w:divBdr>
        </w:div>
        <w:div w:id="2028096461">
          <w:marLeft w:val="1800"/>
          <w:marRight w:val="0"/>
          <w:marTop w:val="100"/>
          <w:marBottom w:val="0"/>
          <w:divBdr>
            <w:top w:val="none" w:sz="0" w:space="0" w:color="auto"/>
            <w:left w:val="none" w:sz="0" w:space="0" w:color="auto"/>
            <w:bottom w:val="none" w:sz="0" w:space="0" w:color="auto"/>
            <w:right w:val="none" w:sz="0" w:space="0" w:color="auto"/>
          </w:divBdr>
        </w:div>
      </w:divsChild>
    </w:div>
    <w:div w:id="1703242078">
      <w:bodyDiv w:val="1"/>
      <w:marLeft w:val="0"/>
      <w:marRight w:val="0"/>
      <w:marTop w:val="0"/>
      <w:marBottom w:val="0"/>
      <w:divBdr>
        <w:top w:val="none" w:sz="0" w:space="0" w:color="auto"/>
        <w:left w:val="none" w:sz="0" w:space="0" w:color="auto"/>
        <w:bottom w:val="none" w:sz="0" w:space="0" w:color="auto"/>
        <w:right w:val="none" w:sz="0" w:space="0" w:color="auto"/>
      </w:divBdr>
      <w:divsChild>
        <w:div w:id="816382681">
          <w:marLeft w:val="1800"/>
          <w:marRight w:val="0"/>
          <w:marTop w:val="100"/>
          <w:marBottom w:val="0"/>
          <w:divBdr>
            <w:top w:val="none" w:sz="0" w:space="0" w:color="auto"/>
            <w:left w:val="none" w:sz="0" w:space="0" w:color="auto"/>
            <w:bottom w:val="none" w:sz="0" w:space="0" w:color="auto"/>
            <w:right w:val="none" w:sz="0" w:space="0" w:color="auto"/>
          </w:divBdr>
        </w:div>
        <w:div w:id="45296280">
          <w:marLeft w:val="1800"/>
          <w:marRight w:val="0"/>
          <w:marTop w:val="100"/>
          <w:marBottom w:val="0"/>
          <w:divBdr>
            <w:top w:val="none" w:sz="0" w:space="0" w:color="auto"/>
            <w:left w:val="none" w:sz="0" w:space="0" w:color="auto"/>
            <w:bottom w:val="none" w:sz="0" w:space="0" w:color="auto"/>
            <w:right w:val="none" w:sz="0" w:space="0" w:color="auto"/>
          </w:divBdr>
        </w:div>
        <w:div w:id="32828715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5AIRPNAIUNRU-1328258698-316</_dlc_DocId>
    <_dlc_DocIdUrl xmlns="71c5aaf6-e6ce-465b-b873-5148d2a4c105">
      <Url>https://nokia.sharepoint.com/sites/c5g/5gradio/_layouts/15/DocIdRedir.aspx?ID=5AIRPNAIUNRU-1328258698-316</Url>
      <Description>5AIRPNAIUNRU-1328258698-316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CC018-EF71-4DEF-9491-0372901AF687}">
  <ds:schemaRef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0b6aed8e-0313-4d17-80ff-d0e5da4931c5"/>
    <ds:schemaRef ds:uri="http://www.w3.org/XML/1998/namespace"/>
    <ds:schemaRef ds:uri="http://purl.org/dc/dcmitype/"/>
  </ds:schemaRefs>
</ds:datastoreItem>
</file>

<file path=customXml/itemProps2.xml><?xml version="1.0" encoding="utf-8"?>
<ds:datastoreItem xmlns:ds="http://schemas.openxmlformats.org/officeDocument/2006/customXml" ds:itemID="{AAA5F0F9-51FF-429F-B8AF-CD0A5830083A}">
  <ds:schemaRefs>
    <ds:schemaRef ds:uri="http://schemas.microsoft.com/sharepoint/v3/contenttype/forms"/>
  </ds:schemaRefs>
</ds:datastoreItem>
</file>

<file path=customXml/itemProps3.xml><?xml version="1.0" encoding="utf-8"?>
<ds:datastoreItem xmlns:ds="http://schemas.openxmlformats.org/officeDocument/2006/customXml" ds:itemID="{6E26186D-CE10-497E-B876-3A46F9DA4716}">
  <ds:schemaRefs>
    <ds:schemaRef ds:uri="http://schemas.microsoft.com/sharepoint/events"/>
  </ds:schemaRefs>
</ds:datastoreItem>
</file>

<file path=customXml/itemProps4.xml><?xml version="1.0" encoding="utf-8"?>
<ds:datastoreItem xmlns:ds="http://schemas.openxmlformats.org/officeDocument/2006/customXml" ds:itemID="{13EE3911-2F30-4FF7-9340-22A7EC09DF26}">
  <ds:schemaRefs>
    <ds:schemaRef ds:uri="Microsoft.SharePoint.Taxonomy.ContentTypeSync"/>
  </ds:schemaRefs>
</ds:datastoreItem>
</file>

<file path=customXml/itemProps5.xml><?xml version="1.0" encoding="utf-8"?>
<ds:datastoreItem xmlns:ds="http://schemas.openxmlformats.org/officeDocument/2006/customXml" ds:itemID="{590E4158-6C99-4F7E-933E-A88B07968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EF9E55-2A92-4A72-8B7F-3639D1B6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2272</Words>
  <Characters>12953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2019-04-01T22:17:00Z</dcterms:created>
  <dcterms:modified xsi:type="dcterms:W3CDTF">2019-04-01T22:17:00Z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61d9b799-26dd-4235-bd9a-36c4dd535b23</vt:lpwstr>
  </property>
  <property fmtid="{D5CDD505-2E9C-101B-9397-08002B2CF9AE}" pid="4" name="AuthorIds_UIVersion_512">
    <vt:lpwstr>238</vt:lpwstr>
  </property>
</Properties>
</file>