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FD6FEF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sidR="004C43A9">
        <w:rPr>
          <w:rFonts w:cs="Arial"/>
          <w:sz w:val="24"/>
        </w:rPr>
        <w:t>bis</w:t>
      </w:r>
      <w:r>
        <w:rPr>
          <w:rFonts w:cs="Arial"/>
          <w:i/>
          <w:sz w:val="24"/>
        </w:rPr>
        <w:tab/>
      </w:r>
      <w:r>
        <w:rPr>
          <w:rFonts w:cs="Arial"/>
          <w:iCs/>
          <w:sz w:val="24"/>
        </w:rPr>
        <w:t>R4-</w:t>
      </w:r>
      <w:r w:rsidR="00492208">
        <w:rPr>
          <w:rFonts w:cs="Arial"/>
          <w:iCs/>
          <w:sz w:val="24"/>
        </w:rPr>
        <w:t>1903467</w:t>
      </w:r>
    </w:p>
    <w:p w14:paraId="1BC12648" w14:textId="1EEE91EC" w:rsidR="003B61A8" w:rsidRDefault="004C43A9" w:rsidP="003B61A8">
      <w:pPr>
        <w:pStyle w:val="Header"/>
        <w:tabs>
          <w:tab w:val="right" w:pos="10206"/>
        </w:tabs>
        <w:spacing w:after="120"/>
        <w:rPr>
          <w:rFonts w:cs="Arial"/>
          <w:sz w:val="24"/>
        </w:rPr>
      </w:pPr>
      <w:r>
        <w:rPr>
          <w:rFonts w:cs="Arial"/>
          <w:sz w:val="24"/>
        </w:rPr>
        <w:t>Xian</w:t>
      </w:r>
      <w:r w:rsidR="0062745C">
        <w:rPr>
          <w:rFonts w:cs="Arial"/>
          <w:sz w:val="24"/>
        </w:rPr>
        <w:t xml:space="preserve">, </w:t>
      </w:r>
      <w:r>
        <w:rPr>
          <w:rFonts w:cs="Arial"/>
          <w:sz w:val="24"/>
        </w:rPr>
        <w:t>China</w:t>
      </w:r>
      <w:r w:rsidR="003B61A8">
        <w:rPr>
          <w:rFonts w:cs="Arial"/>
          <w:sz w:val="24"/>
        </w:rPr>
        <w:t xml:space="preserve">, </w:t>
      </w:r>
      <w:r w:rsidR="00CD2E52">
        <w:rPr>
          <w:rFonts w:cs="Arial"/>
          <w:sz w:val="24"/>
        </w:rPr>
        <w:t>8</w:t>
      </w:r>
      <w:r w:rsidR="00CD2E52" w:rsidRPr="007170B2">
        <w:rPr>
          <w:rFonts w:cs="Arial"/>
          <w:sz w:val="24"/>
          <w:vertAlign w:val="superscript"/>
        </w:rPr>
        <w:t>th</w:t>
      </w:r>
      <w:r w:rsidR="00E448DE">
        <w:rPr>
          <w:rFonts w:cs="Arial"/>
          <w:sz w:val="24"/>
          <w:vertAlign w:val="superscript"/>
        </w:rPr>
        <w:t xml:space="preserve"> </w:t>
      </w:r>
      <w:r w:rsidR="004B372C">
        <w:rPr>
          <w:rFonts w:cs="Arial"/>
          <w:sz w:val="24"/>
        </w:rPr>
        <w:t xml:space="preserve">– </w:t>
      </w:r>
      <w:r w:rsidR="002B0B48">
        <w:rPr>
          <w:rFonts w:cs="Arial"/>
          <w:sz w:val="24"/>
        </w:rPr>
        <w:t>1</w:t>
      </w:r>
      <w:r w:rsidR="00CD2E52">
        <w:rPr>
          <w:rFonts w:cs="Arial"/>
          <w:sz w:val="24"/>
        </w:rPr>
        <w:t>2</w:t>
      </w:r>
      <w:r w:rsidR="00CD2E52" w:rsidRPr="00E448DE">
        <w:rPr>
          <w:rFonts w:cs="Arial"/>
          <w:sz w:val="24"/>
          <w:vertAlign w:val="superscript"/>
        </w:rPr>
        <w:t>th</w:t>
      </w:r>
      <w:r w:rsidR="00CD2E52">
        <w:rPr>
          <w:rFonts w:cs="Arial"/>
          <w:sz w:val="24"/>
        </w:rPr>
        <w:t xml:space="preserve"> April</w:t>
      </w:r>
      <w:r w:rsidR="003B61A8">
        <w:rPr>
          <w:rFonts w:cs="Arial"/>
          <w:sz w:val="24"/>
        </w:rPr>
        <w:t xml:space="preserve"> 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882CFA0" w14:textId="77777777" w:rsidR="0018641F"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492208">
        <w:rPr>
          <w:rFonts w:ascii="Arial" w:hAnsi="Arial" w:cs="Arial"/>
        </w:rPr>
        <w:t>On the need for an upper bound for the integration step for TRP</w:t>
      </w:r>
      <w:r w:rsidR="00492208" w:rsidDel="00492208">
        <w:rPr>
          <w:rFonts w:ascii="Arial" w:hAnsi="Arial" w:cs="Arial"/>
        </w:rPr>
        <w:t xml:space="preserve"> </w:t>
      </w:r>
    </w:p>
    <w:p w14:paraId="72798C4E" w14:textId="5D3294C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5F68EF">
        <w:rPr>
          <w:rFonts w:ascii="Arial" w:hAnsi="Arial" w:cs="Arial"/>
          <w:bCs/>
          <w:lang w:val="sv-SE"/>
        </w:rPr>
        <w:t>6.8.5.1</w:t>
      </w:r>
    </w:p>
    <w:p w14:paraId="3C088A4A" w14:textId="3AEC796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1BB84F6B" w:rsidR="00843454" w:rsidRDefault="0062745C" w:rsidP="00155B44">
      <w:pPr>
        <w:pStyle w:val="BodyText"/>
      </w:pPr>
      <w:r>
        <w:t>At the last RAN4 meeting (RAN4#</w:t>
      </w:r>
      <w:r w:rsidR="0018641F">
        <w:t xml:space="preserve">90 </w:t>
      </w:r>
      <w:r>
        <w:t xml:space="preserve">in </w:t>
      </w:r>
      <w:r w:rsidR="0018641F">
        <w:t>Athens</w:t>
      </w:r>
      <w:r>
        <w:t xml:space="preserve"> </w:t>
      </w:r>
      <w:r w:rsidR="00047444">
        <w:t xml:space="preserve">an CR </w:t>
      </w:r>
      <w:r w:rsidR="005F0CA3">
        <w:t xml:space="preserve">[2] </w:t>
      </w:r>
      <w:r w:rsidR="00047444">
        <w:t xml:space="preserve">with additional information and corrections to </w:t>
      </w:r>
      <w:r w:rsidR="005F0CA3">
        <w:t xml:space="preserve">TS 38.141-2, Annex I </w:t>
      </w:r>
      <w:r w:rsidR="00047444">
        <w:t>was presented</w:t>
      </w:r>
      <w:r w:rsidR="005F0CA3">
        <w:t>.</w:t>
      </w:r>
      <w:r w:rsidR="00047444">
        <w:t xml:space="preserve"> </w:t>
      </w:r>
      <w:r w:rsidR="00771686">
        <w:t>The CR suggested</w:t>
      </w:r>
      <w:r w:rsidR="00574738">
        <w:t xml:space="preserve"> </w:t>
      </w:r>
      <w:r w:rsidR="00771686">
        <w:t>to add upper bound for the reference step</w:t>
      </w:r>
      <w:r w:rsidR="00574738">
        <w:t>.</w:t>
      </w:r>
    </w:p>
    <w:p w14:paraId="52EC68F0" w14:textId="39BA5424" w:rsidR="00843454" w:rsidRPr="007D610C" w:rsidRDefault="00574738" w:rsidP="0062745C">
      <w:pPr>
        <w:pStyle w:val="BodyText"/>
      </w:pPr>
      <w:r>
        <w:t>In this</w:t>
      </w:r>
      <w:r w:rsidR="00843454">
        <w:t xml:space="preserve"> contributio</w:t>
      </w:r>
      <w:r>
        <w:t>n we continue to elaborate around the need for an upper bound for the integration step</w:t>
      </w:r>
      <w:r w:rsidR="001305BD">
        <w:t xml:space="preserve"> for TRP test methods</w:t>
      </w:r>
      <w:r w:rsidR="00EA4D1E">
        <w:t xml:space="preserve"> currently described in TS 37.145-2, TS 38.141-2</w:t>
      </w:r>
      <w:r w:rsidR="001305BD">
        <w:t>.</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ABC48E1" w14:textId="77777777" w:rsidR="005659E7" w:rsidRDefault="005659E7" w:rsidP="005659E7">
      <w:pPr>
        <w:pStyle w:val="BodyText"/>
      </w:pPr>
      <w:r>
        <w:t xml:space="preserve">This contribution discusses the need for an upper bound on the integration step for TRP assessment. </w:t>
      </w:r>
      <w:r w:rsidRPr="00701AF7">
        <w:t xml:space="preserve">For UEs, a </w:t>
      </w:r>
      <w:proofErr w:type="gramStart"/>
      <w:r w:rsidRPr="00701AF7">
        <w:t>15 degree</w:t>
      </w:r>
      <w:proofErr w:type="gramEnd"/>
      <w:r w:rsidRPr="00701AF7">
        <w:t xml:space="preserve"> step is used in the widely adopted standard [1]. Hence, it is realistic to use 15 degrees as an upper limit for TRP testing of BSs.</w:t>
      </w:r>
      <w:r>
        <w:t xml:space="preserve"> However, the needed angular step depends both on the radiation pattern angular characteristics via the size of the radiation source, but also on the used numerical integration method.</w:t>
      </w:r>
    </w:p>
    <w:p w14:paraId="6444BA2D" w14:textId="075BFBDF" w:rsidR="005659E7" w:rsidRDefault="005659E7" w:rsidP="005659E7">
      <w:pPr>
        <w:pStyle w:val="BodyText"/>
      </w:pPr>
      <w:r>
        <w:t xml:space="preserve">As the dimension of the radiation source decreases (or the frequency decreases) larger angular steps can be used. This is reflected in the expressions for the reference steps. In the upper limit, large wavelength relative to the source dimensions, the radiation pattern will be that of a combination of an arbitrarily rotated magnetic and electric dipole. The complex </w:t>
      </w:r>
      <w:r w:rsidR="009154DC">
        <w:t>far-field</w:t>
      </w:r>
      <w:r>
        <w:t xml:space="preserve"> of a general dipole can be represented by an electric and magnetic complex-valued dipole moment, i.e., six complex numbers. In the scope of TRP the relevant pattern is the EIRP power pattern. </w:t>
      </w:r>
    </w:p>
    <w:p w14:paraId="3BA73367" w14:textId="161342A3" w:rsidR="005659E7" w:rsidRDefault="005659E7" w:rsidP="005659E7">
      <w:pPr>
        <w:pStyle w:val="BodyText"/>
      </w:pPr>
      <w:r>
        <w:t>As an initial example consider the power pattern of a z-directed electric dipole</w:t>
      </w:r>
      <w:r w:rsidR="00144A01">
        <w:t>:</w:t>
      </w:r>
    </w:p>
    <w:p w14:paraId="186BD534" w14:textId="41773AB0" w:rsidR="005659E7" w:rsidRDefault="005659E7" w:rsidP="005659E7">
      <w:pPr>
        <w:pStyle w:val="Caption"/>
        <w:jc w:val="center"/>
      </w:pPr>
      <w:bookmarkStart w:id="1" w:name="_Ref4750956"/>
      <m:oMath>
        <m:r>
          <m:rPr>
            <m:sty m:val="bi"/>
          </m:rPr>
          <w:rPr>
            <w:rFonts w:ascii="Cambria Math" w:hAnsi="Cambria Math"/>
          </w:rPr>
          <m:t>EIRP</m:t>
        </m:r>
        <m:d>
          <m:dPr>
            <m:ctrlPr>
              <w:rPr>
                <w:rFonts w:ascii="Cambria Math" w:hAnsi="Cambria Math"/>
                <w:i/>
              </w:rPr>
            </m:ctrlPr>
          </m:dPr>
          <m:e>
            <m:r>
              <m:rPr>
                <m:sty m:val="bi"/>
              </m:rPr>
              <w:rPr>
                <w:rFonts w:ascii="Cambria Math" w:hAnsi="Cambria Math"/>
              </w:rPr>
              <m:t>θ,ϕ</m:t>
            </m:r>
          </m:e>
        </m:d>
        <m:r>
          <m:rPr>
            <m:sty m:val="bi"/>
          </m:rP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b"/>
                  </m:rPr>
                  <w:rPr>
                    <w:rFonts w:ascii="Cambria Math" w:hAnsi="Cambria Math"/>
                  </w:rPr>
                  <m:t>sin</m:t>
                </m:r>
                <m:ctrlPr>
                  <w:rPr>
                    <w:rFonts w:ascii="Cambria Math" w:hAnsi="Cambria Math"/>
                  </w:rPr>
                </m:ctrlPr>
              </m:e>
              <m:sup>
                <m:r>
                  <m:rPr>
                    <m:sty m:val="bi"/>
                  </m:rPr>
                  <w:rPr>
                    <w:rFonts w:ascii="Cambria Math" w:hAnsi="Cambria Math"/>
                  </w:rPr>
                  <m:t>2</m:t>
                </m:r>
                <m:ctrlPr>
                  <w:rPr>
                    <w:rFonts w:ascii="Cambria Math" w:hAnsi="Cambria Math"/>
                  </w:rPr>
                </m:ctrlPr>
              </m:sup>
            </m:sSup>
          </m:fName>
          <m:e>
            <m:r>
              <m:rPr>
                <m:sty m:val="bi"/>
              </m:rPr>
              <w:rPr>
                <w:rFonts w:ascii="Cambria Math" w:hAnsi="Cambria Math"/>
              </w:rPr>
              <m:t>(θ)</m:t>
            </m:r>
          </m:e>
        </m:func>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d>
          <m:dPr>
            <m:ctrlPr>
              <w:rPr>
                <w:rFonts w:ascii="Cambria Math" w:hAnsi="Cambria Math"/>
                <w:i/>
              </w:rPr>
            </m:ctrlPr>
          </m:dPr>
          <m:e>
            <m:r>
              <m:rPr>
                <m:sty m:val="bi"/>
              </m:rPr>
              <w:rPr>
                <w:rFonts w:ascii="Cambria Math" w:hAnsi="Cambria Math"/>
              </w:rPr>
              <m:t>1-</m:t>
            </m:r>
            <m:func>
              <m:funcPr>
                <m:ctrlPr>
                  <w:rPr>
                    <w:rFonts w:ascii="Cambria Math" w:hAnsi="Cambria Math"/>
                  </w:rPr>
                </m:ctrlPr>
              </m:funcPr>
              <m:fName>
                <m:r>
                  <m:rPr>
                    <m:sty m:val="b"/>
                  </m:rPr>
                  <w:rPr>
                    <w:rFonts w:ascii="Cambria Math" w:hAnsi="Cambria Math"/>
                  </w:rPr>
                  <m:t>cos</m:t>
                </m:r>
                <m:ctrlPr>
                  <w:rPr>
                    <w:rFonts w:ascii="Cambria Math" w:hAnsi="Cambria Math"/>
                    <w:i/>
                  </w:rPr>
                </m:ctrlPr>
              </m:fName>
              <m:e>
                <m:d>
                  <m:dPr>
                    <m:ctrlPr>
                      <w:rPr>
                        <w:rFonts w:ascii="Cambria Math" w:hAnsi="Cambria Math"/>
                        <w:i/>
                      </w:rPr>
                    </m:ctrlPr>
                  </m:dPr>
                  <m:e>
                    <m:r>
                      <m:rPr>
                        <m:sty m:val="bi"/>
                      </m:rPr>
                      <w:rPr>
                        <w:rFonts w:ascii="Cambria Math" w:hAnsi="Cambria Math"/>
                      </w:rPr>
                      <m:t>2</m:t>
                    </m:r>
                    <m:r>
                      <m:rPr>
                        <m:sty m:val="bi"/>
                      </m:rPr>
                      <w:rPr>
                        <w:rFonts w:ascii="Cambria Math" w:hAnsi="Cambria Math"/>
                      </w:rPr>
                      <m:t>θ</m:t>
                    </m:r>
                  </m:e>
                </m:d>
              </m:e>
            </m:func>
          </m:e>
        </m:d>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l=-2</m:t>
            </m:r>
          </m:sub>
          <m:sup>
            <m:r>
              <m:rPr>
                <m:sty m:val="bi"/>
              </m:rPr>
              <w:rPr>
                <w:rFonts w:ascii="Cambria Math" w:hAnsi="Cambria Math"/>
              </w:rPr>
              <m:t>2</m:t>
            </m:r>
          </m:sup>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l</m:t>
                </m:r>
              </m:sub>
            </m:sSub>
            <m:sSup>
              <m:sSupPr>
                <m:ctrlPr>
                  <w:rPr>
                    <w:rFonts w:ascii="Cambria Math" w:hAnsi="Cambria Math"/>
                    <w:i/>
                  </w:rPr>
                </m:ctrlPr>
              </m:sSupPr>
              <m:e>
                <m:r>
                  <m:rPr>
                    <m:sty m:val="bi"/>
                  </m:rPr>
                  <w:rPr>
                    <w:rFonts w:ascii="Cambria Math" w:hAnsi="Cambria Math"/>
                  </w:rPr>
                  <m:t>e</m:t>
                </m:r>
              </m:e>
              <m:sup>
                <m:r>
                  <m:rPr>
                    <m:sty m:val="bi"/>
                  </m:rPr>
                  <w:rPr>
                    <w:rFonts w:ascii="Cambria Math" w:hAnsi="Cambria Math"/>
                  </w:rPr>
                  <m:t>jlθ</m:t>
                </m:r>
              </m:sup>
            </m:sSup>
          </m:e>
        </m:nary>
      </m:oMath>
      <w:r>
        <w:t xml:space="preserve"> </w:t>
      </w:r>
      <w:r w:rsidR="00144A01">
        <w:tab/>
      </w:r>
      <w:r>
        <w:t xml:space="preserve">(Equation </w:t>
      </w:r>
      <w:r>
        <w:fldChar w:fldCharType="begin"/>
      </w:r>
      <w:r>
        <w:instrText xml:space="preserve"> SEQ Equation \* ARABIC </w:instrText>
      </w:r>
      <w:r>
        <w:fldChar w:fldCharType="separate"/>
      </w:r>
      <w:r>
        <w:rPr>
          <w:noProof/>
        </w:rPr>
        <w:t>1</w:t>
      </w:r>
      <w:r>
        <w:fldChar w:fldCharType="end"/>
      </w:r>
      <w:bookmarkEnd w:id="1"/>
      <w:r>
        <w:t>)</w:t>
      </w:r>
    </w:p>
    <w:p w14:paraId="7BDEFD1C" w14:textId="1A54902C" w:rsidR="005659E7" w:rsidRDefault="005659E7" w:rsidP="005659E7">
      <w:pPr>
        <w:pStyle w:val="BodyText"/>
      </w:pPr>
      <w:r>
        <w:t xml:space="preserve">Here, the coefficients </w:t>
      </w:r>
      <m:oMath>
        <m:sSub>
          <m:sSubPr>
            <m:ctrlPr>
              <w:rPr>
                <w:rFonts w:ascii="Cambria Math" w:hAnsi="Cambria Math"/>
                <w:i/>
              </w:rPr>
            </m:ctrlPr>
          </m:sSubPr>
          <m:e>
            <m:r>
              <w:rPr>
                <w:rFonts w:ascii="Cambria Math" w:hAnsi="Cambria Math"/>
              </w:rPr>
              <m:t>a</m:t>
            </m:r>
          </m:e>
          <m:sub>
            <m:r>
              <w:rPr>
                <w:rFonts w:ascii="Cambria Math" w:hAnsi="Cambria Math"/>
              </w:rPr>
              <m:t>l</m:t>
            </m:r>
          </m:sub>
        </m:sSub>
        <m:r>
          <w:rPr>
            <w:rFonts w:ascii="Cambria Math" w:hAnsi="Cambria Math"/>
          </w:rPr>
          <m:t>=[-0.25 0 0.5 0-0.25]</m:t>
        </m:r>
      </m:oMath>
      <w:r>
        <w:t xml:space="preserve"> for </w:t>
      </w:r>
      <m:oMath>
        <m:r>
          <w:rPr>
            <w:rFonts w:ascii="Cambria Math" w:hAnsi="Cambria Math"/>
          </w:rPr>
          <m:t xml:space="preserve">l=-2,-1,0,1,2 </m:t>
        </m:r>
      </m:oMath>
      <w:r w:rsidR="00144A01">
        <w:t xml:space="preserve">. </w:t>
      </w:r>
      <w:r>
        <w:t xml:space="preserve">From this observation it is clear that the number of degrees of freedom is 5, and hence 5 angular samples would be enough to determine the coefficients and hence the EIRP pattern. This corresponds to an angular step of 72 degrees. Note that the lack of azimuthal variation in the EIRP pattern is used. </w:t>
      </w:r>
    </w:p>
    <w:p w14:paraId="34A1177B" w14:textId="77777777" w:rsidR="005659E7" w:rsidRDefault="005659E7" w:rsidP="005659E7">
      <w:pPr>
        <w:pStyle w:val="BodyText"/>
        <w:jc w:val="center"/>
      </w:pPr>
      <w:r>
        <w:rPr>
          <w:noProof/>
        </w:rPr>
        <w:drawing>
          <wp:inline distT="0" distB="0" distL="0" distR="0" wp14:anchorId="098CBE2F" wp14:editId="7768D927">
            <wp:extent cx="2781078" cy="1805796"/>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dipol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29242" cy="1837070"/>
                    </a:xfrm>
                    <a:prstGeom prst="rect">
                      <a:avLst/>
                    </a:prstGeom>
                  </pic:spPr>
                </pic:pic>
              </a:graphicData>
            </a:graphic>
          </wp:inline>
        </w:drawing>
      </w:r>
      <w:r>
        <w:rPr>
          <w:noProof/>
        </w:rPr>
        <w:drawing>
          <wp:inline distT="0" distB="0" distL="0" distR="0" wp14:anchorId="0C5FA355" wp14:editId="4C09B896">
            <wp:extent cx="2754701" cy="1788669"/>
            <wp:effectExtent l="0" t="0" r="127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dipoleFF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02109" cy="1819452"/>
                    </a:xfrm>
                    <a:prstGeom prst="rect">
                      <a:avLst/>
                    </a:prstGeom>
                  </pic:spPr>
                </pic:pic>
              </a:graphicData>
            </a:graphic>
          </wp:inline>
        </w:drawing>
      </w:r>
    </w:p>
    <w:p w14:paraId="230E8A59" w14:textId="392BADAB" w:rsidR="005659E7" w:rsidRDefault="005659E7" w:rsidP="005659E7">
      <w:pPr>
        <w:pStyle w:val="Caption"/>
      </w:pPr>
      <w:r>
        <w:t xml:space="preserve">Figure </w:t>
      </w:r>
      <w:r w:rsidR="00BA7187">
        <w:t>2-1</w:t>
      </w:r>
      <w:r w:rsidR="00C26EB7">
        <w:t>:</w:t>
      </w:r>
      <w:r>
        <w:t xml:space="preserve"> Directivity pattern of a z-directed electric dipole (left) and its 2D FFT (right). Note that the patterns are directivity normalized, whereas </w:t>
      </w:r>
      <w:r>
        <w:fldChar w:fldCharType="begin"/>
      </w:r>
      <w:r>
        <w:instrText xml:space="preserve"> REF _Ref4750956 </w:instrText>
      </w:r>
      <w:r>
        <w:fldChar w:fldCharType="separate"/>
      </w:r>
      <w:r>
        <w:t xml:space="preserve"> the EIRP field of (Equation </w:t>
      </w:r>
      <w:r>
        <w:rPr>
          <w:noProof/>
        </w:rPr>
        <w:t>1</w:t>
      </w:r>
      <w:r>
        <w:fldChar w:fldCharType="end"/>
      </w:r>
      <w:r>
        <w:t>) is normalized to get simple equations only.</w:t>
      </w:r>
    </w:p>
    <w:p w14:paraId="7FDE48CD" w14:textId="621A26D6" w:rsidR="005659E7" w:rsidRDefault="005659E7" w:rsidP="005659E7">
      <w:pPr>
        <w:pStyle w:val="BodyText"/>
      </w:pPr>
    </w:p>
    <w:p w14:paraId="2050BA08" w14:textId="77777777" w:rsidR="00087CFE" w:rsidRDefault="00087CFE" w:rsidP="005659E7">
      <w:pPr>
        <w:pStyle w:val="BodyText"/>
      </w:pPr>
    </w:p>
    <w:p w14:paraId="0D9BE3D3" w14:textId="53FD9A06" w:rsidR="005659E7" w:rsidRDefault="005659E7" w:rsidP="005659E7">
      <w:pPr>
        <w:pStyle w:val="BodyText"/>
      </w:pPr>
      <w:r>
        <w:lastRenderedPageBreak/>
        <w:t>For an arbitrarily rotated magnetic and electric dipole the field can be written as</w:t>
      </w:r>
      <w:r w:rsidR="00087CFE">
        <w:t>:</w:t>
      </w:r>
    </w:p>
    <w:p w14:paraId="307FD92A" w14:textId="430ABF35" w:rsidR="005659E7" w:rsidRDefault="005659E7" w:rsidP="005659E7">
      <w:pPr>
        <w:pStyle w:val="Caption"/>
        <w:jc w:val="center"/>
      </w:pPr>
      <w:bookmarkStart w:id="2" w:name="_Ref4752654"/>
      <m:oMath>
        <m:r>
          <m:rPr>
            <m:sty m:val="bi"/>
          </m:rPr>
          <w:rPr>
            <w:rFonts w:ascii="Cambria Math" w:hAnsi="Cambria Math"/>
          </w:rPr>
          <m:t>EIRP</m:t>
        </m:r>
        <m:d>
          <m:dPr>
            <m:ctrlPr>
              <w:rPr>
                <w:rFonts w:ascii="Cambria Math" w:hAnsi="Cambria Math"/>
                <w:i/>
              </w:rPr>
            </m:ctrlPr>
          </m:dPr>
          <m:e>
            <m:r>
              <m:rPr>
                <m:sty m:val="bi"/>
              </m:rPr>
              <w:rPr>
                <w:rFonts w:ascii="Cambria Math" w:hAnsi="Cambria Math"/>
              </w:rPr>
              <m:t>θ,ϕ</m:t>
            </m:r>
          </m:e>
        </m:d>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l=-2</m:t>
            </m:r>
          </m:sub>
          <m:sup>
            <m:r>
              <m:rPr>
                <m:sty m:val="bi"/>
              </m:rPr>
              <w:rPr>
                <w:rFonts w:ascii="Cambria Math" w:hAnsi="Cambria Math"/>
              </w:rPr>
              <m:t>2</m:t>
            </m:r>
          </m:sup>
          <m:e>
            <m:nary>
              <m:naryPr>
                <m:chr m:val="∑"/>
                <m:limLoc m:val="undOvr"/>
                <m:ctrlPr>
                  <w:rPr>
                    <w:rFonts w:ascii="Cambria Math" w:hAnsi="Cambria Math"/>
                    <w:i/>
                  </w:rPr>
                </m:ctrlPr>
              </m:naryPr>
              <m:sub>
                <m:r>
                  <m:rPr>
                    <m:sty m:val="bi"/>
                  </m:rPr>
                  <w:rPr>
                    <w:rFonts w:ascii="Cambria Math" w:hAnsi="Cambria Math"/>
                  </w:rPr>
                  <m:t>m=-2</m:t>
                </m:r>
              </m:sub>
              <m:sup>
                <m:r>
                  <m:rPr>
                    <m:sty m:val="bi"/>
                  </m:rPr>
                  <w:rPr>
                    <w:rFonts w:ascii="Cambria Math" w:hAnsi="Cambria Math"/>
                  </w:rPr>
                  <m:t>2</m:t>
                </m:r>
              </m:sup>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lm</m:t>
                    </m:r>
                  </m:sub>
                </m:sSub>
                <m:sSup>
                  <m:sSupPr>
                    <m:ctrlPr>
                      <w:rPr>
                        <w:rFonts w:ascii="Cambria Math" w:hAnsi="Cambria Math"/>
                        <w:i/>
                      </w:rPr>
                    </m:ctrlPr>
                  </m:sSupPr>
                  <m:e>
                    <m:r>
                      <m:rPr>
                        <m:sty m:val="bi"/>
                      </m:rPr>
                      <w:rPr>
                        <w:rFonts w:ascii="Cambria Math" w:hAnsi="Cambria Math"/>
                      </w:rPr>
                      <m:t>e</m:t>
                    </m:r>
                  </m:e>
                  <m:sup>
                    <m:r>
                      <m:rPr>
                        <m:sty m:val="bi"/>
                      </m:rPr>
                      <w:rPr>
                        <w:rFonts w:ascii="Cambria Math" w:hAnsi="Cambria Math"/>
                      </w:rPr>
                      <m:t>jlθ</m:t>
                    </m:r>
                  </m:sup>
                </m:sSup>
                <m:sSup>
                  <m:sSupPr>
                    <m:ctrlPr>
                      <w:rPr>
                        <w:rFonts w:ascii="Cambria Math" w:hAnsi="Cambria Math"/>
                        <w:i/>
                      </w:rPr>
                    </m:ctrlPr>
                  </m:sSupPr>
                  <m:e>
                    <m:r>
                      <m:rPr>
                        <m:sty m:val="bi"/>
                      </m:rPr>
                      <w:rPr>
                        <w:rFonts w:ascii="Cambria Math" w:hAnsi="Cambria Math"/>
                      </w:rPr>
                      <m:t>e</m:t>
                    </m:r>
                  </m:e>
                  <m:sup>
                    <m:r>
                      <m:rPr>
                        <m:sty m:val="bi"/>
                      </m:rPr>
                      <w:rPr>
                        <w:rFonts w:ascii="Cambria Math" w:hAnsi="Cambria Math"/>
                      </w:rPr>
                      <m:t>jmϕ</m:t>
                    </m:r>
                  </m:sup>
                </m:sSup>
              </m:e>
            </m:nary>
          </m:e>
        </m:nary>
        <m:r>
          <m:rPr>
            <m:sty m:val="bi"/>
          </m:rPr>
          <w:rPr>
            <w:rFonts w:ascii="Cambria Math" w:hAnsi="Cambria Math"/>
          </w:rPr>
          <m:t xml:space="preserve"> </m:t>
        </m:r>
      </m:oMath>
      <w:r w:rsidR="00087CFE">
        <w:tab/>
      </w:r>
      <w:r>
        <w:t xml:space="preserve">(Equation </w:t>
      </w:r>
      <w:r>
        <w:fldChar w:fldCharType="begin"/>
      </w:r>
      <w:r>
        <w:instrText xml:space="preserve"> SEQ Equation \* ARABIC </w:instrText>
      </w:r>
      <w:r>
        <w:fldChar w:fldCharType="separate"/>
      </w:r>
      <w:r>
        <w:rPr>
          <w:noProof/>
        </w:rPr>
        <w:t>2</w:t>
      </w:r>
      <w:r>
        <w:fldChar w:fldCharType="end"/>
      </w:r>
      <w:bookmarkEnd w:id="2"/>
      <w:r>
        <w:t>)</w:t>
      </w:r>
    </w:p>
    <w:p w14:paraId="33BAECFC" w14:textId="20086AC2" w:rsidR="005659E7" w:rsidRDefault="005659E7" w:rsidP="005659E7">
      <w:pPr>
        <w:pStyle w:val="BodyText"/>
      </w:pPr>
      <w:r>
        <w:t xml:space="preserve">This indicates that a maximum of 25 sampling points is needed. </w:t>
      </w:r>
      <w:proofErr w:type="gramStart"/>
      <w:r>
        <w:t>In reality there</w:t>
      </w:r>
      <w:proofErr w:type="gramEnd"/>
      <w:r>
        <w:t xml:space="preserve"> are further constraints on the coefficients </w:t>
      </w:r>
      <m:oMath>
        <m:sSub>
          <m:sSubPr>
            <m:ctrlPr>
              <w:rPr>
                <w:rFonts w:ascii="Cambria Math" w:hAnsi="Cambria Math"/>
                <w:i/>
              </w:rPr>
            </m:ctrlPr>
          </m:sSubPr>
          <m:e>
            <m:r>
              <w:rPr>
                <w:rFonts w:ascii="Cambria Math" w:hAnsi="Cambria Math"/>
              </w:rPr>
              <m:t>a</m:t>
            </m:r>
          </m:e>
          <m:sub>
            <m:r>
              <w:rPr>
                <w:rFonts w:ascii="Cambria Math" w:hAnsi="Cambria Math"/>
              </w:rPr>
              <m:t>lm</m:t>
            </m:r>
          </m:sub>
        </m:sSub>
      </m:oMath>
      <w:r>
        <w:t xml:space="preserve">but this is not relevant for the current study. </w:t>
      </w:r>
    </w:p>
    <w:p w14:paraId="25225963" w14:textId="77777777" w:rsidR="005659E7" w:rsidRDefault="005659E7" w:rsidP="005659E7">
      <w:pPr>
        <w:pStyle w:val="BodyText"/>
      </w:pPr>
      <w:r>
        <w:rPr>
          <w:noProof/>
        </w:rPr>
        <w:drawing>
          <wp:inline distT="0" distB="0" distL="0" distR="0" wp14:anchorId="2BFB41FD" wp14:editId="611F452D">
            <wp:extent cx="2908545" cy="2127621"/>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ndomDipol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6596" cy="2170085"/>
                    </a:xfrm>
                    <a:prstGeom prst="rect">
                      <a:avLst/>
                    </a:prstGeom>
                  </pic:spPr>
                </pic:pic>
              </a:graphicData>
            </a:graphic>
          </wp:inline>
        </w:drawing>
      </w:r>
      <w:r>
        <w:rPr>
          <w:noProof/>
        </w:rPr>
        <w:drawing>
          <wp:inline distT="0" distB="0" distL="0" distR="0" wp14:anchorId="07ADA704" wp14:editId="2BED0BDD">
            <wp:extent cx="2976665" cy="21774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domDipoleFF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12340" cy="2203548"/>
                    </a:xfrm>
                    <a:prstGeom prst="rect">
                      <a:avLst/>
                    </a:prstGeom>
                  </pic:spPr>
                </pic:pic>
              </a:graphicData>
            </a:graphic>
          </wp:inline>
        </w:drawing>
      </w:r>
    </w:p>
    <w:p w14:paraId="31CBFCA3" w14:textId="2A2B0B83" w:rsidR="005659E7" w:rsidRDefault="005659E7" w:rsidP="005659E7">
      <w:pPr>
        <w:pStyle w:val="Caption"/>
      </w:pPr>
      <w:r>
        <w:t xml:space="preserve">Figure </w:t>
      </w:r>
      <w:r w:rsidR="00087CFE">
        <w:t>2-2</w:t>
      </w:r>
      <w:r w:rsidR="00C26EB7">
        <w:t>:</w:t>
      </w:r>
      <w:r>
        <w:t xml:space="preserve"> Directivity pattern of a random dipole field (left) and its 2D FFT (right). Note that the patterns are directivity normalized. </w:t>
      </w:r>
    </w:p>
    <w:p w14:paraId="79A7D29A" w14:textId="77777777" w:rsidR="005659E7" w:rsidRDefault="005659E7" w:rsidP="005659E7">
      <w:pPr>
        <w:pStyle w:val="BodyText"/>
      </w:pPr>
      <w:r>
        <w:t xml:space="preserve">In 3GGP RAN4 the integration method for </w:t>
      </w:r>
      <w:proofErr w:type="spellStart"/>
      <w:r>
        <w:t>equi</w:t>
      </w:r>
      <w:proofErr w:type="spellEnd"/>
      <w:r>
        <w:t xml:space="preserve">-angular sampling is sub-optimal. The use of the scale factor </w:t>
      </w:r>
      <m:oMath>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t xml:space="preserve"> will result in cancelation of any values taken on the z-axis. This is an example on how the integration error depends on the selected numerical integration method.</w:t>
      </w:r>
    </w:p>
    <w:p w14:paraId="36475289" w14:textId="77777777" w:rsidR="005659E7" w:rsidRDefault="005659E7" w:rsidP="005659E7">
      <w:pPr>
        <w:pStyle w:val="BodyText"/>
      </w:pPr>
      <w:r>
        <w:t>To quantify the issue the convergence of the numerical methods used for equiangular grids and Fibonacci grids have been investigated. Angular steps from 1 to 120 degrees, and as even integer fractions of 360 degrees, have been used.</w:t>
      </w:r>
    </w:p>
    <w:p w14:paraId="69361D85" w14:textId="77777777" w:rsidR="005659E7" w:rsidRDefault="005659E7" w:rsidP="005659E7">
      <w:pPr>
        <w:pStyle w:val="BodyText"/>
        <w:numPr>
          <w:ilvl w:val="0"/>
          <w:numId w:val="7"/>
        </w:numPr>
      </w:pPr>
      <w:r>
        <w:t>A random dipole field is generated by using a Spherical Wave Expansion (SWE). The SWE is normalized to 1W output power.</w:t>
      </w:r>
    </w:p>
    <w:p w14:paraId="5C1769A8" w14:textId="77777777" w:rsidR="005659E7" w:rsidRDefault="005659E7" w:rsidP="005659E7">
      <w:pPr>
        <w:pStyle w:val="BodyText"/>
        <w:numPr>
          <w:ilvl w:val="0"/>
          <w:numId w:val="7"/>
        </w:numPr>
      </w:pPr>
      <w:r>
        <w:t>The field is sampled and converted to EIRP values using the three alternatives:</w:t>
      </w:r>
    </w:p>
    <w:p w14:paraId="093D32EB" w14:textId="77777777" w:rsidR="005659E7" w:rsidRDefault="005659E7" w:rsidP="005659E7">
      <w:pPr>
        <w:pStyle w:val="BodyText"/>
        <w:numPr>
          <w:ilvl w:val="1"/>
          <w:numId w:val="7"/>
        </w:numPr>
      </w:pPr>
      <w:r>
        <w:t xml:space="preserve">Using an </w:t>
      </w:r>
      <w:proofErr w:type="spellStart"/>
      <w:r>
        <w:t>equi</w:t>
      </w:r>
      <w:proofErr w:type="spellEnd"/>
      <w:r>
        <w:t xml:space="preserve">-angular sampling grid with the same angular step in </w:t>
      </w:r>
      <m:oMath>
        <m:r>
          <w:rPr>
            <w:rFonts w:ascii="Cambria Math" w:hAnsi="Cambria Math"/>
          </w:rPr>
          <m:t>θ</m:t>
        </m:r>
      </m:oMath>
      <w:r>
        <w:t xml:space="preserve"> and </w:t>
      </w:r>
      <m:oMath>
        <m:r>
          <w:rPr>
            <w:rFonts w:ascii="Cambria Math" w:hAnsi="Cambria Math"/>
          </w:rPr>
          <m:t>ϕ</m:t>
        </m:r>
      </m:oMath>
      <w:r>
        <w:t>, and converting the E-field data to EIRP data.</w:t>
      </w:r>
    </w:p>
    <w:p w14:paraId="0BD70F88" w14:textId="77777777" w:rsidR="005659E7" w:rsidRDefault="005659E7" w:rsidP="005659E7">
      <w:pPr>
        <w:pStyle w:val="BodyText"/>
        <w:numPr>
          <w:ilvl w:val="1"/>
          <w:numId w:val="7"/>
        </w:numPr>
      </w:pPr>
      <w:r>
        <w:t xml:space="preserve">The EIRP data of the previous step is fitted to Fourier coefficients </w:t>
      </w:r>
      <m:oMath>
        <m:sSub>
          <m:sSubPr>
            <m:ctrlPr>
              <w:rPr>
                <w:rFonts w:ascii="Cambria Math" w:hAnsi="Cambria Math"/>
                <w:i/>
              </w:rPr>
            </m:ctrlPr>
          </m:sSubPr>
          <m:e>
            <m:r>
              <w:rPr>
                <w:rFonts w:ascii="Cambria Math" w:hAnsi="Cambria Math"/>
              </w:rPr>
              <m:t>a</m:t>
            </m:r>
          </m:e>
          <m:sub>
            <m:r>
              <w:rPr>
                <w:rFonts w:ascii="Cambria Math" w:hAnsi="Cambria Math"/>
              </w:rPr>
              <m:t>lm</m:t>
            </m:r>
          </m:sub>
        </m:sSub>
      </m:oMath>
      <w:r>
        <w:t>.</w:t>
      </w:r>
    </w:p>
    <w:p w14:paraId="547B83AF" w14:textId="77777777" w:rsidR="005659E7" w:rsidRDefault="005659E7" w:rsidP="005659E7">
      <w:pPr>
        <w:pStyle w:val="BodyText"/>
        <w:numPr>
          <w:ilvl w:val="1"/>
          <w:numId w:val="7"/>
        </w:numPr>
      </w:pPr>
      <w:r>
        <w:t xml:space="preserve">The E-field is sampled on a Fibonacci grid of </w:t>
      </w:r>
      <m:oMath>
        <m:r>
          <w:rPr>
            <w:rFonts w:ascii="Cambria Math" w:hAnsi="Cambria Math"/>
          </w:rPr>
          <m:t>N=4π/</m:t>
        </m:r>
        <m:sSup>
          <m:sSupPr>
            <m:ctrlPr>
              <w:rPr>
                <w:rFonts w:ascii="Cambria Math" w:hAnsi="Cambria Math"/>
                <w:i/>
              </w:rPr>
            </m:ctrlPr>
          </m:sSupPr>
          <m:e>
            <m:d>
              <m:dPr>
                <m:ctrlPr>
                  <w:rPr>
                    <w:rFonts w:ascii="Cambria Math" w:hAnsi="Cambria Math"/>
                    <w:i/>
                  </w:rPr>
                </m:ctrlPr>
              </m:dPr>
              <m:e>
                <m:r>
                  <m:rPr>
                    <m:sty m:val="p"/>
                  </m:rPr>
                  <w:rPr>
                    <w:rFonts w:ascii="Cambria Math" w:hAnsi="Cambria Math"/>
                  </w:rPr>
                  <m:t>Δθ</m:t>
                </m:r>
              </m:e>
            </m:d>
          </m:e>
          <m:sup>
            <m:r>
              <w:rPr>
                <w:rFonts w:ascii="Cambria Math" w:hAnsi="Cambria Math"/>
              </w:rPr>
              <m:t>2</m:t>
            </m:r>
          </m:sup>
        </m:sSup>
      </m:oMath>
      <w:r>
        <w:t xml:space="preserve">  sampling points. In this formula the angular step is in radian units. The E-field values are then converted to EIRP values.</w:t>
      </w:r>
    </w:p>
    <w:p w14:paraId="2177C205" w14:textId="77777777" w:rsidR="005659E7" w:rsidRDefault="005659E7" w:rsidP="005659E7">
      <w:pPr>
        <w:pStyle w:val="BodyText"/>
        <w:numPr>
          <w:ilvl w:val="0"/>
          <w:numId w:val="7"/>
        </w:numPr>
      </w:pPr>
      <w:r>
        <w:t>The TRP is calculated as</w:t>
      </w:r>
    </w:p>
    <w:p w14:paraId="0A5AED72" w14:textId="77777777" w:rsidR="005659E7" w:rsidRDefault="005659E7" w:rsidP="005659E7">
      <w:pPr>
        <w:pStyle w:val="BodyText"/>
        <w:numPr>
          <w:ilvl w:val="1"/>
          <w:numId w:val="7"/>
        </w:numPr>
      </w:pP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t xml:space="preserve"> method: </w:t>
      </w:r>
      <m:oMath>
        <m:r>
          <w:rPr>
            <w:rFonts w:ascii="Cambria Math" w:hAnsi="Cambria Math"/>
          </w:rPr>
          <m:t>TRP=</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m:rPr>
                        <m:sty m:val="p"/>
                      </m:rPr>
                      <w:rPr>
                        <w:rFonts w:ascii="Cambria Math" w:hAnsi="Cambria Math"/>
                      </w:rPr>
                      <m:t>Δ</m:t>
                    </m:r>
                    <m:r>
                      <w:rPr>
                        <w:rFonts w:ascii="Cambria Math" w:hAnsi="Cambria Math"/>
                      </w:rPr>
                      <m:t>θ</m:t>
                    </m:r>
                  </m:e>
                </m:d>
              </m:e>
              <m:sup>
                <m:r>
                  <w:rPr>
                    <w:rFonts w:ascii="Cambria Math" w:hAnsi="Cambria Math"/>
                  </w:rPr>
                  <m:t>2</m:t>
                </m:r>
              </m:sup>
            </m:sSup>
          </m:num>
          <m:den>
            <m:r>
              <w:rPr>
                <w:rFonts w:ascii="Cambria Math" w:hAnsi="Cambria Math"/>
              </w:rPr>
              <m:t>4π</m:t>
            </m:r>
          </m:den>
        </m:f>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e>
        </m:nary>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m</m:t>
                </m:r>
              </m:sub>
            </m:sSub>
          </m:e>
        </m:func>
      </m:oMath>
    </w:p>
    <w:p w14:paraId="5D53E7A8" w14:textId="77777777" w:rsidR="005659E7" w:rsidRDefault="005659E7" w:rsidP="005659E7">
      <w:pPr>
        <w:pStyle w:val="BodyText"/>
        <w:numPr>
          <w:ilvl w:val="1"/>
          <w:numId w:val="7"/>
        </w:numPr>
      </w:pPr>
      <w:r>
        <w:t xml:space="preserve">FFT method: Use the Fourier coefficients, integrate the </w:t>
      </w:r>
      <w:proofErr w:type="spellStart"/>
      <w:r>
        <w:t>basis</w:t>
      </w:r>
      <w:proofErr w:type="spellEnd"/>
      <w:r>
        <w:t xml:space="preserve"> functions  </w:t>
      </w:r>
      <m:oMath>
        <m:sSup>
          <m:sSupPr>
            <m:ctrlPr>
              <w:rPr>
                <w:rFonts w:ascii="Cambria Math" w:hAnsi="Cambria Math"/>
                <w:i/>
              </w:rPr>
            </m:ctrlPr>
          </m:sSupPr>
          <m:e>
            <m:r>
              <w:rPr>
                <w:rFonts w:ascii="Cambria Math" w:hAnsi="Cambria Math"/>
              </w:rPr>
              <m:t>e</m:t>
            </m:r>
          </m:e>
          <m:sup>
            <m:r>
              <w:rPr>
                <w:rFonts w:ascii="Cambria Math" w:hAnsi="Cambria Math"/>
              </w:rPr>
              <m:t>j(lθ+mϕ)</m:t>
            </m:r>
          </m:sup>
        </m:sSup>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t xml:space="preserve"> on the full sphere, and sum all contributions.</w:t>
      </w:r>
    </w:p>
    <w:p w14:paraId="76EB0F8A" w14:textId="77777777" w:rsidR="005659E7" w:rsidRDefault="005659E7" w:rsidP="005659E7">
      <w:pPr>
        <w:pStyle w:val="BodyText"/>
        <w:numPr>
          <w:ilvl w:val="1"/>
          <w:numId w:val="7"/>
        </w:numPr>
      </w:pPr>
      <w:r>
        <w:t>Fibonacci: Calculate the TRP value as the mean value of the Fibonacci samples.</w:t>
      </w:r>
    </w:p>
    <w:p w14:paraId="32C01679" w14:textId="77777777" w:rsidR="005659E7" w:rsidRDefault="005659E7" w:rsidP="005659E7">
      <w:pPr>
        <w:pStyle w:val="BodyText"/>
        <w:ind w:left="568"/>
      </w:pPr>
      <w:r>
        <w:t xml:space="preserve">These steps are repeated for 1000 randomly generated dipole fields. The results of the numerical experiment are shown in the below figures. </w:t>
      </w:r>
    </w:p>
    <w:p w14:paraId="0E2AE4D2" w14:textId="77777777" w:rsidR="005659E7" w:rsidRDefault="005659E7" w:rsidP="005659E7">
      <w:pPr>
        <w:pStyle w:val="BodyText"/>
        <w:jc w:val="center"/>
        <w:rPr>
          <w:rFonts w:ascii="Arial" w:hAnsi="Arial" w:cs="Arial"/>
        </w:rPr>
      </w:pPr>
      <w:r>
        <w:rPr>
          <w:rFonts w:ascii="Arial" w:hAnsi="Arial" w:cs="Arial"/>
          <w:noProof/>
        </w:rPr>
        <w:lastRenderedPageBreak/>
        <w:drawing>
          <wp:inline distT="0" distB="0" distL="0" distR="0" wp14:anchorId="3FECD4BC" wp14:editId="7BA9F3A7">
            <wp:extent cx="2885031" cy="20836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grationOfDipolesAt45Degs.png"/>
                    <pic:cNvPicPr/>
                  </pic:nvPicPr>
                  <pic:blipFill>
                    <a:blip r:embed="rId13">
                      <a:extLst>
                        <a:ext uri="{28A0092B-C50C-407E-A947-70E740481C1C}">
                          <a14:useLocalDpi xmlns:a14="http://schemas.microsoft.com/office/drawing/2010/main" val="0"/>
                        </a:ext>
                      </a:extLst>
                    </a:blip>
                    <a:stretch>
                      <a:fillRect/>
                    </a:stretch>
                  </pic:blipFill>
                  <pic:spPr>
                    <a:xfrm>
                      <a:off x="0" y="0"/>
                      <a:ext cx="2910463" cy="2102001"/>
                    </a:xfrm>
                    <a:prstGeom prst="rect">
                      <a:avLst/>
                    </a:prstGeom>
                  </pic:spPr>
                </pic:pic>
              </a:graphicData>
            </a:graphic>
          </wp:inline>
        </w:drawing>
      </w:r>
    </w:p>
    <w:p w14:paraId="1E98FCFF" w14:textId="50657C4D" w:rsidR="005659E7" w:rsidRDefault="005659E7" w:rsidP="005659E7">
      <w:pPr>
        <w:pStyle w:val="Caption"/>
      </w:pPr>
      <w:r>
        <w:t xml:space="preserve">Figure </w:t>
      </w:r>
      <w:r w:rsidR="00C26EB7">
        <w:t>2-3:</w:t>
      </w:r>
      <w:r>
        <w:t xml:space="preserve"> Resulting TRP error at different angular steps using the 3GPP angular integration (sin</w:t>
      </w:r>
      <w:r>
        <w:sym w:font="Symbol" w:char="F071"/>
      </w:r>
      <w:r>
        <w:t xml:space="preserve">), a Fibonacci grid and integration, and FFT based integration. </w:t>
      </w:r>
    </w:p>
    <w:p w14:paraId="6E2E78A8" w14:textId="77777777" w:rsidR="005659E7" w:rsidRDefault="005659E7" w:rsidP="005659E7">
      <w:pPr>
        <w:jc w:val="center"/>
      </w:pPr>
      <w:r>
        <w:rPr>
          <w:noProof/>
        </w:rPr>
        <w:drawing>
          <wp:inline distT="0" distB="0" distL="0" distR="0" wp14:anchorId="41F5592F" wp14:editId="7C6B424D">
            <wp:extent cx="2445173" cy="184364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grationOfDipolesAt45Deg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59073" cy="1854126"/>
                    </a:xfrm>
                    <a:prstGeom prst="rect">
                      <a:avLst/>
                    </a:prstGeom>
                  </pic:spPr>
                </pic:pic>
              </a:graphicData>
            </a:graphic>
          </wp:inline>
        </w:drawing>
      </w:r>
    </w:p>
    <w:p w14:paraId="07D7C3D0" w14:textId="605E7C66" w:rsidR="005659E7" w:rsidRDefault="005659E7" w:rsidP="005659E7">
      <w:pPr>
        <w:pStyle w:val="Caption"/>
        <w:jc w:val="both"/>
      </w:pPr>
      <w:r>
        <w:t xml:space="preserve">Figure </w:t>
      </w:r>
      <w:r w:rsidR="00046329">
        <w:t>2-4:</w:t>
      </w:r>
      <w:r>
        <w:t xml:space="preserve"> The CDFs at </w:t>
      </w:r>
      <w:proofErr w:type="gramStart"/>
      <w:r>
        <w:t>15 degree</w:t>
      </w:r>
      <w:proofErr w:type="gramEnd"/>
      <w:r>
        <w:t xml:space="preserve"> sampling step. The integration error is negligible for Fibonacci and FFT integration. For sin(theta) method the 99% error is about 0.3 </w:t>
      </w:r>
      <w:proofErr w:type="spellStart"/>
      <w:r>
        <w:t>dB.</w:t>
      </w:r>
      <w:proofErr w:type="spellEnd"/>
      <w:r>
        <w:t xml:space="preserve"> </w:t>
      </w:r>
    </w:p>
    <w:p w14:paraId="7B7FC2EC" w14:textId="77777777" w:rsidR="005659E7" w:rsidRDefault="005659E7" w:rsidP="005659E7">
      <w:pPr>
        <w:jc w:val="center"/>
      </w:pPr>
      <w:r>
        <w:rPr>
          <w:noProof/>
        </w:rPr>
        <w:drawing>
          <wp:inline distT="0" distB="0" distL="0" distR="0" wp14:anchorId="39DB8932" wp14:editId="362B1B81">
            <wp:extent cx="2897986" cy="219686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tegrationOfDipolesAt72Degs.png"/>
                    <pic:cNvPicPr/>
                  </pic:nvPicPr>
                  <pic:blipFill>
                    <a:blip r:embed="rId15">
                      <a:extLst>
                        <a:ext uri="{28A0092B-C50C-407E-A947-70E740481C1C}">
                          <a14:useLocalDpi xmlns:a14="http://schemas.microsoft.com/office/drawing/2010/main" val="0"/>
                        </a:ext>
                      </a:extLst>
                    </a:blip>
                    <a:stretch>
                      <a:fillRect/>
                    </a:stretch>
                  </pic:blipFill>
                  <pic:spPr>
                    <a:xfrm>
                      <a:off x="0" y="0"/>
                      <a:ext cx="2907636" cy="2204175"/>
                    </a:xfrm>
                    <a:prstGeom prst="rect">
                      <a:avLst/>
                    </a:prstGeom>
                  </pic:spPr>
                </pic:pic>
              </a:graphicData>
            </a:graphic>
          </wp:inline>
        </w:drawing>
      </w:r>
    </w:p>
    <w:p w14:paraId="6F65D90F" w14:textId="23D73A82" w:rsidR="005659E7" w:rsidRDefault="005659E7" w:rsidP="005659E7">
      <w:pPr>
        <w:pStyle w:val="Caption"/>
      </w:pPr>
      <w:r>
        <w:t xml:space="preserve">Figure </w:t>
      </w:r>
      <w:r w:rsidR="00046329">
        <w:t>2-5:</w:t>
      </w:r>
      <w:r>
        <w:t xml:space="preserve"> The same CDFs at </w:t>
      </w:r>
      <w:proofErr w:type="gramStart"/>
      <w:r>
        <w:t>72 degree</w:t>
      </w:r>
      <w:proofErr w:type="gramEnd"/>
      <w:r>
        <w:t xml:space="preserve"> steps.</w:t>
      </w:r>
    </w:p>
    <w:p w14:paraId="0BA322C1" w14:textId="77777777" w:rsidR="00480B50" w:rsidRDefault="00480B50" w:rsidP="00046329">
      <w:pPr>
        <w:pStyle w:val="BodyText"/>
      </w:pPr>
    </w:p>
    <w:p w14:paraId="18AA006B" w14:textId="77777777" w:rsidR="00480B50" w:rsidRDefault="00480B50" w:rsidP="00046329">
      <w:pPr>
        <w:pStyle w:val="BodyText"/>
      </w:pPr>
    </w:p>
    <w:p w14:paraId="18624EB4" w14:textId="77777777" w:rsidR="00480B50" w:rsidRDefault="00480B50" w:rsidP="00046329">
      <w:pPr>
        <w:pStyle w:val="BodyText"/>
      </w:pPr>
    </w:p>
    <w:p w14:paraId="4A4049A7" w14:textId="77777777" w:rsidR="00480B50" w:rsidRDefault="00480B50" w:rsidP="00046329">
      <w:pPr>
        <w:pStyle w:val="BodyText"/>
      </w:pPr>
    </w:p>
    <w:p w14:paraId="4FC06690" w14:textId="77777777" w:rsidR="00480B50" w:rsidRDefault="00480B50" w:rsidP="00046329">
      <w:pPr>
        <w:pStyle w:val="BodyText"/>
      </w:pPr>
    </w:p>
    <w:p w14:paraId="5757C98E" w14:textId="77777777" w:rsidR="00480B50" w:rsidRDefault="00480B50" w:rsidP="00046329">
      <w:pPr>
        <w:pStyle w:val="BodyText"/>
      </w:pPr>
    </w:p>
    <w:p w14:paraId="607BE39F" w14:textId="77777777" w:rsidR="00480B50" w:rsidRDefault="00480B50" w:rsidP="00046329">
      <w:pPr>
        <w:pStyle w:val="BodyText"/>
      </w:pPr>
    </w:p>
    <w:p w14:paraId="6847BF59" w14:textId="5DDC1E1B" w:rsidR="00046329" w:rsidRDefault="00046329" w:rsidP="00046329">
      <w:pPr>
        <w:pStyle w:val="BodyText"/>
      </w:pPr>
      <w:r>
        <w:lastRenderedPageBreak/>
        <w:t xml:space="preserve">Based on the analysis in this </w:t>
      </w:r>
      <w:r w:rsidR="00480B50">
        <w:t>contribution</w:t>
      </w:r>
      <w:r>
        <w:t xml:space="preserve"> </w:t>
      </w:r>
      <w:r w:rsidR="00480B50">
        <w:t>the following observations have been identified;</w:t>
      </w:r>
    </w:p>
    <w:p w14:paraId="7A9F1DE8" w14:textId="77777777" w:rsidR="00480B50" w:rsidRDefault="00480B50" w:rsidP="00EC11E4">
      <w:pPr>
        <w:pStyle w:val="BodyText"/>
      </w:pPr>
    </w:p>
    <w:p w14:paraId="74E57FFF" w14:textId="77777777" w:rsidR="00480B50" w:rsidRPr="00EC11E4" w:rsidRDefault="005659E7" w:rsidP="005659E7">
      <w:pPr>
        <w:pStyle w:val="BodyText"/>
        <w:ind w:left="720"/>
        <w:rPr>
          <w:b/>
          <w:u w:val="single"/>
        </w:rPr>
      </w:pPr>
      <w:r w:rsidRPr="00EC11E4">
        <w:rPr>
          <w:b/>
          <w:u w:val="single"/>
        </w:rPr>
        <w:t>Observation 1:</w:t>
      </w:r>
    </w:p>
    <w:p w14:paraId="31450212" w14:textId="0BD84799" w:rsidR="005659E7" w:rsidRDefault="005659E7" w:rsidP="005659E7">
      <w:pPr>
        <w:pStyle w:val="BodyText"/>
        <w:ind w:left="720"/>
      </w:pPr>
      <w:r>
        <w:rPr>
          <w:b/>
        </w:rPr>
        <w:t xml:space="preserve"> </w:t>
      </w:r>
      <w:r>
        <w:t>By using FFT based integration the TRP is zero for angular steps up to and including 72 degrees. For zero summation error this is the upper limit for the reference steps.</w:t>
      </w:r>
    </w:p>
    <w:p w14:paraId="033F5D3A" w14:textId="77777777" w:rsidR="00480B50" w:rsidRDefault="00480B50" w:rsidP="005659E7">
      <w:pPr>
        <w:pStyle w:val="BodyText"/>
        <w:ind w:left="720"/>
      </w:pPr>
    </w:p>
    <w:p w14:paraId="5522914D" w14:textId="77777777" w:rsidR="00480B50" w:rsidRPr="00EC11E4" w:rsidRDefault="005659E7" w:rsidP="005659E7">
      <w:pPr>
        <w:pStyle w:val="BodyText"/>
        <w:ind w:left="720"/>
        <w:rPr>
          <w:b/>
          <w:u w:val="single"/>
        </w:rPr>
      </w:pPr>
      <w:r w:rsidRPr="00EC11E4">
        <w:rPr>
          <w:b/>
          <w:u w:val="single"/>
        </w:rPr>
        <w:t>Observation 2:</w:t>
      </w:r>
    </w:p>
    <w:p w14:paraId="3F6D3C7D" w14:textId="440D6446" w:rsidR="005659E7" w:rsidRDefault="005659E7" w:rsidP="005659E7">
      <w:pPr>
        <w:pStyle w:val="BodyText"/>
        <w:ind w:left="720"/>
      </w:pPr>
      <w:r>
        <w:t xml:space="preserve">At 15 degrees, the step used for UEs </w:t>
      </w:r>
      <w:sdt>
        <w:sdtPr>
          <w:id w:val="-1200158758"/>
          <w:citation/>
        </w:sdtPr>
        <w:sdtContent>
          <w:r>
            <w:fldChar w:fldCharType="begin"/>
          </w:r>
          <w:r w:rsidRPr="004868B3">
            <w:rPr>
              <w:lang w:val="en-US"/>
            </w:rPr>
            <w:instrText xml:space="preserve"> CITATION CTI16 \l 1053 </w:instrText>
          </w:r>
          <w:r>
            <w:fldChar w:fldCharType="separate"/>
          </w:r>
          <w:r w:rsidRPr="004868B3">
            <w:rPr>
              <w:noProof/>
              <w:lang w:val="en-US"/>
            </w:rPr>
            <w:t>[1]</w:t>
          </w:r>
          <w:r>
            <w:fldChar w:fldCharType="end"/>
          </w:r>
        </w:sdtContent>
      </w:sdt>
      <w:r>
        <w:t xml:space="preserve">, the Summation Error (SE) is about 0.3 dB for the 3GPP integration method for </w:t>
      </w:r>
      <w:proofErr w:type="spellStart"/>
      <w:r>
        <w:t>equi</w:t>
      </w:r>
      <w:proofErr w:type="spellEnd"/>
      <w:r>
        <w:t>-angular sampling.</w:t>
      </w:r>
    </w:p>
    <w:p w14:paraId="5F135560" w14:textId="77777777" w:rsidR="00480B50" w:rsidRDefault="00480B50" w:rsidP="005659E7">
      <w:pPr>
        <w:pStyle w:val="BodyText"/>
        <w:ind w:left="720"/>
      </w:pPr>
    </w:p>
    <w:p w14:paraId="2001752F" w14:textId="77777777" w:rsidR="00480B50" w:rsidRPr="00EC11E4" w:rsidRDefault="005659E7" w:rsidP="005659E7">
      <w:pPr>
        <w:pStyle w:val="BodyText"/>
        <w:ind w:left="720"/>
        <w:rPr>
          <w:u w:val="single"/>
        </w:rPr>
      </w:pPr>
      <w:r w:rsidRPr="00EC11E4">
        <w:rPr>
          <w:b/>
          <w:u w:val="single"/>
        </w:rPr>
        <w:t>Observation 3:</w:t>
      </w:r>
      <w:r w:rsidRPr="00EC11E4">
        <w:rPr>
          <w:u w:val="single"/>
        </w:rPr>
        <w:t xml:space="preserve"> </w:t>
      </w:r>
    </w:p>
    <w:p w14:paraId="5CB659FB" w14:textId="2D931D12" w:rsidR="005659E7" w:rsidRDefault="005659E7" w:rsidP="005659E7">
      <w:pPr>
        <w:pStyle w:val="BodyText"/>
        <w:ind w:left="720"/>
      </w:pPr>
      <w:r>
        <w:t>At 15 degrees the SE is negligible for Fibonacci and FFT methods.</w:t>
      </w:r>
    </w:p>
    <w:p w14:paraId="7FCF0291" w14:textId="77777777" w:rsidR="00480B50" w:rsidRDefault="00480B50" w:rsidP="005659E7">
      <w:pPr>
        <w:pStyle w:val="BodyText"/>
        <w:ind w:left="720"/>
      </w:pPr>
    </w:p>
    <w:p w14:paraId="4B8A208D" w14:textId="77777777" w:rsidR="00480B50" w:rsidRPr="00EC11E4" w:rsidRDefault="005659E7" w:rsidP="005659E7">
      <w:pPr>
        <w:pStyle w:val="BodyText"/>
        <w:ind w:left="720"/>
        <w:rPr>
          <w:u w:val="single"/>
        </w:rPr>
      </w:pPr>
      <w:r w:rsidRPr="00EC11E4">
        <w:rPr>
          <w:b/>
          <w:u w:val="single"/>
        </w:rPr>
        <w:t>Observation 4:</w:t>
      </w:r>
      <w:r w:rsidRPr="00EC11E4">
        <w:rPr>
          <w:u w:val="single"/>
        </w:rPr>
        <w:t xml:space="preserve"> </w:t>
      </w:r>
    </w:p>
    <w:p w14:paraId="5AA6D277" w14:textId="73BCB27D" w:rsidR="005659E7" w:rsidRDefault="005659E7" w:rsidP="005659E7">
      <w:pPr>
        <w:pStyle w:val="BodyText"/>
        <w:ind w:left="720"/>
      </w:pPr>
      <w:r>
        <w:t xml:space="preserve">The agreed SE for FR1 (0.75 dB) and FR2 (1.2 dB) </w:t>
      </w:r>
      <w:proofErr w:type="gramStart"/>
      <w:r>
        <w:t>are</w:t>
      </w:r>
      <w:proofErr w:type="gramEnd"/>
      <w:r>
        <w:t xml:space="preserve"> not compatible with any numerical integration method investigated at 15 degrees sampling.</w:t>
      </w:r>
    </w:p>
    <w:p w14:paraId="29185F52" w14:textId="77777777" w:rsidR="00480B50" w:rsidRDefault="00480B50" w:rsidP="005659E7">
      <w:pPr>
        <w:pStyle w:val="BodyText"/>
        <w:ind w:left="720"/>
      </w:pPr>
    </w:p>
    <w:p w14:paraId="2D320A2A" w14:textId="77777777" w:rsidR="00480B50" w:rsidRPr="00EC11E4" w:rsidRDefault="005659E7" w:rsidP="005659E7">
      <w:pPr>
        <w:pStyle w:val="BodyText"/>
        <w:ind w:left="720"/>
        <w:rPr>
          <w:u w:val="single"/>
        </w:rPr>
      </w:pPr>
      <w:bookmarkStart w:id="3" w:name="_GoBack"/>
      <w:r w:rsidRPr="00EC11E4">
        <w:rPr>
          <w:b/>
          <w:u w:val="single"/>
        </w:rPr>
        <w:t>Observation 5:</w:t>
      </w:r>
      <w:r w:rsidRPr="00EC11E4">
        <w:rPr>
          <w:u w:val="single"/>
        </w:rPr>
        <w:t xml:space="preserve"> </w:t>
      </w:r>
    </w:p>
    <w:bookmarkEnd w:id="3"/>
    <w:p w14:paraId="4CE508BB" w14:textId="0D0FAB79" w:rsidR="005659E7" w:rsidRPr="00C31442" w:rsidRDefault="005659E7" w:rsidP="005659E7">
      <w:pPr>
        <w:pStyle w:val="BodyText"/>
        <w:ind w:left="720"/>
      </w:pPr>
      <w:r>
        <w:t>Sparser sampling than 72 degrees leads to large errors. The reason is that the EIRP pattern is under-sampled.</w:t>
      </w:r>
    </w:p>
    <w:p w14:paraId="4B9EE6FE" w14:textId="3D0BAED5" w:rsidR="005F68EF" w:rsidRPr="00C31442" w:rsidRDefault="005F68EF" w:rsidP="003F0149">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703CE34" w14:textId="494C2FE7" w:rsidR="007F262B" w:rsidRDefault="008266B4" w:rsidP="003F0149">
      <w:pPr>
        <w:pStyle w:val="BodyText"/>
      </w:pPr>
      <w:r w:rsidRPr="008266B4">
        <w:t xml:space="preserve">The smallest possible angular variations for an EIRP pattern are those for dipole patterns. Such patterns are not constant and therefore a single point of measurement is not possible. It has been shown that 25 angular points are enough if the numerical integration method is optimal (FFT based integration). For the </w:t>
      </w:r>
      <w:proofErr w:type="spellStart"/>
      <w:r w:rsidRPr="008266B4">
        <w:t>equi</w:t>
      </w:r>
      <w:proofErr w:type="spellEnd"/>
      <w:r w:rsidRPr="008266B4">
        <w:t xml:space="preserve">-angular integration method used in 3GPP a </w:t>
      </w:r>
      <w:proofErr w:type="gramStart"/>
      <w:r w:rsidRPr="008266B4">
        <w:t>15 degree</w:t>
      </w:r>
      <w:proofErr w:type="gramEnd"/>
      <w:r w:rsidRPr="008266B4">
        <w:t xml:space="preserve"> angular grid has a summation error (0.3 dB), and this grid is used for UEs [1]. There is a need to introduce an upper limit for the TRP angular reference steps for any grid type and any way to determine the reference angular step. For example: for Vector Wave Sampling Grid this is missing. </w:t>
      </w:r>
      <w:r w:rsidR="007F262B">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CFF3196" w:rsidR="003B61A8" w:rsidRDefault="003B61A8" w:rsidP="003B61A8">
      <w:pPr>
        <w:ind w:left="709" w:hanging="709"/>
      </w:pPr>
      <w:r>
        <w:t>[1]</w:t>
      </w:r>
      <w:r>
        <w:tab/>
      </w:r>
      <w:r w:rsidR="009C1AC0" w:rsidRPr="009C1AC0">
        <w:t>CTIA, Test Plan for Wireless Device Over-the-Air Performance --- Method of Measurement for Radiated RF Power and Receiver Performance, CTIA, 2016.</w:t>
      </w:r>
    </w:p>
    <w:p w14:paraId="751E15A4" w14:textId="099C2FF2" w:rsidR="001305BD" w:rsidRDefault="001305BD" w:rsidP="003B61A8">
      <w:pPr>
        <w:ind w:left="709" w:hanging="709"/>
      </w:pPr>
      <w:r>
        <w:t>[2]</w:t>
      </w:r>
      <w:r>
        <w:tab/>
        <w:t>R4-1900828, “</w:t>
      </w:r>
      <w:r w:rsidR="00006A3A" w:rsidRPr="00006A3A">
        <w:t>Draft CR to TR 38.141-2: Editorial clean-up of TRP measurement section in Annex I</w:t>
      </w:r>
      <w:r>
        <w:t>”, Ericsson, RAN4#90</w:t>
      </w: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079C9" w14:textId="77777777" w:rsidR="00DB7169" w:rsidRDefault="00DB7169">
      <w:r>
        <w:separator/>
      </w:r>
    </w:p>
  </w:endnote>
  <w:endnote w:type="continuationSeparator" w:id="0">
    <w:p w14:paraId="79249B2A" w14:textId="77777777" w:rsidR="00DB7169" w:rsidRDefault="00DB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3483F" w14:textId="77777777" w:rsidR="00DB7169" w:rsidRDefault="00DB7169">
      <w:r>
        <w:separator/>
      </w:r>
    </w:p>
  </w:footnote>
  <w:footnote w:type="continuationSeparator" w:id="0">
    <w:p w14:paraId="0CD87982" w14:textId="77777777" w:rsidR="00DB7169" w:rsidRDefault="00DB7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04C45"/>
    <w:multiLevelType w:val="hybridMultilevel"/>
    <w:tmpl w:val="7E52A5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A3633E7"/>
    <w:multiLevelType w:val="hybridMultilevel"/>
    <w:tmpl w:val="A88454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C70254D"/>
    <w:multiLevelType w:val="hybridMultilevel"/>
    <w:tmpl w:val="4DD07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7"/>
  </w:num>
  <w:num w:numId="7">
    <w:abstractNumId w:val="2"/>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A"/>
    <w:rsid w:val="00033397"/>
    <w:rsid w:val="00040095"/>
    <w:rsid w:val="00046329"/>
    <w:rsid w:val="00047444"/>
    <w:rsid w:val="00051834"/>
    <w:rsid w:val="00054A22"/>
    <w:rsid w:val="000560CC"/>
    <w:rsid w:val="000655A6"/>
    <w:rsid w:val="00080512"/>
    <w:rsid w:val="000827CB"/>
    <w:rsid w:val="00087CFE"/>
    <w:rsid w:val="00094D53"/>
    <w:rsid w:val="00096009"/>
    <w:rsid w:val="000D58AB"/>
    <w:rsid w:val="000D696C"/>
    <w:rsid w:val="000E1DEA"/>
    <w:rsid w:val="000E632F"/>
    <w:rsid w:val="000F0805"/>
    <w:rsid w:val="00106F91"/>
    <w:rsid w:val="001305BD"/>
    <w:rsid w:val="00144A01"/>
    <w:rsid w:val="00155B44"/>
    <w:rsid w:val="00161F4B"/>
    <w:rsid w:val="00176C71"/>
    <w:rsid w:val="001862BC"/>
    <w:rsid w:val="0018641F"/>
    <w:rsid w:val="001C1DF4"/>
    <w:rsid w:val="001D02C2"/>
    <w:rsid w:val="001E62AA"/>
    <w:rsid w:val="001F168B"/>
    <w:rsid w:val="001F33FD"/>
    <w:rsid w:val="00231DE5"/>
    <w:rsid w:val="0023254C"/>
    <w:rsid w:val="002347A2"/>
    <w:rsid w:val="00241D8F"/>
    <w:rsid w:val="00280CDB"/>
    <w:rsid w:val="002A0978"/>
    <w:rsid w:val="002B067D"/>
    <w:rsid w:val="002B0AA9"/>
    <w:rsid w:val="002B0B48"/>
    <w:rsid w:val="002E2D39"/>
    <w:rsid w:val="002F1E03"/>
    <w:rsid w:val="003172DC"/>
    <w:rsid w:val="003348D7"/>
    <w:rsid w:val="0034367F"/>
    <w:rsid w:val="0035462D"/>
    <w:rsid w:val="00361E87"/>
    <w:rsid w:val="003B1D4A"/>
    <w:rsid w:val="003B61A8"/>
    <w:rsid w:val="003C0B2F"/>
    <w:rsid w:val="003C3971"/>
    <w:rsid w:val="003F0149"/>
    <w:rsid w:val="004239C7"/>
    <w:rsid w:val="00424BFB"/>
    <w:rsid w:val="00480B50"/>
    <w:rsid w:val="00492208"/>
    <w:rsid w:val="004A4210"/>
    <w:rsid w:val="004B372C"/>
    <w:rsid w:val="004B5078"/>
    <w:rsid w:val="004C43A9"/>
    <w:rsid w:val="004D3578"/>
    <w:rsid w:val="004E0C1D"/>
    <w:rsid w:val="004E213A"/>
    <w:rsid w:val="004E29CC"/>
    <w:rsid w:val="004F4D5A"/>
    <w:rsid w:val="00543E6C"/>
    <w:rsid w:val="00562810"/>
    <w:rsid w:val="00565087"/>
    <w:rsid w:val="005659E7"/>
    <w:rsid w:val="00567D27"/>
    <w:rsid w:val="00574738"/>
    <w:rsid w:val="00592A9D"/>
    <w:rsid w:val="00594E26"/>
    <w:rsid w:val="005B3C73"/>
    <w:rsid w:val="005B4A0A"/>
    <w:rsid w:val="005C2897"/>
    <w:rsid w:val="005C7173"/>
    <w:rsid w:val="005D2E01"/>
    <w:rsid w:val="005D3EE8"/>
    <w:rsid w:val="005F0CA3"/>
    <w:rsid w:val="005F68EF"/>
    <w:rsid w:val="00612061"/>
    <w:rsid w:val="00614FDF"/>
    <w:rsid w:val="0062745C"/>
    <w:rsid w:val="006437A9"/>
    <w:rsid w:val="006639DB"/>
    <w:rsid w:val="00674E7D"/>
    <w:rsid w:val="006D1100"/>
    <w:rsid w:val="006D1753"/>
    <w:rsid w:val="006E5C86"/>
    <w:rsid w:val="007148E4"/>
    <w:rsid w:val="007170B2"/>
    <w:rsid w:val="00734A5B"/>
    <w:rsid w:val="00744E76"/>
    <w:rsid w:val="007577CB"/>
    <w:rsid w:val="00771315"/>
    <w:rsid w:val="00771686"/>
    <w:rsid w:val="00781F0F"/>
    <w:rsid w:val="007A0F21"/>
    <w:rsid w:val="007A2E78"/>
    <w:rsid w:val="007B4A73"/>
    <w:rsid w:val="007C4C45"/>
    <w:rsid w:val="007F262B"/>
    <w:rsid w:val="007F52D4"/>
    <w:rsid w:val="008028A4"/>
    <w:rsid w:val="00805820"/>
    <w:rsid w:val="008266B4"/>
    <w:rsid w:val="00826F97"/>
    <w:rsid w:val="00843454"/>
    <w:rsid w:val="00872E34"/>
    <w:rsid w:val="008768CA"/>
    <w:rsid w:val="008877E6"/>
    <w:rsid w:val="00897DCE"/>
    <w:rsid w:val="008B735F"/>
    <w:rsid w:val="008C0085"/>
    <w:rsid w:val="008C2529"/>
    <w:rsid w:val="008F6912"/>
    <w:rsid w:val="0090271F"/>
    <w:rsid w:val="00902E23"/>
    <w:rsid w:val="0090598A"/>
    <w:rsid w:val="00907978"/>
    <w:rsid w:val="0091348E"/>
    <w:rsid w:val="009154DC"/>
    <w:rsid w:val="00917CCB"/>
    <w:rsid w:val="009228DF"/>
    <w:rsid w:val="0092774C"/>
    <w:rsid w:val="00942EC2"/>
    <w:rsid w:val="00944C13"/>
    <w:rsid w:val="00974355"/>
    <w:rsid w:val="009830B8"/>
    <w:rsid w:val="009A2D2D"/>
    <w:rsid w:val="009B13F6"/>
    <w:rsid w:val="009B5100"/>
    <w:rsid w:val="009C1AC0"/>
    <w:rsid w:val="009F37B7"/>
    <w:rsid w:val="00A10F02"/>
    <w:rsid w:val="00A164B4"/>
    <w:rsid w:val="00A53724"/>
    <w:rsid w:val="00A82346"/>
    <w:rsid w:val="00AB2E43"/>
    <w:rsid w:val="00AC17A1"/>
    <w:rsid w:val="00B14246"/>
    <w:rsid w:val="00B15449"/>
    <w:rsid w:val="00B476B7"/>
    <w:rsid w:val="00B57386"/>
    <w:rsid w:val="00B96C0C"/>
    <w:rsid w:val="00BA7187"/>
    <w:rsid w:val="00BC0F7D"/>
    <w:rsid w:val="00BF1095"/>
    <w:rsid w:val="00BF1C81"/>
    <w:rsid w:val="00C17A60"/>
    <w:rsid w:val="00C26EB7"/>
    <w:rsid w:val="00C33079"/>
    <w:rsid w:val="00C371B3"/>
    <w:rsid w:val="00C45231"/>
    <w:rsid w:val="00C6035E"/>
    <w:rsid w:val="00C72833"/>
    <w:rsid w:val="00C92C8B"/>
    <w:rsid w:val="00C93F40"/>
    <w:rsid w:val="00CA3B1D"/>
    <w:rsid w:val="00CA3D0C"/>
    <w:rsid w:val="00CA3D41"/>
    <w:rsid w:val="00CA47BF"/>
    <w:rsid w:val="00CB380A"/>
    <w:rsid w:val="00CC3F7F"/>
    <w:rsid w:val="00CC6B2E"/>
    <w:rsid w:val="00CD110C"/>
    <w:rsid w:val="00CD2E52"/>
    <w:rsid w:val="00D11B3A"/>
    <w:rsid w:val="00D2544C"/>
    <w:rsid w:val="00D4682F"/>
    <w:rsid w:val="00D56778"/>
    <w:rsid w:val="00D738D6"/>
    <w:rsid w:val="00D755EB"/>
    <w:rsid w:val="00D87E00"/>
    <w:rsid w:val="00D9134D"/>
    <w:rsid w:val="00D96451"/>
    <w:rsid w:val="00DA76CC"/>
    <w:rsid w:val="00DA7A03"/>
    <w:rsid w:val="00DB1818"/>
    <w:rsid w:val="00DB7169"/>
    <w:rsid w:val="00DC309B"/>
    <w:rsid w:val="00DC4DA2"/>
    <w:rsid w:val="00DF2B1F"/>
    <w:rsid w:val="00DF62CD"/>
    <w:rsid w:val="00E13370"/>
    <w:rsid w:val="00E41C4A"/>
    <w:rsid w:val="00E448DE"/>
    <w:rsid w:val="00E77645"/>
    <w:rsid w:val="00EA4D1E"/>
    <w:rsid w:val="00EA7C61"/>
    <w:rsid w:val="00EC11E4"/>
    <w:rsid w:val="00EC4A25"/>
    <w:rsid w:val="00EF1994"/>
    <w:rsid w:val="00EF1FC5"/>
    <w:rsid w:val="00F025A2"/>
    <w:rsid w:val="00F04712"/>
    <w:rsid w:val="00F22EC7"/>
    <w:rsid w:val="00F26CEE"/>
    <w:rsid w:val="00F653B8"/>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CTI16</b:Tag>
    <b:SourceType>Misc</b:SourceType>
    <b:Guid>{5609391A-07C1-664B-A03F-A49CFF5F7BF5}</b:Guid>
    <b:Author>
      <b:Author>
        <b:Corporate>CTIA</b:Corporate>
      </b:Author>
    </b:Author>
    <b:Title>Test Plan for Wireless Device Over-the-Air Performance --- Method of Measurement for Radiated RF Power and Receiver Performance</b:Title>
    <b:Publisher>CTIA</b:Publisher>
    <b:Year>2016</b:Year>
    <b:RefOrder>1</b:RefOrder>
  </b:Source>
</b:Sources>
</file>

<file path=customXml/itemProps1.xml><?xml version="1.0" encoding="utf-8"?>
<ds:datastoreItem xmlns:ds="http://schemas.openxmlformats.org/officeDocument/2006/customXml" ds:itemID="{3E9D33A3-7682-4EEF-8E02-BA1633D86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1078</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36</cp:revision>
  <dcterms:created xsi:type="dcterms:W3CDTF">2019-04-01T07:58:00Z</dcterms:created>
  <dcterms:modified xsi:type="dcterms:W3CDTF">2019-04-01T16:54:00Z</dcterms:modified>
</cp:coreProperties>
</file>