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CE128" w14:textId="1A8A2B14" w:rsidR="00E90E49" w:rsidRPr="00F6302A" w:rsidRDefault="00E90E49" w:rsidP="00E35559">
      <w:pPr>
        <w:pStyle w:val="3GPPHeader"/>
        <w:spacing w:after="60"/>
        <w:rPr>
          <w:sz w:val="32"/>
          <w:szCs w:val="32"/>
          <w:highlight w:val="yellow"/>
          <w:lang w:val="en-US"/>
        </w:rPr>
      </w:pPr>
      <w:r w:rsidRPr="00F6302A">
        <w:rPr>
          <w:lang w:val="en-US"/>
        </w:rPr>
        <w:t>3GPP TSG-RAN WG</w:t>
      </w:r>
      <w:r w:rsidR="00D24DF6">
        <w:rPr>
          <w:lang w:val="en-US"/>
        </w:rPr>
        <w:t>4</w:t>
      </w:r>
      <w:r w:rsidRPr="00F6302A">
        <w:rPr>
          <w:lang w:val="en-US"/>
        </w:rPr>
        <w:t xml:space="preserve"> #</w:t>
      </w:r>
      <w:r w:rsidR="00D24DF6">
        <w:rPr>
          <w:lang w:val="en-US"/>
        </w:rPr>
        <w:t>90</w:t>
      </w:r>
      <w:r w:rsidR="0087291D">
        <w:rPr>
          <w:lang w:val="en-US"/>
        </w:rPr>
        <w:t>bis</w:t>
      </w:r>
      <w:r w:rsidRPr="00F6302A">
        <w:rPr>
          <w:lang w:val="en-US"/>
        </w:rPr>
        <w:tab/>
      </w:r>
      <w:r w:rsidR="00DE761A">
        <w:rPr>
          <w:sz w:val="32"/>
          <w:szCs w:val="32"/>
          <w:lang w:val="en-US"/>
        </w:rPr>
        <w:t>R4</w:t>
      </w:r>
      <w:r w:rsidR="00091557" w:rsidRPr="00F6302A">
        <w:rPr>
          <w:sz w:val="32"/>
          <w:szCs w:val="32"/>
          <w:lang w:val="en-US"/>
        </w:rPr>
        <w:t>-</w:t>
      </w:r>
      <w:r w:rsidR="00F40F0C">
        <w:rPr>
          <w:sz w:val="32"/>
          <w:szCs w:val="32"/>
          <w:lang w:val="en-US"/>
        </w:rPr>
        <w:t>1</w:t>
      </w:r>
      <w:r w:rsidR="00D24DF6">
        <w:rPr>
          <w:sz w:val="32"/>
          <w:szCs w:val="32"/>
          <w:lang w:val="en-US"/>
        </w:rPr>
        <w:t>9</w:t>
      </w:r>
      <w:r w:rsidR="00FA53B3">
        <w:rPr>
          <w:sz w:val="32"/>
          <w:szCs w:val="32"/>
          <w:lang w:val="en-US"/>
        </w:rPr>
        <w:t>03466</w:t>
      </w:r>
    </w:p>
    <w:p w14:paraId="62667719" w14:textId="6D6B7C08" w:rsidR="00E90E49" w:rsidRPr="00F6302A" w:rsidRDefault="00B80869" w:rsidP="00311702">
      <w:pPr>
        <w:pStyle w:val="3GPPHeader"/>
        <w:rPr>
          <w:lang w:val="en-US"/>
        </w:rPr>
      </w:pPr>
      <w:proofErr w:type="spellStart"/>
      <w:r>
        <w:rPr>
          <w:lang w:val="en-US"/>
        </w:rPr>
        <w:t>Xián</w:t>
      </w:r>
      <w:proofErr w:type="spellEnd"/>
      <w:r w:rsidR="0027144F" w:rsidRPr="0087369A">
        <w:rPr>
          <w:lang w:val="en-US"/>
        </w:rPr>
        <w:t xml:space="preserve">, </w:t>
      </w:r>
      <w:r w:rsidR="00120075">
        <w:rPr>
          <w:lang w:val="en-US"/>
        </w:rPr>
        <w:t>China</w:t>
      </w:r>
      <w:r w:rsidR="0027144F" w:rsidRPr="0087369A">
        <w:rPr>
          <w:lang w:val="en-US"/>
        </w:rPr>
        <w:t xml:space="preserve">, </w:t>
      </w:r>
      <w:r w:rsidR="00120075">
        <w:rPr>
          <w:lang w:val="en-US"/>
        </w:rPr>
        <w:t>8</w:t>
      </w:r>
      <w:r w:rsidR="0027144F" w:rsidRPr="0087369A">
        <w:rPr>
          <w:vertAlign w:val="superscript"/>
          <w:lang w:val="en-US"/>
        </w:rPr>
        <w:t>th</w:t>
      </w:r>
      <w:r w:rsidR="00D24DF6" w:rsidRPr="0087369A">
        <w:rPr>
          <w:lang w:val="en-US"/>
        </w:rPr>
        <w:t xml:space="preserve"> </w:t>
      </w:r>
      <w:r w:rsidR="00120075">
        <w:rPr>
          <w:lang w:val="en-US"/>
        </w:rPr>
        <w:t>April</w:t>
      </w:r>
      <w:r w:rsidR="0027144F" w:rsidRPr="0087369A">
        <w:rPr>
          <w:lang w:val="en-US"/>
        </w:rPr>
        <w:t xml:space="preserve"> – </w:t>
      </w:r>
      <w:r w:rsidR="00120075">
        <w:rPr>
          <w:lang w:val="en-US"/>
        </w:rPr>
        <w:t>12</w:t>
      </w:r>
      <w:r w:rsidR="00120075" w:rsidRPr="00120075">
        <w:rPr>
          <w:vertAlign w:val="superscript"/>
          <w:lang w:val="en-US"/>
        </w:rPr>
        <w:t>th</w:t>
      </w:r>
      <w:r w:rsidR="00120075">
        <w:rPr>
          <w:lang w:val="en-US"/>
        </w:rPr>
        <w:t xml:space="preserve"> April</w:t>
      </w:r>
      <w:r w:rsidR="0027144F" w:rsidRPr="0087369A">
        <w:rPr>
          <w:lang w:val="en-US"/>
        </w:rPr>
        <w:t xml:space="preserve"> 20</w:t>
      </w:r>
      <w:r w:rsidR="00F40F0C" w:rsidRPr="0087369A">
        <w:rPr>
          <w:lang w:val="en-US"/>
        </w:rPr>
        <w:t>1</w:t>
      </w:r>
      <w:r w:rsidR="00D24DF6" w:rsidRPr="0087369A">
        <w:rPr>
          <w:lang w:val="en-US"/>
        </w:rPr>
        <w:t>9</w:t>
      </w:r>
    </w:p>
    <w:p w14:paraId="0FF3E36F" w14:textId="77777777" w:rsidR="00E90E49" w:rsidRPr="00F6302A" w:rsidRDefault="00E90E49" w:rsidP="00357380">
      <w:pPr>
        <w:pStyle w:val="3GPPHeader"/>
        <w:rPr>
          <w:lang w:val="en-US"/>
        </w:rPr>
      </w:pPr>
    </w:p>
    <w:p w14:paraId="1A68DBA3"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43BECC8A" w14:textId="19D0832C"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852F4A">
        <w:rPr>
          <w:sz w:val="22"/>
          <w:lang w:val="en-US"/>
        </w:rPr>
        <w:t xml:space="preserve">TP to TR: </w:t>
      </w:r>
      <w:r w:rsidR="00DB3E1B" w:rsidRPr="0087369A">
        <w:rPr>
          <w:sz w:val="22"/>
          <w:lang w:val="en-US"/>
        </w:rPr>
        <w:t xml:space="preserve">7-24 GHz </w:t>
      </w:r>
      <w:r w:rsidR="00D82BB5">
        <w:rPr>
          <w:sz w:val="22"/>
          <w:lang w:val="en-US"/>
        </w:rPr>
        <w:t>Phase Noise</w:t>
      </w:r>
      <w:r w:rsidR="00852F4A">
        <w:rPr>
          <w:sz w:val="22"/>
          <w:lang w:val="en-US"/>
        </w:rPr>
        <w:t xml:space="preserve"> trends</w:t>
      </w:r>
    </w:p>
    <w:p w14:paraId="09B99930" w14:textId="7CA9A68B" w:rsidR="00DE761A" w:rsidRPr="00736B5E" w:rsidRDefault="00DE761A" w:rsidP="00DE761A">
      <w:pPr>
        <w:pStyle w:val="3GPPHeader"/>
        <w:rPr>
          <w:sz w:val="22"/>
        </w:rPr>
      </w:pPr>
      <w:r w:rsidRPr="00736B5E">
        <w:rPr>
          <w:sz w:val="22"/>
        </w:rPr>
        <w:t>Agenda Item:</w:t>
      </w:r>
      <w:r w:rsidRPr="00736B5E">
        <w:rPr>
          <w:sz w:val="22"/>
        </w:rPr>
        <w:tab/>
      </w:r>
      <w:r w:rsidR="005C31D4" w:rsidRPr="00E51251">
        <w:rPr>
          <w:sz w:val="22"/>
        </w:rPr>
        <w:t>10.4.5</w:t>
      </w:r>
    </w:p>
    <w:p w14:paraId="30366BC1" w14:textId="2DC7B142" w:rsidR="00E90E49" w:rsidRPr="00F6302A" w:rsidRDefault="00E90E49" w:rsidP="00AB7731">
      <w:pPr>
        <w:pStyle w:val="3GPPHeader"/>
        <w:rPr>
          <w:lang w:val="en-US"/>
        </w:rPr>
      </w:pPr>
      <w:r w:rsidRPr="00D66155">
        <w:rPr>
          <w:sz w:val="22"/>
          <w:lang w:val="en-US"/>
        </w:rPr>
        <w:t>Document for:</w:t>
      </w:r>
      <w:r w:rsidRPr="00D66155">
        <w:rPr>
          <w:sz w:val="22"/>
          <w:lang w:val="en-US"/>
        </w:rPr>
        <w:tab/>
      </w:r>
      <w:r w:rsidR="00FA53B3">
        <w:rPr>
          <w:sz w:val="22"/>
          <w:lang w:val="en-US"/>
        </w:rPr>
        <w:t>Approval</w:t>
      </w:r>
      <w:bookmarkStart w:id="0" w:name="_GoBack"/>
      <w:bookmarkEnd w:id="0"/>
    </w:p>
    <w:p w14:paraId="6ECDE7A2" w14:textId="3A8578DB" w:rsidR="004E1BF1" w:rsidRDefault="004E1BF1" w:rsidP="004E1BF1">
      <w:pPr>
        <w:pStyle w:val="Heading1"/>
        <w:keepLines w:val="0"/>
        <w:numPr>
          <w:ilvl w:val="0"/>
          <w:numId w:val="19"/>
        </w:numPr>
        <w:pBdr>
          <w:top w:val="none" w:sz="0" w:space="0" w:color="auto"/>
        </w:pBdr>
        <w:overflowPunct/>
        <w:autoSpaceDE/>
        <w:autoSpaceDN/>
        <w:adjustRightInd/>
        <w:spacing w:before="0" w:after="240"/>
        <w:ind w:right="284" w:hanging="720"/>
        <w:textAlignment w:val="auto"/>
      </w:pPr>
      <w:r>
        <w:t>Background</w:t>
      </w:r>
    </w:p>
    <w:p w14:paraId="2D7A492B" w14:textId="1D09613D" w:rsidR="00E05AB2" w:rsidRDefault="00E05AB2" w:rsidP="00E05AB2">
      <w:pPr>
        <w:rPr>
          <w:rFonts w:ascii="Arial" w:hAnsi="Arial" w:cs="Arial"/>
          <w:lang w:eastAsia="zh-CN"/>
        </w:rPr>
      </w:pPr>
      <w:r>
        <w:rPr>
          <w:rFonts w:ascii="Arial" w:hAnsi="Arial" w:cs="Arial"/>
          <w:lang w:eastAsia="zh-CN"/>
        </w:rPr>
        <w:t xml:space="preserve">In [1], </w:t>
      </w:r>
      <w:r w:rsidR="00AC2F16">
        <w:rPr>
          <w:rFonts w:ascii="Arial" w:hAnsi="Arial" w:cs="Arial"/>
          <w:lang w:eastAsia="zh-CN"/>
        </w:rPr>
        <w:t xml:space="preserve">the </w:t>
      </w:r>
      <w:r w:rsidR="00420764">
        <w:rPr>
          <w:rFonts w:ascii="Arial" w:hAnsi="Arial" w:cs="Arial"/>
          <w:lang w:eastAsia="zh-CN"/>
        </w:rPr>
        <w:t>Phase noise performance</w:t>
      </w:r>
      <w:r w:rsidR="000C4F16">
        <w:rPr>
          <w:rFonts w:ascii="Arial" w:hAnsi="Arial" w:cs="Arial"/>
          <w:lang w:eastAsia="zh-CN"/>
        </w:rPr>
        <w:t xml:space="preserve"> in terms of </w:t>
      </w:r>
      <w:proofErr w:type="spellStart"/>
      <w:r w:rsidR="000C4F16">
        <w:rPr>
          <w:rFonts w:ascii="Arial" w:hAnsi="Arial" w:cs="Arial"/>
          <w:lang w:eastAsia="zh-CN"/>
        </w:rPr>
        <w:t>FoM</w:t>
      </w:r>
      <w:proofErr w:type="spellEnd"/>
      <w:r w:rsidR="000C4F16">
        <w:rPr>
          <w:rFonts w:ascii="Arial" w:hAnsi="Arial" w:cs="Arial"/>
          <w:lang w:eastAsia="zh-CN"/>
        </w:rPr>
        <w:t xml:space="preserve"> </w:t>
      </w:r>
      <w:r w:rsidR="00115F6A">
        <w:rPr>
          <w:rFonts w:ascii="Arial" w:hAnsi="Arial" w:cs="Arial"/>
          <w:lang w:eastAsia="zh-CN"/>
        </w:rPr>
        <w:t xml:space="preserve">(Figure of Merit) </w:t>
      </w:r>
      <w:r w:rsidR="003261D6">
        <w:rPr>
          <w:rFonts w:ascii="Arial" w:hAnsi="Arial" w:cs="Arial"/>
          <w:lang w:eastAsia="zh-CN"/>
        </w:rPr>
        <w:t xml:space="preserve">considering </w:t>
      </w:r>
      <w:r w:rsidR="003852F9">
        <w:rPr>
          <w:rFonts w:ascii="Arial" w:hAnsi="Arial" w:cs="Arial"/>
          <w:lang w:eastAsia="zh-CN"/>
        </w:rPr>
        <w:t xml:space="preserve">empirical data and </w:t>
      </w:r>
      <w:r w:rsidR="003261D6">
        <w:rPr>
          <w:rFonts w:ascii="Arial" w:hAnsi="Arial" w:cs="Arial"/>
          <w:lang w:eastAsia="zh-CN"/>
        </w:rPr>
        <w:t>VCO tuning range</w:t>
      </w:r>
      <w:r w:rsidR="00420764">
        <w:rPr>
          <w:rFonts w:ascii="Arial" w:hAnsi="Arial" w:cs="Arial"/>
          <w:lang w:eastAsia="zh-CN"/>
        </w:rPr>
        <w:t xml:space="preserve"> for various</w:t>
      </w:r>
      <w:r w:rsidR="00AC2F16">
        <w:rPr>
          <w:rFonts w:ascii="Arial" w:hAnsi="Arial" w:cs="Arial"/>
          <w:lang w:eastAsia="zh-CN"/>
        </w:rPr>
        <w:t xml:space="preserve"> </w:t>
      </w:r>
      <w:r w:rsidR="00115F6A">
        <w:rPr>
          <w:rFonts w:ascii="Arial" w:hAnsi="Arial" w:cs="Arial"/>
          <w:lang w:eastAsia="zh-CN"/>
        </w:rPr>
        <w:t>Silicon based</w:t>
      </w:r>
      <w:r w:rsidR="00D24AA0">
        <w:rPr>
          <w:rFonts w:ascii="Arial" w:hAnsi="Arial" w:cs="Arial"/>
          <w:lang w:eastAsia="zh-CN"/>
        </w:rPr>
        <w:t xml:space="preserve"> </w:t>
      </w:r>
      <w:r w:rsidR="00AC2F16">
        <w:rPr>
          <w:rFonts w:ascii="Arial" w:hAnsi="Arial" w:cs="Arial"/>
          <w:lang w:eastAsia="zh-CN"/>
        </w:rPr>
        <w:t>technologies was presented</w:t>
      </w:r>
      <w:r w:rsidR="0079355A">
        <w:rPr>
          <w:rFonts w:ascii="Arial" w:hAnsi="Arial" w:cs="Arial"/>
          <w:lang w:eastAsia="zh-CN"/>
        </w:rPr>
        <w:t xml:space="preserve">. </w:t>
      </w:r>
      <w:r w:rsidR="003261D6">
        <w:rPr>
          <w:rFonts w:ascii="Arial" w:hAnsi="Arial" w:cs="Arial"/>
          <w:lang w:eastAsia="zh-CN"/>
        </w:rPr>
        <w:t xml:space="preserve">As phase noise degrades over frequency and </w:t>
      </w:r>
      <w:r w:rsidR="001C10D7">
        <w:rPr>
          <w:rFonts w:ascii="Arial" w:hAnsi="Arial" w:cs="Arial"/>
          <w:lang w:eastAsia="zh-CN"/>
        </w:rPr>
        <w:t>is essential to consider for reaching certain signal quality (EVM)</w:t>
      </w:r>
      <w:r w:rsidR="00C22108">
        <w:rPr>
          <w:rFonts w:ascii="Arial" w:hAnsi="Arial" w:cs="Arial"/>
          <w:lang w:eastAsia="zh-CN"/>
        </w:rPr>
        <w:t xml:space="preserve"> and selection of proper numerology</w:t>
      </w:r>
      <w:r w:rsidR="001C10D7">
        <w:rPr>
          <w:rFonts w:ascii="Arial" w:hAnsi="Arial" w:cs="Arial"/>
          <w:lang w:eastAsia="zh-CN"/>
        </w:rPr>
        <w:t xml:space="preserve">, it is essential </w:t>
      </w:r>
      <w:r w:rsidR="00BB6C1D">
        <w:rPr>
          <w:rFonts w:ascii="Arial" w:hAnsi="Arial" w:cs="Arial"/>
          <w:lang w:eastAsia="zh-CN"/>
        </w:rPr>
        <w:t>to document the phase noise performance for frequency ranges 7-24 GHz</w:t>
      </w:r>
      <w:r w:rsidR="003D37C4">
        <w:rPr>
          <w:rFonts w:ascii="Arial" w:hAnsi="Arial" w:cs="Arial"/>
          <w:lang w:eastAsia="zh-CN"/>
        </w:rPr>
        <w:t xml:space="preserve"> which needs to be considered when </w:t>
      </w:r>
      <w:r w:rsidR="00C22108">
        <w:rPr>
          <w:rFonts w:ascii="Arial" w:hAnsi="Arial" w:cs="Arial"/>
          <w:lang w:eastAsia="zh-CN"/>
        </w:rPr>
        <w:t xml:space="preserve">specific frequency bands </w:t>
      </w:r>
      <w:r w:rsidR="008B5ECD">
        <w:rPr>
          <w:rFonts w:ascii="Arial" w:hAnsi="Arial" w:cs="Arial"/>
          <w:lang w:eastAsia="zh-CN"/>
        </w:rPr>
        <w:t>in future WI will be standardized.</w:t>
      </w:r>
      <w:r w:rsidR="00C22108">
        <w:rPr>
          <w:rFonts w:ascii="Arial" w:hAnsi="Arial" w:cs="Arial"/>
          <w:lang w:eastAsia="zh-CN"/>
        </w:rPr>
        <w:t xml:space="preserve"> </w:t>
      </w:r>
    </w:p>
    <w:p w14:paraId="640B2501" w14:textId="791A9EB5" w:rsidR="00FC2ACF" w:rsidRPr="00E05AB2" w:rsidRDefault="00F25593" w:rsidP="00E05AB2">
      <w:pPr>
        <w:rPr>
          <w:rFonts w:ascii="Arial" w:hAnsi="Arial" w:cs="Arial"/>
          <w:lang w:eastAsia="zh-CN"/>
        </w:rPr>
      </w:pPr>
      <w:r>
        <w:rPr>
          <w:rFonts w:ascii="Arial" w:hAnsi="Arial" w:cs="Arial"/>
          <w:lang w:eastAsia="zh-CN"/>
        </w:rPr>
        <w:t>The intention with this paper is to propose text</w:t>
      </w:r>
      <w:r w:rsidR="00F5074B">
        <w:rPr>
          <w:rFonts w:ascii="Arial" w:hAnsi="Arial" w:cs="Arial"/>
          <w:lang w:eastAsia="zh-CN"/>
        </w:rPr>
        <w:t xml:space="preserve"> to capture</w:t>
      </w:r>
      <w:r>
        <w:rPr>
          <w:rFonts w:ascii="Arial" w:hAnsi="Arial" w:cs="Arial"/>
          <w:lang w:eastAsia="zh-CN"/>
        </w:rPr>
        <w:t xml:space="preserve"> the </w:t>
      </w:r>
      <w:r w:rsidR="00FC1E13">
        <w:rPr>
          <w:rFonts w:ascii="Arial" w:hAnsi="Arial" w:cs="Arial"/>
          <w:lang w:eastAsia="zh-CN"/>
        </w:rPr>
        <w:t>phase noise performance</w:t>
      </w:r>
      <w:r>
        <w:rPr>
          <w:rFonts w:ascii="Arial" w:hAnsi="Arial" w:cs="Arial"/>
          <w:lang w:eastAsia="zh-CN"/>
        </w:rPr>
        <w:t xml:space="preserve"> trends for </w:t>
      </w:r>
      <w:r w:rsidR="00115F6A">
        <w:rPr>
          <w:rFonts w:ascii="Arial" w:hAnsi="Arial" w:cs="Arial"/>
          <w:lang w:eastAsia="zh-CN"/>
        </w:rPr>
        <w:t>Silicon based</w:t>
      </w:r>
      <w:r>
        <w:rPr>
          <w:rFonts w:ascii="Arial" w:hAnsi="Arial" w:cs="Arial"/>
          <w:lang w:eastAsia="zh-CN"/>
        </w:rPr>
        <w:t xml:space="preserve"> technologies.</w:t>
      </w:r>
    </w:p>
    <w:p w14:paraId="7D23740F" w14:textId="77777777" w:rsidR="004E1BF1" w:rsidRPr="004E1BF1" w:rsidRDefault="004E1BF1" w:rsidP="004E1BF1">
      <w:pPr>
        <w:pBdr>
          <w:bottom w:val="single" w:sz="4" w:space="1" w:color="auto"/>
        </w:pBdr>
        <w:rPr>
          <w:rFonts w:ascii="Arial" w:hAnsi="Arial" w:cs="Arial"/>
          <w:lang w:val="en-US"/>
        </w:rPr>
      </w:pPr>
    </w:p>
    <w:p w14:paraId="5428521E" w14:textId="77777777" w:rsidR="004E1BF1" w:rsidRDefault="004E1BF1" w:rsidP="004E1BF1">
      <w:pPr>
        <w:pStyle w:val="Heading1"/>
        <w:keepLines w:val="0"/>
        <w:numPr>
          <w:ilvl w:val="0"/>
          <w:numId w:val="19"/>
        </w:numPr>
        <w:pBdr>
          <w:top w:val="none" w:sz="0" w:space="0" w:color="auto"/>
        </w:pBdr>
        <w:overflowPunct/>
        <w:autoSpaceDE/>
        <w:autoSpaceDN/>
        <w:adjustRightInd/>
        <w:spacing w:before="0" w:after="240"/>
        <w:ind w:right="284" w:hanging="720"/>
        <w:textAlignment w:val="auto"/>
      </w:pPr>
      <w:r>
        <w:t>Proposal</w:t>
      </w:r>
    </w:p>
    <w:p w14:paraId="29E32DAE" w14:textId="720131D9" w:rsidR="004E1BF1" w:rsidRPr="004972D4" w:rsidRDefault="004E1BF1" w:rsidP="004E1BF1">
      <w:pPr>
        <w:pStyle w:val="BodyText"/>
        <w:rPr>
          <w:rFonts w:ascii="Arial" w:hAnsi="Arial" w:cs="Arial"/>
          <w:lang w:val="en-US"/>
        </w:rPr>
      </w:pPr>
      <w:r w:rsidRPr="004972D4">
        <w:rPr>
          <w:rFonts w:ascii="Arial" w:hAnsi="Arial" w:cs="Arial"/>
          <w:lang w:val="en-US"/>
        </w:rPr>
        <w:t>It is proposed that the attached text proposal is included in T</w:t>
      </w:r>
      <w:r w:rsidR="00027AC9" w:rsidRPr="004972D4">
        <w:rPr>
          <w:rFonts w:ascii="Arial" w:hAnsi="Arial" w:cs="Arial"/>
          <w:lang w:val="en-US"/>
        </w:rPr>
        <w:t>R</w:t>
      </w:r>
      <w:r w:rsidRPr="004972D4">
        <w:rPr>
          <w:rFonts w:ascii="Arial" w:hAnsi="Arial" w:cs="Arial"/>
          <w:lang w:val="en-US"/>
        </w:rPr>
        <w:t xml:space="preserve"> </w:t>
      </w:r>
      <w:r w:rsidR="0078039F">
        <w:rPr>
          <w:rFonts w:ascii="Arial" w:hAnsi="Arial" w:cs="Arial"/>
          <w:lang w:val="en-US"/>
        </w:rPr>
        <w:t>38</w:t>
      </w:r>
      <w:r w:rsidR="0078039F" w:rsidRPr="004972D4">
        <w:rPr>
          <w:rFonts w:ascii="Arial" w:hAnsi="Arial" w:cs="Arial"/>
          <w:lang w:val="en-US"/>
        </w:rPr>
        <w:t>.</w:t>
      </w:r>
      <w:r w:rsidR="0078039F">
        <w:rPr>
          <w:rFonts w:ascii="Arial" w:hAnsi="Arial" w:cs="Arial"/>
          <w:lang w:val="en-US"/>
        </w:rPr>
        <w:t>820</w:t>
      </w:r>
      <w:r w:rsidR="0078039F" w:rsidRPr="004972D4">
        <w:rPr>
          <w:rFonts w:ascii="Arial" w:hAnsi="Arial" w:cs="Arial"/>
          <w:lang w:val="en-US"/>
        </w:rPr>
        <w:t xml:space="preserve"> </w:t>
      </w:r>
      <w:r w:rsidRPr="004972D4">
        <w:rPr>
          <w:rFonts w:ascii="Arial" w:hAnsi="Arial" w:cs="Arial"/>
          <w:lang w:val="en-US"/>
        </w:rPr>
        <w:t>[</w:t>
      </w:r>
      <w:r w:rsidR="00B86373" w:rsidRPr="004972D4">
        <w:rPr>
          <w:rFonts w:ascii="Arial" w:hAnsi="Arial" w:cs="Arial"/>
          <w:lang w:val="en-US"/>
        </w:rPr>
        <w:t>2</w:t>
      </w:r>
      <w:r w:rsidRPr="004972D4">
        <w:rPr>
          <w:rFonts w:ascii="Arial" w:hAnsi="Arial" w:cs="Arial"/>
          <w:lang w:val="en-US"/>
        </w:rPr>
        <w:t>].</w:t>
      </w:r>
    </w:p>
    <w:p w14:paraId="0B5C2B74" w14:textId="77777777" w:rsidR="004E1BF1" w:rsidRPr="004E1BF1" w:rsidRDefault="004E1BF1" w:rsidP="004E1BF1">
      <w:pPr>
        <w:rPr>
          <w:lang w:val="en-US"/>
        </w:rPr>
      </w:pPr>
    </w:p>
    <w:p w14:paraId="69FBC04E" w14:textId="77777777" w:rsidR="004E1BF1" w:rsidRPr="004E1BF1" w:rsidRDefault="004E1BF1" w:rsidP="004E1BF1">
      <w:pPr>
        <w:pBdr>
          <w:bottom w:val="single" w:sz="4" w:space="1" w:color="auto"/>
        </w:pBdr>
        <w:rPr>
          <w:rFonts w:ascii="Arial" w:hAnsi="Arial" w:cs="Arial"/>
          <w:lang w:val="en-US"/>
        </w:rPr>
      </w:pPr>
    </w:p>
    <w:p w14:paraId="7A0D4EE4" w14:textId="77777777" w:rsidR="004E1BF1" w:rsidRDefault="004E1BF1" w:rsidP="004E1BF1">
      <w:pPr>
        <w:pStyle w:val="Heading1"/>
        <w:keepLines w:val="0"/>
        <w:numPr>
          <w:ilvl w:val="0"/>
          <w:numId w:val="19"/>
        </w:numPr>
        <w:pBdr>
          <w:top w:val="none" w:sz="0" w:space="0" w:color="auto"/>
        </w:pBdr>
        <w:overflowPunct/>
        <w:autoSpaceDE/>
        <w:autoSpaceDN/>
        <w:adjustRightInd/>
        <w:spacing w:before="0" w:after="240"/>
        <w:ind w:right="284" w:hanging="720"/>
        <w:textAlignment w:val="auto"/>
      </w:pPr>
      <w:r>
        <w:t>References</w:t>
      </w:r>
    </w:p>
    <w:p w14:paraId="42044272" w14:textId="6964567E" w:rsidR="004E1BF1" w:rsidRPr="004972D4" w:rsidRDefault="004E1BF1" w:rsidP="004972D4">
      <w:pPr>
        <w:pStyle w:val="BodyText"/>
        <w:spacing w:line="360" w:lineRule="auto"/>
        <w:rPr>
          <w:rFonts w:ascii="Arial" w:hAnsi="Arial" w:cs="Arial"/>
          <w:lang w:val="en-US"/>
        </w:rPr>
      </w:pPr>
      <w:r w:rsidRPr="004972D4">
        <w:rPr>
          <w:rFonts w:ascii="Arial" w:hAnsi="Arial" w:cs="Arial"/>
          <w:lang w:val="en-US"/>
        </w:rPr>
        <w:t>[1]</w:t>
      </w:r>
      <w:r w:rsidRPr="004972D4">
        <w:rPr>
          <w:rFonts w:ascii="Arial" w:hAnsi="Arial" w:cs="Arial"/>
          <w:lang w:val="en-US"/>
        </w:rPr>
        <w:tab/>
        <w:t>R4-1</w:t>
      </w:r>
      <w:r w:rsidR="00287747" w:rsidRPr="004972D4">
        <w:rPr>
          <w:rFonts w:ascii="Arial" w:hAnsi="Arial" w:cs="Arial"/>
          <w:lang w:val="en-US"/>
        </w:rPr>
        <w:t>9</w:t>
      </w:r>
      <w:r w:rsidR="00102947">
        <w:rPr>
          <w:rFonts w:ascii="Arial" w:hAnsi="Arial" w:cs="Arial"/>
          <w:lang w:val="en-US"/>
        </w:rPr>
        <w:t>00832</w:t>
      </w:r>
      <w:r w:rsidRPr="004972D4">
        <w:rPr>
          <w:rFonts w:ascii="Arial" w:hAnsi="Arial" w:cs="Arial"/>
          <w:lang w:val="en-US"/>
        </w:rPr>
        <w:t>, “</w:t>
      </w:r>
      <w:r w:rsidR="00711203" w:rsidRPr="00711203">
        <w:rPr>
          <w:rFonts w:ascii="Arial" w:hAnsi="Arial" w:cs="Arial"/>
          <w:lang w:val="en-US"/>
        </w:rPr>
        <w:t>7-24 GHz technical aspects and considerations</w:t>
      </w:r>
      <w:r w:rsidRPr="004972D4">
        <w:rPr>
          <w:rFonts w:ascii="Arial" w:hAnsi="Arial" w:cs="Arial"/>
          <w:lang w:val="en-US"/>
        </w:rPr>
        <w:t>”, Ericsson</w:t>
      </w:r>
    </w:p>
    <w:p w14:paraId="45986348" w14:textId="5D7BAAEE" w:rsidR="000037C7" w:rsidRPr="004972D4" w:rsidRDefault="00B86373" w:rsidP="004972D4">
      <w:pPr>
        <w:pStyle w:val="BodyText"/>
        <w:spacing w:line="360" w:lineRule="auto"/>
        <w:rPr>
          <w:rFonts w:ascii="Arial" w:hAnsi="Arial" w:cs="Arial"/>
          <w:lang w:val="en-US"/>
        </w:rPr>
      </w:pPr>
      <w:r w:rsidRPr="004972D4">
        <w:rPr>
          <w:rFonts w:ascii="Arial" w:hAnsi="Arial" w:cs="Arial"/>
          <w:lang w:val="en-US"/>
        </w:rPr>
        <w:t>[2]</w:t>
      </w:r>
      <w:r w:rsidRPr="004972D4">
        <w:rPr>
          <w:rFonts w:ascii="Arial" w:hAnsi="Arial" w:cs="Arial"/>
          <w:lang w:val="en-US"/>
        </w:rPr>
        <w:tab/>
      </w:r>
      <w:r w:rsidR="0078039F">
        <w:rPr>
          <w:rFonts w:ascii="Arial" w:hAnsi="Arial" w:cs="Arial"/>
          <w:lang w:val="en-US"/>
        </w:rPr>
        <w:t>TR 38</w:t>
      </w:r>
      <w:r w:rsidR="0078039F" w:rsidRPr="004972D4">
        <w:rPr>
          <w:rFonts w:ascii="Arial" w:hAnsi="Arial" w:cs="Arial"/>
          <w:lang w:val="en-US"/>
        </w:rPr>
        <w:t>.</w:t>
      </w:r>
      <w:r w:rsidR="0078039F">
        <w:rPr>
          <w:rFonts w:ascii="Arial" w:hAnsi="Arial" w:cs="Arial"/>
          <w:lang w:val="en-US"/>
        </w:rPr>
        <w:t>820</w:t>
      </w:r>
      <w:r w:rsidR="00A15D0A">
        <w:rPr>
          <w:rFonts w:ascii="Arial" w:hAnsi="Arial" w:cs="Arial"/>
          <w:lang w:val="en-US"/>
        </w:rPr>
        <w:t>,</w:t>
      </w:r>
      <w:r w:rsidR="003F2966" w:rsidRPr="004972D4">
        <w:rPr>
          <w:rFonts w:ascii="Arial" w:hAnsi="Arial" w:cs="Arial"/>
          <w:lang w:val="en-US"/>
        </w:rPr>
        <w:t xml:space="preserve"> </w:t>
      </w:r>
      <w:r w:rsidR="00A15D0A">
        <w:rPr>
          <w:rFonts w:ascii="Arial" w:hAnsi="Arial" w:cs="Arial"/>
          <w:lang w:val="en-US"/>
        </w:rPr>
        <w:t>“</w:t>
      </w:r>
      <w:r w:rsidR="003F2966" w:rsidRPr="004972D4">
        <w:rPr>
          <w:rFonts w:ascii="Arial" w:hAnsi="Arial" w:cs="Arial"/>
          <w:lang w:val="en-US"/>
        </w:rPr>
        <w:t>7-24 GHz frequency range”</w:t>
      </w:r>
    </w:p>
    <w:p w14:paraId="17DDF2E3" w14:textId="38BBB14D" w:rsidR="000037C7" w:rsidRDefault="000037C7" w:rsidP="00027AC9">
      <w:pPr>
        <w:pStyle w:val="BodyText"/>
        <w:spacing w:line="480" w:lineRule="auto"/>
        <w:rPr>
          <w:lang w:val="en-US"/>
        </w:rPr>
      </w:pPr>
    </w:p>
    <w:p w14:paraId="138DB1B7" w14:textId="3DE76BAF" w:rsidR="000037C7" w:rsidRDefault="000037C7" w:rsidP="00027AC9">
      <w:pPr>
        <w:pStyle w:val="BodyText"/>
        <w:spacing w:line="480" w:lineRule="auto"/>
        <w:rPr>
          <w:lang w:val="en-US"/>
        </w:rPr>
      </w:pPr>
    </w:p>
    <w:p w14:paraId="721AE6DF" w14:textId="0D17F219" w:rsidR="000037C7" w:rsidRDefault="000037C7" w:rsidP="00027AC9">
      <w:pPr>
        <w:pStyle w:val="BodyText"/>
        <w:spacing w:line="480" w:lineRule="auto"/>
        <w:rPr>
          <w:lang w:val="en-US"/>
        </w:rPr>
      </w:pPr>
    </w:p>
    <w:p w14:paraId="2F6C7ADC" w14:textId="75144BD9" w:rsidR="000037C7" w:rsidRDefault="000037C7" w:rsidP="00027AC9">
      <w:pPr>
        <w:pStyle w:val="BodyText"/>
        <w:spacing w:line="480" w:lineRule="auto"/>
        <w:rPr>
          <w:lang w:val="en-US"/>
        </w:rPr>
      </w:pPr>
    </w:p>
    <w:p w14:paraId="1A4A1785" w14:textId="77777777" w:rsidR="000037C7" w:rsidRDefault="000037C7" w:rsidP="000037C7">
      <w:pPr>
        <w:pStyle w:val="Heading2"/>
        <w:numPr>
          <w:ilvl w:val="0"/>
          <w:numId w:val="0"/>
        </w:numPr>
        <w:ind w:left="576" w:hanging="576"/>
      </w:pPr>
      <w:bookmarkStart w:id="1" w:name="_Toc2329514"/>
      <w:r>
        <w:lastRenderedPageBreak/>
        <w:t>6.2</w:t>
      </w:r>
      <w:r w:rsidRPr="00824EAC">
        <w:tab/>
      </w:r>
      <w:r>
        <w:t>Selection of example frequencies</w:t>
      </w:r>
      <w:bookmarkEnd w:id="1"/>
    </w:p>
    <w:p w14:paraId="2774FA79" w14:textId="77777777" w:rsidR="000037C7" w:rsidRPr="000037C7" w:rsidRDefault="000037C7" w:rsidP="000037C7">
      <w:pPr>
        <w:rPr>
          <w:i/>
          <w:color w:val="0000FF"/>
          <w:lang w:val="en-US"/>
        </w:rPr>
      </w:pPr>
      <w:r w:rsidRPr="000037C7">
        <w:rPr>
          <w:i/>
          <w:color w:val="0000FF"/>
          <w:lang w:val="en-US"/>
        </w:rPr>
        <w:t>Editor’s note: Identify representative example frequencies for study</w:t>
      </w:r>
    </w:p>
    <w:p w14:paraId="4DB9AD6D" w14:textId="77777777" w:rsidR="000037C7" w:rsidRDefault="000037C7" w:rsidP="000037C7">
      <w:pPr>
        <w:pStyle w:val="Heading2"/>
        <w:numPr>
          <w:ilvl w:val="0"/>
          <w:numId w:val="0"/>
        </w:numPr>
        <w:ind w:left="576" w:hanging="576"/>
      </w:pPr>
      <w:bookmarkStart w:id="2" w:name="_Toc2329515"/>
      <w:r>
        <w:t>6.3</w:t>
      </w:r>
      <w:r w:rsidRPr="00824EAC">
        <w:tab/>
      </w:r>
      <w:r>
        <w:t>RF technology considerations in the 7-24 GHz range</w:t>
      </w:r>
      <w:bookmarkEnd w:id="2"/>
    </w:p>
    <w:p w14:paraId="3A600931" w14:textId="7D8E1F57" w:rsidR="00FA73A0" w:rsidRPr="00FA73A0" w:rsidRDefault="000037C7" w:rsidP="00FA73A0">
      <w:pPr>
        <w:rPr>
          <w:i/>
          <w:color w:val="0000FF"/>
          <w:lang w:val="en-US"/>
        </w:rPr>
      </w:pPr>
      <w:r w:rsidRPr="000037C7">
        <w:rPr>
          <w:i/>
          <w:color w:val="0000FF"/>
          <w:lang w:val="en-US"/>
        </w:rPr>
        <w:t>Editor’s note: This section is intended to capture conclusions on the performance of key technologies in the BS and UE in the range, such as power amplifiers, filters, receivers, phase noise etc</w:t>
      </w:r>
      <w:bookmarkStart w:id="3" w:name="_Toc2329516"/>
    </w:p>
    <w:p w14:paraId="5886ACDF" w14:textId="62385105" w:rsidR="00FA73A0" w:rsidRDefault="00FA73A0" w:rsidP="000037C7">
      <w:pPr>
        <w:pStyle w:val="Heading2"/>
        <w:numPr>
          <w:ilvl w:val="0"/>
          <w:numId w:val="0"/>
        </w:numPr>
        <w:ind w:left="576" w:hanging="576"/>
      </w:pPr>
      <w:r>
        <w:t>6.3.1 PA trends</w:t>
      </w:r>
    </w:p>
    <w:p w14:paraId="19ED11DD" w14:textId="73946A1C" w:rsidR="00AB3A29" w:rsidRDefault="00AB3A29" w:rsidP="00AB3A29">
      <w:pPr>
        <w:pStyle w:val="Heading2"/>
        <w:numPr>
          <w:ilvl w:val="0"/>
          <w:numId w:val="0"/>
        </w:numPr>
        <w:ind w:left="576" w:hanging="576"/>
      </w:pPr>
      <w:r>
        <w:t>6.3.2 Phase Noise trends</w:t>
      </w:r>
    </w:p>
    <w:p w14:paraId="09C55C9C" w14:textId="77777777" w:rsidR="003852F9" w:rsidRDefault="003852F9" w:rsidP="003852F9">
      <w:pPr>
        <w:pStyle w:val="BodyText"/>
        <w:rPr>
          <w:rFonts w:ascii="Arial" w:hAnsi="Arial" w:cs="Arial"/>
          <w:lang w:val="en-US"/>
        </w:rPr>
      </w:pPr>
      <w:r>
        <w:rPr>
          <w:rFonts w:ascii="Arial" w:hAnsi="Arial" w:cs="Arial"/>
          <w:lang w:val="en-US"/>
        </w:rPr>
        <w:t>Low phase noise is instrumental for low EVM (and high order modulation support) as well as for low impact from blockers due to reciprocal mixing between blocker signal and phase noise. At the same there are limits on attainable levels of phase noise for a given DC power budget and the carrier frequency being considered.</w:t>
      </w:r>
    </w:p>
    <w:p w14:paraId="737E75E1" w14:textId="77777777" w:rsidR="003852F9" w:rsidRDefault="003852F9" w:rsidP="003852F9">
      <w:pPr>
        <w:pStyle w:val="BodyText"/>
        <w:rPr>
          <w:rFonts w:ascii="Arial" w:hAnsi="Arial" w:cs="Arial"/>
          <w:lang w:val="en-US"/>
        </w:rPr>
      </w:pPr>
      <w:r>
        <w:rPr>
          <w:rFonts w:ascii="Arial" w:hAnsi="Arial" w:cs="Arial"/>
          <w:lang w:val="en-US"/>
        </w:rPr>
        <w:t>The Phase Locked Loop (PLL) used to generate the LO signal has a voltage (or digitally) controlled oscillator, here referred to VCO. The VCO dominates power consumption and phase noise of the PLL and dimensioning for the remaining parts of the PLL. The VCO performance is commonly captured through a Figure-of-Merit (</w:t>
      </w:r>
      <w:proofErr w:type="spellStart"/>
      <w:r>
        <w:rPr>
          <w:rFonts w:ascii="Arial" w:hAnsi="Arial" w:cs="Arial"/>
          <w:lang w:val="en-US"/>
        </w:rPr>
        <w:t>FoM</w:t>
      </w:r>
      <w:proofErr w:type="spellEnd"/>
      <w:r>
        <w:rPr>
          <w:rFonts w:ascii="Arial" w:hAnsi="Arial" w:cs="Arial"/>
          <w:lang w:val="en-US"/>
        </w:rPr>
        <w:t xml:space="preserve">) allowing for comparison of various VCO implementations although they are operating at different frequencies and different levels of phase noise. The </w:t>
      </w:r>
      <w:proofErr w:type="spellStart"/>
      <w:r>
        <w:rPr>
          <w:rFonts w:ascii="Arial" w:hAnsi="Arial" w:cs="Arial"/>
          <w:lang w:val="en-US"/>
        </w:rPr>
        <w:t>FoM</w:t>
      </w:r>
      <w:proofErr w:type="spellEnd"/>
      <w:r>
        <w:rPr>
          <w:rFonts w:ascii="Arial" w:hAnsi="Arial" w:cs="Arial"/>
          <w:lang w:val="en-US"/>
        </w:rPr>
        <w:t xml:space="preserve"> is defined by </w:t>
      </w:r>
    </w:p>
    <w:p w14:paraId="557D3531" w14:textId="77777777" w:rsidR="003852F9" w:rsidRDefault="003852F9" w:rsidP="003852F9">
      <w:pPr>
        <w:pStyle w:val="BodyText"/>
        <w:rPr>
          <w:rFonts w:ascii="Arial" w:hAnsi="Arial" w:cs="Arial"/>
          <w:lang w:val="en-US"/>
        </w:rPr>
      </w:pPr>
      <m:oMathPara>
        <m:oMath>
          <m:r>
            <w:rPr>
              <w:rFonts w:ascii="Cambria Math" w:hAnsi="Cambria Math" w:cs="Arial"/>
              <w:lang w:val="en-US"/>
            </w:rPr>
            <m:t>FoM=</m:t>
          </m:r>
          <m:sSub>
            <m:sSubPr>
              <m:ctrlPr>
                <w:rPr>
                  <w:rFonts w:ascii="Cambria Math" w:hAnsi="Cambria Math" w:cs="Arial"/>
                  <w:i/>
                  <w:lang w:val="en-US"/>
                </w:rPr>
              </m:ctrlPr>
            </m:sSubPr>
            <m:e>
              <m:r>
                <w:rPr>
                  <w:rFonts w:ascii="Cambria Math" w:hAnsi="Cambria Math" w:cs="Arial"/>
                  <w:lang w:val="en-US"/>
                </w:rPr>
                <m:t>PN</m:t>
              </m:r>
            </m:e>
            <m:sub>
              <m:r>
                <w:rPr>
                  <w:rFonts w:ascii="Cambria Math" w:hAnsi="Cambria Math" w:cs="Arial"/>
                  <w:lang w:val="en-US"/>
                </w:rPr>
                <m:t>VCO</m:t>
              </m:r>
            </m:sub>
          </m:sSub>
          <m:d>
            <m:dPr>
              <m:ctrlPr>
                <w:rPr>
                  <w:rFonts w:ascii="Cambria Math" w:hAnsi="Cambria Math" w:cs="Arial"/>
                  <w:i/>
                  <w:lang w:val="en-US"/>
                </w:rPr>
              </m:ctrlPr>
            </m:dPr>
            <m:e>
              <m:r>
                <w:rPr>
                  <w:rFonts w:ascii="Cambria Math" w:hAnsi="Cambria Math" w:cs="Arial"/>
                  <w:lang w:val="en-US"/>
                </w:rPr>
                <m:t>df</m:t>
              </m:r>
            </m:e>
          </m:d>
          <m:r>
            <w:rPr>
              <w:rFonts w:ascii="Cambria Math" w:hAnsi="Cambria Math" w:cs="Arial"/>
              <w:lang w:val="en-US"/>
            </w:rPr>
            <m:t>+20</m:t>
          </m:r>
          <m:func>
            <m:funcPr>
              <m:ctrlPr>
                <w:rPr>
                  <w:rFonts w:ascii="Cambria Math" w:hAnsi="Cambria Math" w:cs="Arial"/>
                  <w:i/>
                  <w:lang w:val="en-US"/>
                </w:rPr>
              </m:ctrlPr>
            </m:funcPr>
            <m:fName>
              <m:r>
                <m:rPr>
                  <m:sty m:val="p"/>
                </m:rPr>
                <w:rPr>
                  <w:rFonts w:ascii="Cambria Math" w:hAnsi="Cambria Math" w:cs="Arial"/>
                  <w:lang w:val="en-US"/>
                </w:rPr>
                <m:t>log</m:t>
              </m:r>
            </m:fName>
            <m:e>
              <m:d>
                <m:dPr>
                  <m:ctrlPr>
                    <w:rPr>
                      <w:rFonts w:ascii="Cambria Math" w:hAnsi="Cambria Math" w:cs="Arial"/>
                      <w:i/>
                      <w:lang w:val="en-US"/>
                    </w:rPr>
                  </m:ctrlPr>
                </m:dPr>
                <m:e>
                  <m:f>
                    <m:fPr>
                      <m:ctrlPr>
                        <w:rPr>
                          <w:rFonts w:ascii="Cambria Math" w:hAnsi="Cambria Math" w:cs="Arial"/>
                          <w:i/>
                          <w:lang w:val="en-US"/>
                        </w:rPr>
                      </m:ctrlPr>
                    </m:fPr>
                    <m:num>
                      <m:r>
                        <w:rPr>
                          <w:rFonts w:ascii="Cambria Math" w:hAnsi="Cambria Math" w:cs="Arial"/>
                          <w:lang w:val="en-US"/>
                        </w:rPr>
                        <m:t>df</m:t>
                      </m:r>
                    </m:num>
                    <m:den>
                      <m:sSub>
                        <m:sSubPr>
                          <m:ctrlPr>
                            <w:rPr>
                              <w:rFonts w:ascii="Cambria Math" w:hAnsi="Cambria Math" w:cs="Arial"/>
                              <w:i/>
                              <w:lang w:val="en-US"/>
                            </w:rPr>
                          </m:ctrlPr>
                        </m:sSubPr>
                        <m:e>
                          <m:r>
                            <w:rPr>
                              <w:rFonts w:ascii="Cambria Math" w:hAnsi="Cambria Math" w:cs="Arial"/>
                              <w:lang w:val="en-US"/>
                            </w:rPr>
                            <m:t>f</m:t>
                          </m:r>
                        </m:e>
                        <m:sub>
                          <m:r>
                            <w:rPr>
                              <w:rFonts w:ascii="Cambria Math" w:hAnsi="Cambria Math" w:cs="Arial"/>
                              <w:lang w:val="en-US"/>
                            </w:rPr>
                            <m:t>o</m:t>
                          </m:r>
                        </m:sub>
                      </m:sSub>
                    </m:den>
                  </m:f>
                </m:e>
              </m:d>
            </m:e>
          </m:func>
          <m:r>
            <w:rPr>
              <w:rFonts w:ascii="Cambria Math" w:hAnsi="Cambria Math" w:cs="Arial"/>
              <w:lang w:val="en-US"/>
            </w:rPr>
            <m:t xml:space="preserve">+10 </m:t>
          </m:r>
          <m:r>
            <m:rPr>
              <m:sty m:val="p"/>
            </m:rPr>
            <w:rPr>
              <w:rFonts w:ascii="Cambria Math" w:hAnsi="Cambria Math" w:cs="Arial"/>
              <w:lang w:val="en-US"/>
            </w:rPr>
            <m:t>log⁡</m:t>
          </m:r>
          <m:r>
            <w:rPr>
              <w:rFonts w:ascii="Cambria Math" w:hAnsi="Cambria Math" w:cs="Arial"/>
              <w:lang w:val="en-US"/>
            </w:rPr>
            <m:t>(</m:t>
          </m:r>
          <m:f>
            <m:fPr>
              <m:ctrlPr>
                <w:rPr>
                  <w:rFonts w:ascii="Cambria Math" w:hAnsi="Cambria Math" w:cs="Arial"/>
                  <w:i/>
                  <w:lang w:val="en-US"/>
                </w:rPr>
              </m:ctrlPr>
            </m:fPr>
            <m:num>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DC</m:t>
                  </m:r>
                </m:sub>
              </m:sSub>
            </m:num>
            <m:den>
              <m:r>
                <w:rPr>
                  <w:rFonts w:ascii="Cambria Math" w:hAnsi="Cambria Math" w:cs="Arial"/>
                  <w:lang w:val="en-US"/>
                </w:rPr>
                <m:t>1</m:t>
              </m:r>
              <m:r>
                <m:rPr>
                  <m:sty m:val="p"/>
                </m:rPr>
                <w:rPr>
                  <w:rFonts w:ascii="Cambria Math" w:hAnsi="Cambria Math" w:cs="Arial"/>
                  <w:lang w:val="en-US"/>
                </w:rPr>
                <m:t>mW</m:t>
              </m:r>
            </m:den>
          </m:f>
          <m:r>
            <w:rPr>
              <w:rFonts w:ascii="Cambria Math" w:hAnsi="Cambria Math" w:cs="Arial"/>
              <w:lang w:val="en-US"/>
            </w:rPr>
            <m:t>)</m:t>
          </m:r>
        </m:oMath>
      </m:oMathPara>
    </w:p>
    <w:p w14:paraId="3F6E8DC4" w14:textId="77777777" w:rsidR="003852F9" w:rsidRDefault="003852F9" w:rsidP="003852F9">
      <w:pPr>
        <w:pStyle w:val="BodyText"/>
        <w:rPr>
          <w:rFonts w:ascii="Arial" w:hAnsi="Arial" w:cs="Arial"/>
          <w:lang w:val="en-US"/>
        </w:rPr>
      </w:pPr>
      <w:r>
        <w:rPr>
          <w:rFonts w:ascii="Arial" w:hAnsi="Arial" w:cs="Arial"/>
          <w:lang w:val="en-US"/>
        </w:rPr>
        <w:t xml:space="preserve">Here </w:t>
      </w:r>
      <m:oMath>
        <m:sSub>
          <m:sSubPr>
            <m:ctrlPr>
              <w:rPr>
                <w:rFonts w:ascii="Cambria Math" w:hAnsi="Cambria Math" w:cs="Arial"/>
                <w:i/>
                <w:lang w:val="en-US"/>
              </w:rPr>
            </m:ctrlPr>
          </m:sSubPr>
          <m:e>
            <m:r>
              <w:rPr>
                <w:rFonts w:ascii="Cambria Math" w:hAnsi="Cambria Math" w:cs="Arial"/>
                <w:lang w:val="en-US"/>
              </w:rPr>
              <m:t>PN</m:t>
            </m:r>
          </m:e>
          <m:sub>
            <m:r>
              <w:rPr>
                <w:rFonts w:ascii="Cambria Math" w:hAnsi="Cambria Math" w:cs="Arial"/>
                <w:lang w:val="en-US"/>
              </w:rPr>
              <m:t>VCO</m:t>
            </m:r>
          </m:sub>
        </m:sSub>
        <m:d>
          <m:dPr>
            <m:ctrlPr>
              <w:rPr>
                <w:rFonts w:ascii="Cambria Math" w:hAnsi="Cambria Math" w:cs="Arial"/>
                <w:i/>
                <w:lang w:val="en-US"/>
              </w:rPr>
            </m:ctrlPr>
          </m:dPr>
          <m:e>
            <m:r>
              <w:rPr>
                <w:rFonts w:ascii="Cambria Math" w:hAnsi="Cambria Math" w:cs="Arial"/>
                <w:lang w:val="en-US"/>
              </w:rPr>
              <m:t>df</m:t>
            </m:r>
          </m:e>
        </m:d>
      </m:oMath>
      <w:r>
        <w:rPr>
          <w:rFonts w:ascii="Arial" w:hAnsi="Arial" w:cs="Arial"/>
          <w:lang w:val="en-US"/>
        </w:rPr>
        <w:t xml:space="preserve"> is the phase noise of the VCO in dBc/Hz at a frequency offset </w:t>
      </w:r>
      <m:oMath>
        <m:r>
          <w:rPr>
            <w:rFonts w:ascii="Cambria Math" w:hAnsi="Cambria Math" w:cs="Arial"/>
            <w:lang w:val="en-US"/>
          </w:rPr>
          <m:t>df</m:t>
        </m:r>
      </m:oMath>
      <w:r>
        <w:rPr>
          <w:rFonts w:ascii="Arial" w:hAnsi="Arial" w:cs="Arial"/>
          <w:lang w:val="en-US"/>
        </w:rPr>
        <w:t xml:space="preserve"> with oscillation frequency </w:t>
      </w:r>
      <m:oMath>
        <m:sSub>
          <m:sSubPr>
            <m:ctrlPr>
              <w:rPr>
                <w:rFonts w:ascii="Cambria Math" w:hAnsi="Cambria Math" w:cs="Arial"/>
                <w:i/>
                <w:lang w:val="en-US"/>
              </w:rPr>
            </m:ctrlPr>
          </m:sSubPr>
          <m:e>
            <m:r>
              <w:rPr>
                <w:rFonts w:ascii="Cambria Math" w:hAnsi="Cambria Math" w:cs="Arial"/>
                <w:lang w:val="en-US"/>
              </w:rPr>
              <m:t>f</m:t>
            </m:r>
          </m:e>
          <m:sub>
            <m:r>
              <w:rPr>
                <w:rFonts w:ascii="Cambria Math" w:hAnsi="Cambria Math" w:cs="Arial"/>
                <w:lang w:val="en-US"/>
              </w:rPr>
              <m:t>0</m:t>
            </m:r>
          </m:sub>
        </m:sSub>
      </m:oMath>
      <w:r>
        <w:rPr>
          <w:rFonts w:ascii="Arial" w:hAnsi="Arial" w:cs="Arial"/>
          <w:lang w:val="en-US"/>
        </w:rPr>
        <w:t xml:space="preserve"> (both in Hz) and power consumption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DC</m:t>
            </m:r>
          </m:sub>
        </m:sSub>
      </m:oMath>
      <w:r>
        <w:rPr>
          <w:rFonts w:ascii="Arial" w:hAnsi="Arial" w:cs="Arial"/>
          <w:lang w:val="en-US"/>
        </w:rPr>
        <w:t xml:space="preserve"> in mW. Thus, lower FoM is better. One noticeable result of this expression is that both phase noise and power consumption in linear power are proportional to</w:t>
      </w:r>
      <w:r>
        <w:rPr>
          <w:rFonts w:ascii="Arial" w:eastAsia="Cambria Math" w:hAnsi="Arial" w:cs="Arial"/>
          <w:lang w:val="en-US"/>
        </w:rPr>
        <w:t xml:space="preserve"> </w:t>
      </w:r>
      <m:oMath>
        <m:sSubSup>
          <m:sSubSupPr>
            <m:ctrlPr>
              <w:rPr>
                <w:rFonts w:ascii="Cambria Math" w:eastAsia="Cambria Math" w:hAnsi="Cambria Math" w:cs="Arial"/>
                <w:i/>
                <w:lang w:val="en-US"/>
              </w:rPr>
            </m:ctrlPr>
          </m:sSubSupPr>
          <m:e>
            <m:r>
              <w:rPr>
                <w:rFonts w:ascii="Cambria Math" w:eastAsia="Cambria Math" w:hAnsi="Cambria Math" w:cs="Arial"/>
                <w:lang w:val="en-US"/>
              </w:rPr>
              <m:t>f</m:t>
            </m:r>
          </m:e>
          <m:sub>
            <m:r>
              <w:rPr>
                <w:rFonts w:ascii="Cambria Math" w:eastAsia="Cambria Math" w:hAnsi="Cambria Math" w:cs="Arial"/>
                <w:lang w:val="en-US"/>
              </w:rPr>
              <m:t>o</m:t>
            </m:r>
          </m:sub>
          <m:sup>
            <m:r>
              <w:rPr>
                <w:rFonts w:ascii="Cambria Math" w:eastAsia="Cambria Math" w:hAnsi="Cambria Math" w:cs="Arial"/>
                <w:lang w:val="en-US"/>
              </w:rPr>
              <m:t>2</m:t>
            </m:r>
          </m:sup>
        </m:sSubSup>
      </m:oMath>
      <w:r>
        <w:rPr>
          <w:rFonts w:ascii="Arial" w:hAnsi="Arial" w:cs="Arial"/>
          <w:lang w:val="en-US"/>
        </w:rPr>
        <w:t xml:space="preserve">. Thus, to maintain a phase noise level at a certain offset while increasing </w:t>
      </w:r>
      <m:oMath>
        <m:sSub>
          <m:sSubPr>
            <m:ctrlPr>
              <w:rPr>
                <w:rFonts w:ascii="Cambria Math" w:hAnsi="Cambria Math" w:cs="Arial"/>
                <w:i/>
                <w:lang w:val="en-US"/>
              </w:rPr>
            </m:ctrlPr>
          </m:sSubPr>
          <m:e>
            <m:r>
              <w:rPr>
                <w:rFonts w:ascii="Cambria Math" w:hAnsi="Cambria Math" w:cs="Arial"/>
                <w:lang w:val="en-US"/>
              </w:rPr>
              <m:t>f</m:t>
            </m:r>
          </m:e>
          <m:sub>
            <m:r>
              <w:rPr>
                <w:rFonts w:ascii="Cambria Math" w:hAnsi="Cambria Math" w:cs="Arial"/>
                <w:lang w:val="en-US"/>
              </w:rPr>
              <m:t>o</m:t>
            </m:r>
          </m:sub>
        </m:sSub>
      </m:oMath>
      <w:r>
        <w:rPr>
          <w:rFonts w:ascii="Arial" w:hAnsi="Arial" w:cs="Arial"/>
          <w:lang w:val="en-US"/>
        </w:rPr>
        <w:t xml:space="preserve"> by a factor R would require the power to be increased by </w:t>
      </w:r>
      <m:oMath>
        <m:sSup>
          <m:sSupPr>
            <m:ctrlPr>
              <w:rPr>
                <w:rFonts w:ascii="Cambria Math" w:hAnsi="Cambria Math" w:cs="Arial"/>
                <w:i/>
                <w:lang w:val="en-US"/>
              </w:rPr>
            </m:ctrlPr>
          </m:sSupPr>
          <m:e>
            <m:r>
              <w:rPr>
                <w:rFonts w:ascii="Cambria Math" w:hAnsi="Cambria Math" w:cs="Arial"/>
                <w:lang w:val="en-US"/>
              </w:rPr>
              <m:t>R</m:t>
            </m:r>
          </m:e>
          <m:sup>
            <m:r>
              <w:rPr>
                <w:rFonts w:ascii="Cambria Math" w:hAnsi="Cambria Math" w:cs="Arial"/>
                <w:lang w:val="en-US"/>
              </w:rPr>
              <m:t>2</m:t>
            </m:r>
          </m:sup>
        </m:sSup>
      </m:oMath>
      <w:r>
        <w:rPr>
          <w:rFonts w:ascii="Arial" w:hAnsi="Arial" w:cs="Arial"/>
          <w:lang w:val="en-US"/>
        </w:rPr>
        <w:t xml:space="preserve"> (assuming a fixed FoM). Conversely, for a fixed power consumption and </w:t>
      </w:r>
      <w:proofErr w:type="spellStart"/>
      <w:r>
        <w:rPr>
          <w:rFonts w:ascii="Arial" w:hAnsi="Arial" w:cs="Arial"/>
          <w:lang w:val="en-US"/>
        </w:rPr>
        <w:t>FoM</w:t>
      </w:r>
      <w:proofErr w:type="spellEnd"/>
      <w:r>
        <w:rPr>
          <w:rFonts w:ascii="Arial" w:hAnsi="Arial" w:cs="Arial"/>
          <w:lang w:val="en-US"/>
        </w:rPr>
        <w:t xml:space="preserve"> the phase noise will increase by </w:t>
      </w:r>
      <m:oMath>
        <m:sSup>
          <m:sSupPr>
            <m:ctrlPr>
              <w:rPr>
                <w:rFonts w:ascii="Cambria Math" w:hAnsi="Cambria Math" w:cs="Arial"/>
                <w:i/>
                <w:lang w:val="en-US"/>
              </w:rPr>
            </m:ctrlPr>
          </m:sSupPr>
          <m:e>
            <m:r>
              <w:rPr>
                <w:rFonts w:ascii="Cambria Math" w:hAnsi="Cambria Math" w:cs="Arial"/>
                <w:lang w:val="en-US"/>
              </w:rPr>
              <m:t>R</m:t>
            </m:r>
          </m:e>
          <m:sup>
            <m:r>
              <w:rPr>
                <w:rFonts w:ascii="Cambria Math" w:hAnsi="Cambria Math" w:cs="Arial"/>
                <w:lang w:val="en-US"/>
              </w:rPr>
              <m:t>2</m:t>
            </m:r>
          </m:sup>
        </m:sSup>
      </m:oMath>
      <w:r>
        <w:rPr>
          <w:rFonts w:ascii="Arial" w:hAnsi="Arial" w:cs="Arial"/>
          <w:lang w:val="en-US"/>
        </w:rPr>
        <w:t xml:space="preserve">, or 6dB per every doubling of </w:t>
      </w:r>
      <m:oMath>
        <m:sSub>
          <m:sSubPr>
            <m:ctrlPr>
              <w:rPr>
                <w:rFonts w:ascii="Cambria Math" w:hAnsi="Cambria Math" w:cs="Arial"/>
                <w:i/>
                <w:lang w:val="en-US"/>
              </w:rPr>
            </m:ctrlPr>
          </m:sSubPr>
          <m:e>
            <m:r>
              <w:rPr>
                <w:rFonts w:ascii="Cambria Math" w:hAnsi="Cambria Math" w:cs="Arial"/>
                <w:lang w:val="en-US"/>
              </w:rPr>
              <m:t>f</m:t>
            </m:r>
          </m:e>
          <m:sub>
            <m:r>
              <w:rPr>
                <w:rFonts w:ascii="Cambria Math" w:hAnsi="Cambria Math" w:cs="Arial"/>
                <w:lang w:val="en-US"/>
              </w:rPr>
              <m:t>o</m:t>
            </m:r>
          </m:sub>
        </m:sSub>
      </m:oMath>
      <w:r>
        <w:rPr>
          <w:rFonts w:ascii="Arial" w:hAnsi="Arial" w:cs="Arial"/>
          <w:lang w:val="en-US"/>
        </w:rPr>
        <w:t xml:space="preserve">. </w:t>
      </w:r>
    </w:p>
    <w:p w14:paraId="0F416070" w14:textId="74F7708A" w:rsidR="003852F9" w:rsidRDefault="003852F9" w:rsidP="003852F9">
      <w:pPr>
        <w:pStyle w:val="BodyText"/>
        <w:rPr>
          <w:rFonts w:ascii="Arial" w:hAnsi="Arial" w:cs="Arial"/>
          <w:lang w:val="en-US"/>
        </w:rPr>
      </w:pPr>
      <w:r>
        <w:rPr>
          <w:rFonts w:ascii="Arial" w:hAnsi="Arial" w:cs="Arial"/>
          <w:lang w:val="en-US"/>
        </w:rPr>
        <w:t xml:space="preserve">It is also worth noting that there are fundamental limits on the attainable </w:t>
      </w:r>
      <w:proofErr w:type="spellStart"/>
      <w:r>
        <w:rPr>
          <w:rFonts w:ascii="Arial" w:hAnsi="Arial" w:cs="Arial"/>
          <w:lang w:val="en-US"/>
        </w:rPr>
        <w:t>FoM</w:t>
      </w:r>
      <w:proofErr w:type="spellEnd"/>
      <w:r>
        <w:rPr>
          <w:rFonts w:ascii="Arial" w:hAnsi="Arial" w:cs="Arial"/>
          <w:lang w:val="en-US"/>
        </w:rPr>
        <w:t xml:space="preserve"> and the room for further improvements is limited.</w:t>
      </w:r>
    </w:p>
    <w:p w14:paraId="5A1D600F" w14:textId="69565464" w:rsidR="003852F9" w:rsidRDefault="003852F9" w:rsidP="003852F9">
      <w:pPr>
        <w:pStyle w:val="BodyText"/>
        <w:rPr>
          <w:rFonts w:ascii="Arial" w:hAnsi="Arial" w:cs="Arial"/>
          <w:lang w:val="en-US"/>
        </w:rPr>
      </w:pPr>
      <w:r>
        <w:rPr>
          <w:rFonts w:ascii="Arial" w:hAnsi="Arial" w:cs="Arial"/>
          <w:lang w:val="en-US"/>
        </w:rPr>
        <w:t xml:space="preserve">In this </w:t>
      </w:r>
      <w:r w:rsidR="00311953">
        <w:rPr>
          <w:rFonts w:ascii="Arial" w:hAnsi="Arial" w:cs="Arial"/>
          <w:lang w:val="en-US"/>
        </w:rPr>
        <w:t>sub-clause</w:t>
      </w:r>
      <w:r>
        <w:rPr>
          <w:rFonts w:ascii="Arial" w:hAnsi="Arial" w:cs="Arial"/>
          <w:lang w:val="en-US"/>
        </w:rPr>
        <w:t>, the discussion around trends for phase noise based on empirical data as well as the impact of VCO tuning range is further elaborated.</w:t>
      </w:r>
    </w:p>
    <w:p w14:paraId="33FB0235" w14:textId="77777777" w:rsidR="003852F9" w:rsidRDefault="003852F9" w:rsidP="003852F9">
      <w:pPr>
        <w:pStyle w:val="BodyText"/>
        <w:rPr>
          <w:rFonts w:ascii="Arial" w:hAnsi="Arial" w:cs="Arial"/>
          <w:lang w:val="en-US"/>
        </w:rPr>
      </w:pPr>
      <w:r>
        <w:rPr>
          <w:rFonts w:ascii="Arial" w:hAnsi="Arial" w:cs="Arial"/>
          <w:lang w:val="en-US"/>
        </w:rPr>
        <w:t xml:space="preserve">The </w:t>
      </w:r>
      <w:proofErr w:type="spellStart"/>
      <w:r>
        <w:rPr>
          <w:rFonts w:ascii="Arial" w:hAnsi="Arial" w:cs="Arial"/>
          <w:lang w:val="en-US"/>
        </w:rPr>
        <w:t>FoM</w:t>
      </w:r>
      <w:proofErr w:type="spellEnd"/>
      <w:r>
        <w:rPr>
          <w:rFonts w:ascii="Arial" w:hAnsi="Arial" w:cs="Arial"/>
          <w:lang w:val="en-US"/>
        </w:rPr>
        <w:t xml:space="preserve"> definition aims to be frequency agnostic but in practice there is an implementation penalty associated with higher frequencies as shown in the figure below, where </w:t>
      </w:r>
      <w:proofErr w:type="spellStart"/>
      <w:r>
        <w:rPr>
          <w:rFonts w:ascii="Arial" w:hAnsi="Arial" w:cs="Arial"/>
          <w:lang w:val="en-US"/>
        </w:rPr>
        <w:t>FoM</w:t>
      </w:r>
      <w:proofErr w:type="spellEnd"/>
      <w:r>
        <w:rPr>
          <w:rFonts w:ascii="Arial" w:hAnsi="Arial" w:cs="Arial"/>
          <w:lang w:val="en-US"/>
        </w:rPr>
        <w:t xml:space="preserve"> of recently published VCO designs in silicon-based technologies are compared. If there were to be no implementation penalties the best </w:t>
      </w:r>
      <w:proofErr w:type="spellStart"/>
      <w:r>
        <w:rPr>
          <w:rFonts w:ascii="Arial" w:hAnsi="Arial" w:cs="Arial"/>
          <w:lang w:val="en-US"/>
        </w:rPr>
        <w:t>FoMs</w:t>
      </w:r>
      <w:proofErr w:type="spellEnd"/>
      <w:r>
        <w:rPr>
          <w:rFonts w:ascii="Arial" w:hAnsi="Arial" w:cs="Arial"/>
          <w:lang w:val="en-US"/>
        </w:rPr>
        <w:t xml:space="preserve"> would be on par for all frequencies. A rough estimation of the implementation penalty is roughly 5-10dB/decade (~1.5-3dB/octave) depending on whether the trend is derived from only the best data points (at the performance envelope) or the general trend of all data points.</w:t>
      </w:r>
    </w:p>
    <w:p w14:paraId="3F906E2A" w14:textId="09FDB5A2" w:rsidR="003852F9" w:rsidRDefault="003852F9" w:rsidP="003852F9">
      <w:pPr>
        <w:pStyle w:val="BodyText"/>
        <w:jc w:val="center"/>
        <w:rPr>
          <w:rFonts w:ascii="Arial" w:hAnsi="Arial" w:cs="Arial"/>
          <w:lang w:val="en-US"/>
        </w:rPr>
      </w:pPr>
      <w:r>
        <w:rPr>
          <w:rFonts w:ascii="Arial" w:hAnsi="Arial" w:cs="Arial"/>
          <w:noProof/>
          <w:lang w:val="en-US"/>
        </w:rPr>
        <w:lastRenderedPageBreak/>
        <w:drawing>
          <wp:inline distT="0" distB="0" distL="0" distR="0" wp14:anchorId="1DC8BEE8" wp14:editId="49096F40">
            <wp:extent cx="3873500" cy="29019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73500" cy="2901950"/>
                    </a:xfrm>
                    <a:prstGeom prst="rect">
                      <a:avLst/>
                    </a:prstGeom>
                    <a:noFill/>
                    <a:ln>
                      <a:noFill/>
                    </a:ln>
                  </pic:spPr>
                </pic:pic>
              </a:graphicData>
            </a:graphic>
          </wp:inline>
        </w:drawing>
      </w:r>
    </w:p>
    <w:p w14:paraId="22DF22F7" w14:textId="4590ED0B" w:rsidR="003852F9" w:rsidRDefault="003852F9" w:rsidP="003852F9">
      <w:pPr>
        <w:pStyle w:val="Caption"/>
        <w:rPr>
          <w:rFonts w:ascii="Arial" w:hAnsi="Arial" w:cs="Arial"/>
          <w:lang w:val="en-US"/>
        </w:rPr>
      </w:pPr>
      <w:r>
        <w:rPr>
          <w:lang w:val="en-US"/>
        </w:rPr>
        <w:t>Figure</w:t>
      </w:r>
      <w:r w:rsidR="00EE7B3C">
        <w:rPr>
          <w:lang w:val="en-US"/>
        </w:rPr>
        <w:t xml:space="preserve"> 6.3.2-1</w:t>
      </w:r>
      <w:r>
        <w:rPr>
          <w:lang w:val="en-US"/>
        </w:rPr>
        <w:tab/>
        <w:t xml:space="preserve">Phase noise </w:t>
      </w:r>
      <w:proofErr w:type="spellStart"/>
      <w:r>
        <w:rPr>
          <w:lang w:val="en-US"/>
        </w:rPr>
        <w:t>FoM</w:t>
      </w:r>
      <w:proofErr w:type="spellEnd"/>
    </w:p>
    <w:p w14:paraId="654D322C" w14:textId="77777777" w:rsidR="003852F9" w:rsidRDefault="003852F9" w:rsidP="003852F9">
      <w:pPr>
        <w:pStyle w:val="BodyText"/>
        <w:rPr>
          <w:rFonts w:ascii="Arial" w:hAnsi="Arial" w:cs="Arial"/>
          <w:lang w:val="en-US"/>
        </w:rPr>
      </w:pPr>
      <w:r>
        <w:rPr>
          <w:rFonts w:ascii="Arial" w:hAnsi="Arial" w:cs="Arial"/>
          <w:lang w:val="en-US"/>
        </w:rPr>
        <w:t xml:space="preserve">One aspect not accounted for in </w:t>
      </w:r>
      <w:proofErr w:type="spellStart"/>
      <w:r>
        <w:rPr>
          <w:rFonts w:ascii="Arial" w:hAnsi="Arial" w:cs="Arial"/>
          <w:lang w:val="en-US"/>
        </w:rPr>
        <w:t>FoM</w:t>
      </w:r>
      <w:proofErr w:type="spellEnd"/>
      <w:r>
        <w:rPr>
          <w:rFonts w:ascii="Arial" w:hAnsi="Arial" w:cs="Arial"/>
          <w:lang w:val="en-US"/>
        </w:rPr>
        <w:t xml:space="preserve"> is the tuning range of the VCO and thus the maximum possible frequency range of the PLL. It is a well-established fact that preserving a tuning range (when defined in % of LO frequency) is increasingly difficult for increasing frequency. Thus, an empirical but widely accepted extension of the original </w:t>
      </w:r>
      <w:proofErr w:type="spellStart"/>
      <w:r>
        <w:rPr>
          <w:rFonts w:ascii="Arial" w:hAnsi="Arial" w:cs="Arial"/>
          <w:lang w:val="en-US"/>
        </w:rPr>
        <w:t>FoM</w:t>
      </w:r>
      <w:proofErr w:type="spellEnd"/>
      <w:r>
        <w:rPr>
          <w:rFonts w:ascii="Arial" w:hAnsi="Arial" w:cs="Arial"/>
          <w:lang w:val="en-US"/>
        </w:rPr>
        <w:t xml:space="preserve"> accounts for tuning range </w:t>
      </w:r>
      <m:oMath>
        <m:r>
          <w:rPr>
            <w:rFonts w:ascii="Cambria Math" w:hAnsi="Cambria Math" w:cs="Arial"/>
            <w:lang w:val="en-US"/>
          </w:rPr>
          <m:t>TR</m:t>
        </m:r>
      </m:oMath>
      <w:r>
        <w:rPr>
          <w:rFonts w:ascii="Arial" w:hAnsi="Arial" w:cs="Arial"/>
          <w:lang w:val="en-US"/>
        </w:rPr>
        <w:t xml:space="preserve"> in % as follows:</w:t>
      </w:r>
    </w:p>
    <w:p w14:paraId="5D8AB705" w14:textId="77777777" w:rsidR="003852F9" w:rsidRDefault="00576933" w:rsidP="003852F9">
      <w:pPr>
        <w:pStyle w:val="BodyText"/>
        <w:rPr>
          <w:rFonts w:ascii="Arial" w:hAnsi="Arial" w:cs="Arial"/>
          <w:lang w:val="en-US"/>
        </w:rPr>
      </w:pPr>
      <m:oMathPara>
        <m:oMath>
          <m:sSub>
            <m:sSubPr>
              <m:ctrlPr>
                <w:rPr>
                  <w:rFonts w:ascii="Cambria Math" w:hAnsi="Cambria Math" w:cs="Arial"/>
                  <w:i/>
                  <w:lang w:val="en-US"/>
                </w:rPr>
              </m:ctrlPr>
            </m:sSubPr>
            <m:e>
              <m:r>
                <w:rPr>
                  <w:rFonts w:ascii="Cambria Math" w:hAnsi="Cambria Math" w:cs="Arial"/>
                  <w:lang w:val="en-US"/>
                </w:rPr>
                <m:t>FoM</m:t>
              </m:r>
            </m:e>
            <m:sub>
              <m:r>
                <w:rPr>
                  <w:rFonts w:ascii="Cambria Math" w:hAnsi="Cambria Math" w:cs="Arial"/>
                  <w:lang w:val="en-US"/>
                </w:rPr>
                <m:t>t</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PN</m:t>
              </m:r>
            </m:e>
            <m:sub>
              <m:r>
                <w:rPr>
                  <w:rFonts w:ascii="Cambria Math" w:hAnsi="Cambria Math" w:cs="Arial"/>
                  <w:lang w:val="en-US"/>
                </w:rPr>
                <m:t>VCO</m:t>
              </m:r>
            </m:sub>
          </m:sSub>
          <m:d>
            <m:dPr>
              <m:ctrlPr>
                <w:rPr>
                  <w:rFonts w:ascii="Cambria Math" w:hAnsi="Cambria Math" w:cs="Arial"/>
                  <w:i/>
                  <w:lang w:val="en-US"/>
                </w:rPr>
              </m:ctrlPr>
            </m:dPr>
            <m:e>
              <m:r>
                <w:rPr>
                  <w:rFonts w:ascii="Cambria Math" w:hAnsi="Cambria Math" w:cs="Arial"/>
                  <w:lang w:val="en-US"/>
                </w:rPr>
                <m:t>df</m:t>
              </m:r>
            </m:e>
          </m:d>
          <m:r>
            <w:rPr>
              <w:rFonts w:ascii="Cambria Math" w:hAnsi="Cambria Math" w:cs="Arial"/>
              <w:lang w:val="en-US"/>
            </w:rPr>
            <m:t>+20</m:t>
          </m:r>
          <m:func>
            <m:funcPr>
              <m:ctrlPr>
                <w:rPr>
                  <w:rFonts w:ascii="Cambria Math" w:hAnsi="Cambria Math" w:cs="Arial"/>
                  <w:i/>
                  <w:lang w:val="en-US"/>
                </w:rPr>
              </m:ctrlPr>
            </m:funcPr>
            <m:fName>
              <m:r>
                <m:rPr>
                  <m:sty m:val="p"/>
                </m:rPr>
                <w:rPr>
                  <w:rFonts w:ascii="Cambria Math" w:hAnsi="Cambria Math" w:cs="Arial"/>
                  <w:lang w:val="en-US"/>
                </w:rPr>
                <m:t>log</m:t>
              </m:r>
            </m:fName>
            <m:e>
              <m:d>
                <m:dPr>
                  <m:ctrlPr>
                    <w:rPr>
                      <w:rFonts w:ascii="Cambria Math" w:hAnsi="Cambria Math" w:cs="Arial"/>
                      <w:i/>
                      <w:lang w:val="en-US"/>
                    </w:rPr>
                  </m:ctrlPr>
                </m:dPr>
                <m:e>
                  <m:f>
                    <m:fPr>
                      <m:ctrlPr>
                        <w:rPr>
                          <w:rFonts w:ascii="Cambria Math" w:hAnsi="Cambria Math" w:cs="Arial"/>
                          <w:i/>
                          <w:lang w:val="en-US"/>
                        </w:rPr>
                      </m:ctrlPr>
                    </m:fPr>
                    <m:num>
                      <m:r>
                        <w:rPr>
                          <w:rFonts w:ascii="Cambria Math" w:hAnsi="Cambria Math" w:cs="Arial"/>
                          <w:lang w:val="en-US"/>
                        </w:rPr>
                        <m:t>df</m:t>
                      </m:r>
                    </m:num>
                    <m:den>
                      <m:sSub>
                        <m:sSubPr>
                          <m:ctrlPr>
                            <w:rPr>
                              <w:rFonts w:ascii="Cambria Math" w:hAnsi="Cambria Math" w:cs="Arial"/>
                              <w:i/>
                              <w:lang w:val="en-US"/>
                            </w:rPr>
                          </m:ctrlPr>
                        </m:sSubPr>
                        <m:e>
                          <m:r>
                            <w:rPr>
                              <w:rFonts w:ascii="Cambria Math" w:hAnsi="Cambria Math" w:cs="Arial"/>
                              <w:lang w:val="en-US"/>
                            </w:rPr>
                            <m:t>f</m:t>
                          </m:r>
                        </m:e>
                        <m:sub>
                          <m:r>
                            <w:rPr>
                              <w:rFonts w:ascii="Cambria Math" w:hAnsi="Cambria Math" w:cs="Arial"/>
                              <w:lang w:val="en-US"/>
                            </w:rPr>
                            <m:t>o</m:t>
                          </m:r>
                        </m:sub>
                      </m:sSub>
                    </m:den>
                  </m:f>
                </m:e>
              </m:d>
            </m:e>
          </m:func>
          <m:r>
            <w:rPr>
              <w:rFonts w:ascii="Cambria Math" w:hAnsi="Cambria Math" w:cs="Arial"/>
              <w:lang w:val="en-US"/>
            </w:rPr>
            <m:t>+10</m:t>
          </m:r>
          <m:func>
            <m:funcPr>
              <m:ctrlPr>
                <w:rPr>
                  <w:rFonts w:ascii="Cambria Math" w:hAnsi="Cambria Math" w:cs="Arial"/>
                  <w:lang w:val="en-US"/>
                </w:rPr>
              </m:ctrlPr>
            </m:funcPr>
            <m:fName>
              <m:r>
                <m:rPr>
                  <m:sty m:val="p"/>
                </m:rPr>
                <w:rPr>
                  <w:rFonts w:ascii="Cambria Math" w:hAnsi="Cambria Math" w:cs="Arial"/>
                  <w:lang w:val="en-US"/>
                </w:rPr>
                <m:t>log</m:t>
              </m:r>
              <m:ctrlPr>
                <w:rPr>
                  <w:rFonts w:ascii="Cambria Math" w:hAnsi="Cambria Math" w:cs="Arial"/>
                  <w:i/>
                  <w:lang w:val="en-US"/>
                </w:rPr>
              </m:ctrlPr>
            </m:fName>
            <m:e>
              <m:d>
                <m:dPr>
                  <m:ctrlPr>
                    <w:rPr>
                      <w:rFonts w:ascii="Cambria Math" w:hAnsi="Cambria Math" w:cs="Arial"/>
                      <w:i/>
                      <w:lang w:val="en-US"/>
                    </w:rPr>
                  </m:ctrlPr>
                </m:dPr>
                <m:e>
                  <m:f>
                    <m:fPr>
                      <m:ctrlPr>
                        <w:rPr>
                          <w:rFonts w:ascii="Cambria Math" w:hAnsi="Cambria Math" w:cs="Arial"/>
                          <w:i/>
                          <w:lang w:val="en-US"/>
                        </w:rPr>
                      </m:ctrlPr>
                    </m:fPr>
                    <m:num>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DC</m:t>
                          </m:r>
                        </m:sub>
                      </m:sSub>
                    </m:num>
                    <m:den>
                      <m:r>
                        <w:rPr>
                          <w:rFonts w:ascii="Cambria Math" w:hAnsi="Cambria Math" w:cs="Arial"/>
                          <w:lang w:val="en-US"/>
                        </w:rPr>
                        <m:t>1</m:t>
                      </m:r>
                      <m:r>
                        <m:rPr>
                          <m:sty m:val="p"/>
                        </m:rPr>
                        <w:rPr>
                          <w:rFonts w:ascii="Cambria Math" w:hAnsi="Cambria Math" w:cs="Arial"/>
                          <w:lang w:val="en-US"/>
                        </w:rPr>
                        <m:t>mW</m:t>
                      </m:r>
                    </m:den>
                  </m:f>
                </m:e>
              </m:d>
            </m:e>
          </m:func>
          <m:r>
            <w:rPr>
              <w:rFonts w:ascii="Cambria Math" w:hAnsi="Cambria Math" w:cs="Arial"/>
              <w:lang w:val="en-US"/>
            </w:rPr>
            <m:t xml:space="preserve">-10 </m:t>
          </m:r>
          <m:r>
            <m:rPr>
              <m:sty m:val="p"/>
            </m:rPr>
            <w:rPr>
              <w:rFonts w:ascii="Cambria Math" w:hAnsi="Cambria Math" w:cs="Arial"/>
              <w:lang w:val="en-US"/>
            </w:rPr>
            <m:t>log⁡</m:t>
          </m:r>
          <m:r>
            <w:rPr>
              <w:rFonts w:ascii="Cambria Math" w:hAnsi="Cambria Math" w:cs="Arial"/>
              <w:lang w:val="en-US"/>
            </w:rPr>
            <m:t>(TR/10)</m:t>
          </m:r>
        </m:oMath>
      </m:oMathPara>
    </w:p>
    <w:p w14:paraId="2D9C3061" w14:textId="77777777" w:rsidR="003852F9" w:rsidRDefault="00576933" w:rsidP="003852F9">
      <w:pPr>
        <w:pStyle w:val="BodyText"/>
        <w:rPr>
          <w:rFonts w:ascii="Arial" w:hAnsi="Arial" w:cs="Arial"/>
          <w:lang w:val="en-US"/>
        </w:rPr>
      </w:pPr>
      <m:oMath>
        <m:sSub>
          <m:sSubPr>
            <m:ctrlPr>
              <w:rPr>
                <w:rFonts w:ascii="Cambria Math" w:hAnsi="Cambria Math" w:cs="Arial"/>
                <w:i/>
                <w:lang w:val="en-US"/>
              </w:rPr>
            </m:ctrlPr>
          </m:sSubPr>
          <m:e>
            <m:r>
              <w:rPr>
                <w:rFonts w:ascii="Cambria Math" w:hAnsi="Cambria Math" w:cs="Arial"/>
                <w:lang w:val="en-US"/>
              </w:rPr>
              <m:t>FoM</m:t>
            </m:r>
          </m:e>
          <m:sub>
            <m:r>
              <w:rPr>
                <w:rFonts w:ascii="Cambria Math" w:hAnsi="Cambria Math" w:cs="Arial"/>
                <w:lang w:val="en-US"/>
              </w:rPr>
              <m:t>t</m:t>
            </m:r>
          </m:sub>
        </m:sSub>
      </m:oMath>
      <w:r w:rsidR="003852F9">
        <w:rPr>
          <w:rFonts w:ascii="Arial" w:hAnsi="Arial" w:cs="Arial"/>
          <w:lang w:val="en-US"/>
        </w:rPr>
        <w:t xml:space="preserve"> calculated for the same data set as above is shown in the plot below and it is clearly seen that accounting for tuning range worsens the penalty further for higher frequencies, with an additional ~7.5dB/decade or 2.3dB/octave. </w:t>
      </w:r>
    </w:p>
    <w:p w14:paraId="5BF8D2DA" w14:textId="249ACAB9" w:rsidR="003852F9" w:rsidRDefault="003852F9" w:rsidP="003852F9">
      <w:pPr>
        <w:pStyle w:val="BodyText"/>
        <w:jc w:val="center"/>
        <w:rPr>
          <w:rFonts w:ascii="Arial" w:hAnsi="Arial" w:cs="Arial"/>
          <w:lang w:val="en-US"/>
        </w:rPr>
      </w:pPr>
      <w:r>
        <w:rPr>
          <w:rFonts w:ascii="Arial" w:hAnsi="Arial" w:cs="Arial"/>
          <w:noProof/>
          <w:lang w:val="en-US"/>
        </w:rPr>
        <w:drawing>
          <wp:inline distT="0" distB="0" distL="0" distR="0" wp14:anchorId="395085B3" wp14:editId="5233B45A">
            <wp:extent cx="3752850" cy="28130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52850" cy="2813050"/>
                    </a:xfrm>
                    <a:prstGeom prst="rect">
                      <a:avLst/>
                    </a:prstGeom>
                    <a:noFill/>
                    <a:ln>
                      <a:noFill/>
                    </a:ln>
                  </pic:spPr>
                </pic:pic>
              </a:graphicData>
            </a:graphic>
          </wp:inline>
        </w:drawing>
      </w:r>
    </w:p>
    <w:p w14:paraId="73BDD853" w14:textId="6C5BC849" w:rsidR="003852F9" w:rsidRDefault="003852F9" w:rsidP="003852F9">
      <w:pPr>
        <w:pStyle w:val="Caption"/>
        <w:rPr>
          <w:rFonts w:ascii="Arial" w:hAnsi="Arial" w:cs="Arial"/>
          <w:lang w:val="en-US"/>
        </w:rPr>
      </w:pPr>
      <w:r>
        <w:rPr>
          <w:lang w:val="en-US"/>
        </w:rPr>
        <w:t>Figure</w:t>
      </w:r>
      <w:r w:rsidR="00EE7B3C" w:rsidRPr="00EE7B3C">
        <w:rPr>
          <w:lang w:val="en-US"/>
        </w:rPr>
        <w:t xml:space="preserve"> </w:t>
      </w:r>
      <w:r w:rsidR="00EE7B3C">
        <w:rPr>
          <w:lang w:val="en-US"/>
        </w:rPr>
        <w:t>6.3.2-2</w:t>
      </w:r>
      <w:r>
        <w:rPr>
          <w:lang w:val="en-US"/>
        </w:rPr>
        <w:tab/>
        <w:t xml:space="preserve">Phase noise </w:t>
      </w:r>
      <w:proofErr w:type="spellStart"/>
      <w:r>
        <w:rPr>
          <w:lang w:val="en-US"/>
        </w:rPr>
        <w:t>FoM</w:t>
      </w:r>
      <w:proofErr w:type="spellEnd"/>
      <w:r>
        <w:rPr>
          <w:lang w:val="en-US"/>
        </w:rPr>
        <w:t xml:space="preserve"> considering VCO tuning range</w:t>
      </w:r>
    </w:p>
    <w:p w14:paraId="5520CDE7" w14:textId="77777777" w:rsidR="003852F9" w:rsidRDefault="003852F9" w:rsidP="003852F9">
      <w:pPr>
        <w:pStyle w:val="BodyText"/>
        <w:rPr>
          <w:rFonts w:ascii="Arial" w:hAnsi="Arial" w:cs="Arial"/>
          <w:lang w:val="en-US"/>
        </w:rPr>
      </w:pPr>
      <w:r>
        <w:rPr>
          <w:rFonts w:ascii="Arial" w:hAnsi="Arial" w:cs="Arial"/>
          <w:lang w:val="en-US"/>
        </w:rPr>
        <w:t xml:space="preserve">Now, as for the actual tuning range of the VCOs the picture is quite scattered as shown below. Rather high tuning range is still possible at higher frequencies, but this comes at the expense of </w:t>
      </w:r>
      <w:r>
        <w:rPr>
          <w:rFonts w:ascii="Arial" w:hAnsi="Arial" w:cs="Arial"/>
          <w:lang w:val="en-US"/>
        </w:rPr>
        <w:lastRenderedPageBreak/>
        <w:t>increased DC power and worse phase noise performance, a</w:t>
      </w:r>
      <w:r>
        <w:rPr>
          <w:rFonts w:ascii="Arial" w:hAnsi="Arial" w:cs="Arial"/>
          <w:noProof/>
          <w:lang w:val="en-US"/>
        </w:rPr>
        <w:t xml:space="preserve">t a given offset, here </w:t>
      </w:r>
      <m:oMath>
        <m:r>
          <w:rPr>
            <w:rFonts w:ascii="Cambria Math" w:hAnsi="Cambria Math" w:cs="Arial"/>
            <w:lang w:val="en-US"/>
          </w:rPr>
          <m:t>df</m:t>
        </m:r>
      </m:oMath>
      <w:r>
        <w:rPr>
          <w:rFonts w:ascii="Arial" w:hAnsi="Arial" w:cs="Arial"/>
          <w:noProof/>
          <w:lang w:val="en-US"/>
        </w:rPr>
        <w:t xml:space="preserve"> =1MHz. The trend shows close to 20dB/decade of degradation as expected from the expression for </w:t>
      </w:r>
      <m:oMath>
        <m:r>
          <w:rPr>
            <w:rFonts w:ascii="Cambria Math" w:hAnsi="Cambria Math" w:cs="Arial"/>
            <w:lang w:val="en-US"/>
          </w:rPr>
          <m:t>FoM</m:t>
        </m:r>
      </m:oMath>
      <w:r>
        <w:rPr>
          <w:rFonts w:ascii="Arial" w:hAnsi="Arial" w:cs="Arial"/>
          <w:noProof/>
          <w:lang w:val="en-US"/>
        </w:rPr>
        <w:t xml:space="preserve"> (assuming </w:t>
      </w:r>
      <m:oMath>
        <m:r>
          <w:rPr>
            <w:rFonts w:ascii="Cambria Math" w:hAnsi="Cambria Math" w:cs="Arial"/>
            <w:lang w:val="en-US"/>
          </w:rPr>
          <m:t>FoM</m:t>
        </m:r>
      </m:oMath>
      <w:r>
        <w:rPr>
          <w:rFonts w:ascii="Arial" w:hAnsi="Arial" w:cs="Arial"/>
          <w:noProof/>
          <w:lang w:val="en-US"/>
        </w:rPr>
        <w:t xml:space="preserve"> would have been frequency agnostic). But since a </w:t>
      </w:r>
      <m:oMath>
        <m:r>
          <w:rPr>
            <w:rFonts w:ascii="Cambria Math" w:hAnsi="Cambria Math" w:cs="Arial"/>
            <w:lang w:val="en-US"/>
          </w:rPr>
          <m:t>FoM</m:t>
        </m:r>
      </m:oMath>
      <w:r>
        <w:rPr>
          <w:rFonts w:ascii="Arial" w:hAnsi="Arial" w:cs="Arial"/>
          <w:noProof/>
          <w:lang w:val="en-US"/>
        </w:rPr>
        <w:t xml:space="preserve"> degradation of some 5-10dB/decade was identified for increasing frequencies this phase noise performance comes at the cost of increased power consumption. Thus, for a given power consumption budget the phase noise at the rightmost side would actually be 10dB worse.</w:t>
      </w:r>
    </w:p>
    <w:p w14:paraId="66880A88" w14:textId="082C650F" w:rsidR="003852F9" w:rsidRDefault="003852F9" w:rsidP="003852F9">
      <w:pPr>
        <w:pStyle w:val="BodyText"/>
        <w:keepNext/>
        <w:jc w:val="center"/>
      </w:pPr>
      <w:r>
        <w:rPr>
          <w:rFonts w:ascii="Arial" w:hAnsi="Arial" w:cs="Arial"/>
          <w:noProof/>
          <w:lang w:val="en-US"/>
        </w:rPr>
        <w:drawing>
          <wp:inline distT="0" distB="0" distL="0" distR="0" wp14:anchorId="6125FF70" wp14:editId="33636BD4">
            <wp:extent cx="3810000" cy="2857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14:paraId="0C08E7AA" w14:textId="74186944" w:rsidR="003852F9" w:rsidRDefault="003852F9" w:rsidP="003852F9">
      <w:pPr>
        <w:pStyle w:val="Caption"/>
        <w:rPr>
          <w:rFonts w:ascii="Arial" w:hAnsi="Arial" w:cs="Arial"/>
          <w:lang w:val="en-US"/>
        </w:rPr>
      </w:pPr>
      <w:r>
        <w:rPr>
          <w:lang w:val="en-US"/>
        </w:rPr>
        <w:t xml:space="preserve">Figure </w:t>
      </w:r>
      <w:r w:rsidR="00EE7B3C" w:rsidRPr="00EE7B3C">
        <w:rPr>
          <w:lang w:val="en-US"/>
        </w:rPr>
        <w:t>6.3.2-</w:t>
      </w:r>
      <w:r w:rsidR="00EE7B3C">
        <w:rPr>
          <w:lang w:val="en-US"/>
        </w:rPr>
        <w:t>3</w:t>
      </w:r>
      <w:r>
        <w:rPr>
          <w:lang w:val="en-US"/>
        </w:rPr>
        <w:t xml:space="preserve"> Phase noise </w:t>
      </w:r>
      <w:proofErr w:type="spellStart"/>
      <w:r>
        <w:rPr>
          <w:lang w:val="en-US"/>
        </w:rPr>
        <w:t>FoM</w:t>
      </w:r>
      <w:proofErr w:type="spellEnd"/>
      <w:r>
        <w:rPr>
          <w:lang w:val="en-US"/>
        </w:rPr>
        <w:t xml:space="preserve"> considering actual VCO tuning range</w:t>
      </w:r>
    </w:p>
    <w:p w14:paraId="4C123BDB" w14:textId="12C5925B" w:rsidR="00FA73A0" w:rsidRPr="001A5653" w:rsidRDefault="003852F9" w:rsidP="001A5653">
      <w:pPr>
        <w:pStyle w:val="BodyText"/>
        <w:rPr>
          <w:rFonts w:ascii="Arial" w:hAnsi="Arial" w:cs="Arial"/>
          <w:lang w:val="en-US"/>
        </w:rPr>
      </w:pPr>
      <w:r>
        <w:rPr>
          <w:rFonts w:ascii="Arial" w:hAnsi="Arial" w:cs="Arial"/>
          <w:lang w:val="en-US"/>
        </w:rPr>
        <w:t xml:space="preserve">In conclusion, phase noise will worsen significantly across the roughly 2 octaves of frequency range considered (7-24 GHz) and it can only partly be addressed by increasing power consumption. Thus, considering the thermal and performance aspects, phase noise is an important parameter to consider when technology feasibility work is conducted for frequency ranges of 7-24 GHz. </w:t>
      </w:r>
    </w:p>
    <w:p w14:paraId="7A080D47" w14:textId="63E16258" w:rsidR="000037C7" w:rsidRDefault="000037C7" w:rsidP="000037C7">
      <w:pPr>
        <w:pStyle w:val="Heading2"/>
        <w:numPr>
          <w:ilvl w:val="0"/>
          <w:numId w:val="0"/>
        </w:numPr>
        <w:ind w:left="576" w:hanging="576"/>
      </w:pPr>
      <w:r>
        <w:t>6.4</w:t>
      </w:r>
      <w:r>
        <w:tab/>
        <w:t>Key parameters over the 7-24 GHz range</w:t>
      </w:r>
      <w:bookmarkEnd w:id="3"/>
    </w:p>
    <w:p w14:paraId="21F248FE" w14:textId="77777777" w:rsidR="000037C7" w:rsidRPr="000037C7" w:rsidRDefault="000037C7" w:rsidP="000037C7">
      <w:pPr>
        <w:rPr>
          <w:i/>
          <w:color w:val="0000FF"/>
          <w:lang w:val="en-US"/>
        </w:rPr>
      </w:pPr>
      <w:r w:rsidRPr="000037C7">
        <w:rPr>
          <w:i/>
          <w:color w:val="0000FF"/>
          <w:lang w:val="en-US"/>
        </w:rPr>
        <w:t>Editor’s note: Conclusions on ranges for some key parameters from a technology capability perspective (Output power, ACLR, noise figure etc.)</w:t>
      </w:r>
    </w:p>
    <w:p w14:paraId="26AEC862" w14:textId="77777777" w:rsidR="000037C7" w:rsidRPr="004E1BF1" w:rsidRDefault="000037C7" w:rsidP="00027AC9">
      <w:pPr>
        <w:pStyle w:val="BodyText"/>
        <w:spacing w:line="480" w:lineRule="auto"/>
        <w:rPr>
          <w:lang w:val="en-US"/>
        </w:rPr>
      </w:pPr>
    </w:p>
    <w:p w14:paraId="3875DDDD" w14:textId="77777777" w:rsidR="004E1BF1" w:rsidRPr="004E1BF1" w:rsidRDefault="004E1BF1" w:rsidP="004E1BF1">
      <w:pPr>
        <w:rPr>
          <w:lang w:val="en-US"/>
        </w:rPr>
      </w:pPr>
    </w:p>
    <w:p w14:paraId="1CCD47F2" w14:textId="77777777" w:rsidR="004E1BF1" w:rsidRPr="004E1BF1" w:rsidRDefault="004E1BF1" w:rsidP="004E1BF1">
      <w:pPr>
        <w:rPr>
          <w:lang w:val="en-US"/>
        </w:rPr>
      </w:pPr>
    </w:p>
    <w:p w14:paraId="0A4DCE88" w14:textId="77777777" w:rsidR="004E1BF1" w:rsidRPr="004E1BF1" w:rsidRDefault="004E1BF1" w:rsidP="004E1BF1">
      <w:pPr>
        <w:rPr>
          <w:lang w:val="en-US"/>
        </w:rPr>
      </w:pPr>
    </w:p>
    <w:p w14:paraId="65F8F30C" w14:textId="77777777" w:rsidR="004E1BF1" w:rsidRPr="004E1BF1" w:rsidRDefault="004E1BF1" w:rsidP="004E1BF1">
      <w:pPr>
        <w:rPr>
          <w:lang w:val="en-US"/>
        </w:rPr>
      </w:pPr>
    </w:p>
    <w:p w14:paraId="1A9103AE" w14:textId="77777777" w:rsidR="004E1BF1" w:rsidRPr="004E1BF1" w:rsidRDefault="004E1BF1" w:rsidP="004E1BF1">
      <w:pPr>
        <w:rPr>
          <w:lang w:val="en-US"/>
        </w:rPr>
      </w:pPr>
    </w:p>
    <w:p w14:paraId="427659AA" w14:textId="77777777" w:rsidR="003A7EF3" w:rsidRPr="007E6408" w:rsidRDefault="003A7EF3" w:rsidP="00311702">
      <w:pPr>
        <w:pStyle w:val="BodyText"/>
        <w:rPr>
          <w:rFonts w:ascii="Arial" w:hAnsi="Arial" w:cs="Arial"/>
          <w:lang w:val="en-US"/>
        </w:rPr>
      </w:pPr>
    </w:p>
    <w:sectPr w:rsidR="003A7EF3" w:rsidRPr="007E6408">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E803D" w14:textId="77777777" w:rsidR="00034E8D" w:rsidRDefault="00034E8D">
      <w:r>
        <w:separator/>
      </w:r>
    </w:p>
  </w:endnote>
  <w:endnote w:type="continuationSeparator" w:id="0">
    <w:p w14:paraId="7243F5D1" w14:textId="77777777" w:rsidR="00034E8D" w:rsidRDefault="00034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62BF2" w14:textId="77777777" w:rsidR="00474986" w:rsidRDefault="0047498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B20CE" w14:textId="77777777" w:rsidR="00034E8D" w:rsidRDefault="00034E8D">
      <w:r>
        <w:separator/>
      </w:r>
    </w:p>
  </w:footnote>
  <w:footnote w:type="continuationSeparator" w:id="0">
    <w:p w14:paraId="092C2150" w14:textId="77777777" w:rsidR="00034E8D" w:rsidRDefault="00034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3DB97" w14:textId="77777777" w:rsidR="00474986" w:rsidRDefault="0047498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2D48A6BC"/>
    <w:lvl w:ilvl="0">
      <w:start w:val="1"/>
      <w:numFmt w:val="decimal"/>
      <w:lvlText w:val="%1"/>
      <w:lvlJc w:val="left"/>
      <w:pPr>
        <w:ind w:left="360" w:hanging="360"/>
      </w:pPr>
      <w:rPr>
        <w:rFonts w:ascii="Ericsson Hilda" w:hAnsi="Ericsson Hilda" w:hint="default"/>
        <w:b w:val="0"/>
        <w:i w:val="0"/>
        <w:sz w:val="28"/>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cs="Times New Roman"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lvl>
    <w:lvl w:ilvl="4" w:tplc="D052756E">
      <w:start w:val="1"/>
      <w:numFmt w:val="bullet"/>
      <w:lvlText w:val=""/>
      <w:lvlJc w:val="left"/>
      <w:pPr>
        <w:tabs>
          <w:tab w:val="num" w:pos="3600"/>
        </w:tabs>
        <w:ind w:left="3600" w:hanging="360"/>
      </w:pPr>
      <w:rPr>
        <w:rFonts w:ascii="Wingdings" w:hAnsi="Wingdings" w:hint="default"/>
      </w:rPr>
    </w:lvl>
    <w:lvl w:ilvl="5" w:tplc="9CD4DE88">
      <w:start w:val="1"/>
      <w:numFmt w:val="bullet"/>
      <w:lvlText w:val=""/>
      <w:lvlJc w:val="left"/>
      <w:pPr>
        <w:tabs>
          <w:tab w:val="num" w:pos="4320"/>
        </w:tabs>
        <w:ind w:left="4320" w:hanging="360"/>
      </w:pPr>
      <w:rPr>
        <w:rFonts w:ascii="Wingdings" w:hAnsi="Wingdings" w:hint="default"/>
      </w:rPr>
    </w:lvl>
    <w:lvl w:ilvl="6" w:tplc="C1322AB0">
      <w:start w:val="1"/>
      <w:numFmt w:val="bullet"/>
      <w:lvlText w:val=""/>
      <w:lvlJc w:val="left"/>
      <w:pPr>
        <w:tabs>
          <w:tab w:val="num" w:pos="5040"/>
        </w:tabs>
        <w:ind w:left="5040" w:hanging="360"/>
      </w:pPr>
      <w:rPr>
        <w:rFonts w:ascii="Wingdings" w:hAnsi="Wingdings" w:hint="default"/>
      </w:rPr>
    </w:lvl>
    <w:lvl w:ilvl="7" w:tplc="193A4186">
      <w:start w:val="1"/>
      <w:numFmt w:val="bullet"/>
      <w:lvlText w:val=""/>
      <w:lvlJc w:val="left"/>
      <w:pPr>
        <w:tabs>
          <w:tab w:val="num" w:pos="5760"/>
        </w:tabs>
        <w:ind w:left="5760" w:hanging="360"/>
      </w:pPr>
      <w:rPr>
        <w:rFonts w:ascii="Wingdings" w:hAnsi="Wingdings" w:hint="default"/>
      </w:rPr>
    </w:lvl>
    <w:lvl w:ilvl="8" w:tplc="0C0EC8D4">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1C84D7D"/>
    <w:multiLevelType w:val="hybridMultilevel"/>
    <w:tmpl w:val="BCDA69A2"/>
    <w:lvl w:ilvl="0" w:tplc="938E2E78">
      <w:start w:val="1"/>
      <w:numFmt w:val="decimal"/>
      <w:lvlText w:val="%1."/>
      <w:lvlJc w:val="left"/>
      <w:pPr>
        <w:ind w:left="1080" w:hanging="720"/>
      </w:p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2F20926"/>
    <w:multiLevelType w:val="hybridMultilevel"/>
    <w:tmpl w:val="564AAD56"/>
    <w:lvl w:ilvl="0" w:tplc="041D000F">
      <w:start w:val="1"/>
      <w:numFmt w:val="decimal"/>
      <w:lvlText w:val="%1."/>
      <w:lvlJc w:val="left"/>
      <w:pPr>
        <w:ind w:left="2024" w:hanging="360"/>
      </w:pPr>
    </w:lvl>
    <w:lvl w:ilvl="1" w:tplc="041D0019" w:tentative="1">
      <w:start w:val="1"/>
      <w:numFmt w:val="lowerLetter"/>
      <w:lvlText w:val="%2."/>
      <w:lvlJc w:val="left"/>
      <w:pPr>
        <w:ind w:left="2744" w:hanging="360"/>
      </w:pPr>
    </w:lvl>
    <w:lvl w:ilvl="2" w:tplc="041D001B" w:tentative="1">
      <w:start w:val="1"/>
      <w:numFmt w:val="lowerRoman"/>
      <w:lvlText w:val="%3."/>
      <w:lvlJc w:val="right"/>
      <w:pPr>
        <w:ind w:left="3464" w:hanging="180"/>
      </w:pPr>
    </w:lvl>
    <w:lvl w:ilvl="3" w:tplc="041D000F" w:tentative="1">
      <w:start w:val="1"/>
      <w:numFmt w:val="decimal"/>
      <w:lvlText w:val="%4."/>
      <w:lvlJc w:val="left"/>
      <w:pPr>
        <w:ind w:left="4184" w:hanging="360"/>
      </w:pPr>
    </w:lvl>
    <w:lvl w:ilvl="4" w:tplc="041D0019" w:tentative="1">
      <w:start w:val="1"/>
      <w:numFmt w:val="lowerLetter"/>
      <w:lvlText w:val="%5."/>
      <w:lvlJc w:val="left"/>
      <w:pPr>
        <w:ind w:left="4904" w:hanging="360"/>
      </w:pPr>
    </w:lvl>
    <w:lvl w:ilvl="5" w:tplc="041D001B" w:tentative="1">
      <w:start w:val="1"/>
      <w:numFmt w:val="lowerRoman"/>
      <w:lvlText w:val="%6."/>
      <w:lvlJc w:val="right"/>
      <w:pPr>
        <w:ind w:left="5624" w:hanging="180"/>
      </w:pPr>
    </w:lvl>
    <w:lvl w:ilvl="6" w:tplc="041D000F" w:tentative="1">
      <w:start w:val="1"/>
      <w:numFmt w:val="decimal"/>
      <w:lvlText w:val="%7."/>
      <w:lvlJc w:val="left"/>
      <w:pPr>
        <w:ind w:left="6344" w:hanging="360"/>
      </w:pPr>
    </w:lvl>
    <w:lvl w:ilvl="7" w:tplc="041D0019" w:tentative="1">
      <w:start w:val="1"/>
      <w:numFmt w:val="lowerLetter"/>
      <w:lvlText w:val="%8."/>
      <w:lvlJc w:val="left"/>
      <w:pPr>
        <w:ind w:left="7064" w:hanging="360"/>
      </w:pPr>
    </w:lvl>
    <w:lvl w:ilvl="8" w:tplc="041D001B" w:tentative="1">
      <w:start w:val="1"/>
      <w:numFmt w:val="lowerRoman"/>
      <w:lvlText w:val="%9."/>
      <w:lvlJc w:val="right"/>
      <w:pPr>
        <w:ind w:left="7784"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AA5795"/>
    <w:multiLevelType w:val="hybridMultilevel"/>
    <w:tmpl w:val="BCDA69A2"/>
    <w:lvl w:ilvl="0" w:tplc="938E2E78">
      <w:start w:val="1"/>
      <w:numFmt w:val="decimal"/>
      <w:lvlText w:val="%1."/>
      <w:lvlJc w:val="left"/>
      <w:pPr>
        <w:ind w:left="1080" w:hanging="720"/>
      </w:p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8B209C6"/>
    <w:multiLevelType w:val="hybridMultilevel"/>
    <w:tmpl w:val="C0E22A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cs="Times New Roman" w:hint="default"/>
      </w:rPr>
    </w:lvl>
    <w:lvl w:ilvl="2" w:tplc="409E82E8">
      <w:numFmt w:val="bullet"/>
      <w:lvlText w:val=""/>
      <w:lvlJc w:val="left"/>
      <w:pPr>
        <w:tabs>
          <w:tab w:val="num" w:pos="2160"/>
        </w:tabs>
        <w:ind w:left="2160" w:hanging="360"/>
      </w:pPr>
      <w:rPr>
        <w:rFonts w:ascii="Wingdings" w:hAnsi="Wingdings" w:hint="default"/>
      </w:rPr>
    </w:lvl>
    <w:lvl w:ilvl="3" w:tplc="5DBA0B02">
      <w:start w:val="1"/>
      <w:numFmt w:val="bullet"/>
      <w:lvlText w:val=""/>
      <w:lvlJc w:val="left"/>
      <w:pPr>
        <w:tabs>
          <w:tab w:val="num" w:pos="2880"/>
        </w:tabs>
        <w:ind w:left="2880" w:hanging="360"/>
      </w:pPr>
      <w:rPr>
        <w:rFonts w:ascii="Wingdings" w:hAnsi="Wingdings" w:hint="default"/>
      </w:rPr>
    </w:lvl>
    <w:lvl w:ilvl="4" w:tplc="D052756E">
      <w:start w:val="1"/>
      <w:numFmt w:val="bullet"/>
      <w:lvlText w:val=""/>
      <w:lvlJc w:val="left"/>
      <w:pPr>
        <w:tabs>
          <w:tab w:val="num" w:pos="3600"/>
        </w:tabs>
        <w:ind w:left="3600" w:hanging="360"/>
      </w:pPr>
      <w:rPr>
        <w:rFonts w:ascii="Wingdings" w:hAnsi="Wingdings" w:hint="default"/>
      </w:rPr>
    </w:lvl>
    <w:lvl w:ilvl="5" w:tplc="9CD4DE88">
      <w:start w:val="1"/>
      <w:numFmt w:val="bullet"/>
      <w:lvlText w:val=""/>
      <w:lvlJc w:val="left"/>
      <w:pPr>
        <w:tabs>
          <w:tab w:val="num" w:pos="4320"/>
        </w:tabs>
        <w:ind w:left="4320" w:hanging="360"/>
      </w:pPr>
      <w:rPr>
        <w:rFonts w:ascii="Wingdings" w:hAnsi="Wingdings" w:hint="default"/>
      </w:rPr>
    </w:lvl>
    <w:lvl w:ilvl="6" w:tplc="C1322AB0">
      <w:start w:val="1"/>
      <w:numFmt w:val="bullet"/>
      <w:lvlText w:val=""/>
      <w:lvlJc w:val="left"/>
      <w:pPr>
        <w:tabs>
          <w:tab w:val="num" w:pos="5040"/>
        </w:tabs>
        <w:ind w:left="5040" w:hanging="360"/>
      </w:pPr>
      <w:rPr>
        <w:rFonts w:ascii="Wingdings" w:hAnsi="Wingdings" w:hint="default"/>
      </w:rPr>
    </w:lvl>
    <w:lvl w:ilvl="7" w:tplc="193A4186">
      <w:start w:val="1"/>
      <w:numFmt w:val="bullet"/>
      <w:lvlText w:val=""/>
      <w:lvlJc w:val="left"/>
      <w:pPr>
        <w:tabs>
          <w:tab w:val="num" w:pos="5760"/>
        </w:tabs>
        <w:ind w:left="5760" w:hanging="360"/>
      </w:pPr>
      <w:rPr>
        <w:rFonts w:ascii="Wingdings" w:hAnsi="Wingdings" w:hint="default"/>
      </w:rPr>
    </w:lvl>
    <w:lvl w:ilvl="8" w:tplc="0C0EC8D4">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BE0B57"/>
    <w:multiLevelType w:val="hybridMultilevel"/>
    <w:tmpl w:val="AB543836"/>
    <w:lvl w:ilvl="0" w:tplc="938E2E78">
      <w:start w:val="1"/>
      <w:numFmt w:val="decimal"/>
      <w:lvlText w:val="%1."/>
      <w:lvlJc w:val="left"/>
      <w:pPr>
        <w:ind w:left="1080" w:hanging="720"/>
      </w:pPr>
    </w:lvl>
    <w:lvl w:ilvl="1" w:tplc="99C6D282">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786576C"/>
    <w:multiLevelType w:val="hybridMultilevel"/>
    <w:tmpl w:val="55923980"/>
    <w:lvl w:ilvl="0" w:tplc="70E8DD66">
      <w:start w:val="2"/>
      <w:numFmt w:val="bullet"/>
      <w:lvlText w:val="-"/>
      <w:lvlJc w:val="left"/>
      <w:pPr>
        <w:ind w:left="927" w:hanging="360"/>
      </w:pPr>
      <w:rPr>
        <w:rFonts w:ascii="Ericsson Hilda" w:eastAsia="Times New Roman" w:hAnsi="Ericsson Hilda"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8"/>
  </w:num>
  <w:num w:numId="4">
    <w:abstractNumId w:val="9"/>
  </w:num>
  <w:num w:numId="5">
    <w:abstractNumId w:val="6"/>
  </w:num>
  <w:num w:numId="6">
    <w:abstractNumId w:val="12"/>
  </w:num>
  <w:num w:numId="7">
    <w:abstractNumId w:val="16"/>
  </w:num>
  <w:num w:numId="8">
    <w:abstractNumId w:val="7"/>
  </w:num>
  <w:num w:numId="9">
    <w:abstractNumId w:val="5"/>
  </w:num>
  <w:num w:numId="10">
    <w:abstractNumId w:val="17"/>
  </w:num>
  <w:num w:numId="11">
    <w:abstractNumId w:val="4"/>
    <w:lvlOverride w:ilvl="0"/>
    <w:lvlOverride w:ilvl="1"/>
    <w:lvlOverride w:ilvl="2"/>
    <w:lvlOverride w:ilvl="3">
      <w:startOverride w:val="1"/>
    </w:lvlOverride>
    <w:lvlOverride w:ilvl="4"/>
    <w:lvlOverride w:ilvl="5"/>
    <w:lvlOverride w:ilvl="6"/>
    <w:lvlOverride w:ilvl="7"/>
    <w:lvlOverride w:ilvl="8"/>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9"/>
  </w:num>
  <w:num w:numId="17">
    <w:abstractNumId w:val="11"/>
  </w:num>
  <w:num w:numId="18">
    <w:abstractNumId w:val="3"/>
  </w:num>
  <w:num w:numId="19">
    <w:abstractNumId w:val="14"/>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37C7"/>
    <w:rsid w:val="00006446"/>
    <w:rsid w:val="00006896"/>
    <w:rsid w:val="00007CDC"/>
    <w:rsid w:val="000102C5"/>
    <w:rsid w:val="00011B28"/>
    <w:rsid w:val="00015D15"/>
    <w:rsid w:val="00017381"/>
    <w:rsid w:val="00020E7E"/>
    <w:rsid w:val="000229AF"/>
    <w:rsid w:val="00023351"/>
    <w:rsid w:val="0002564D"/>
    <w:rsid w:val="00025ECA"/>
    <w:rsid w:val="00027AC9"/>
    <w:rsid w:val="000325B8"/>
    <w:rsid w:val="00034C15"/>
    <w:rsid w:val="00034E8D"/>
    <w:rsid w:val="00035785"/>
    <w:rsid w:val="00036BA1"/>
    <w:rsid w:val="000422E2"/>
    <w:rsid w:val="00042F22"/>
    <w:rsid w:val="000444EF"/>
    <w:rsid w:val="000466A1"/>
    <w:rsid w:val="00050ADD"/>
    <w:rsid w:val="00052A07"/>
    <w:rsid w:val="000534E3"/>
    <w:rsid w:val="00054028"/>
    <w:rsid w:val="0005606A"/>
    <w:rsid w:val="00057117"/>
    <w:rsid w:val="000616E7"/>
    <w:rsid w:val="0006450D"/>
    <w:rsid w:val="0006487E"/>
    <w:rsid w:val="00065D5B"/>
    <w:rsid w:val="00065E1A"/>
    <w:rsid w:val="000772FE"/>
    <w:rsid w:val="00077E5F"/>
    <w:rsid w:val="0008036A"/>
    <w:rsid w:val="00081AE6"/>
    <w:rsid w:val="000855EB"/>
    <w:rsid w:val="00085B52"/>
    <w:rsid w:val="000866F2"/>
    <w:rsid w:val="0009009F"/>
    <w:rsid w:val="00090554"/>
    <w:rsid w:val="000905F6"/>
    <w:rsid w:val="00091557"/>
    <w:rsid w:val="000924C1"/>
    <w:rsid w:val="000924F0"/>
    <w:rsid w:val="00093474"/>
    <w:rsid w:val="0009510F"/>
    <w:rsid w:val="00096CF7"/>
    <w:rsid w:val="00096CFC"/>
    <w:rsid w:val="000A1B7B"/>
    <w:rsid w:val="000A2DBD"/>
    <w:rsid w:val="000A56F2"/>
    <w:rsid w:val="000B2719"/>
    <w:rsid w:val="000B3A8F"/>
    <w:rsid w:val="000B4AB9"/>
    <w:rsid w:val="000B58C3"/>
    <w:rsid w:val="000B61E9"/>
    <w:rsid w:val="000C0123"/>
    <w:rsid w:val="000C165A"/>
    <w:rsid w:val="000C2E19"/>
    <w:rsid w:val="000C4F16"/>
    <w:rsid w:val="000D0A74"/>
    <w:rsid w:val="000D0D07"/>
    <w:rsid w:val="000D4797"/>
    <w:rsid w:val="000D693F"/>
    <w:rsid w:val="000D7AE3"/>
    <w:rsid w:val="000E0527"/>
    <w:rsid w:val="000E1E92"/>
    <w:rsid w:val="000F06D6"/>
    <w:rsid w:val="000F0EB1"/>
    <w:rsid w:val="000F1106"/>
    <w:rsid w:val="000F3BE9"/>
    <w:rsid w:val="000F3F6C"/>
    <w:rsid w:val="000F6DF3"/>
    <w:rsid w:val="001005FF"/>
    <w:rsid w:val="00102947"/>
    <w:rsid w:val="00105A21"/>
    <w:rsid w:val="001062FB"/>
    <w:rsid w:val="001063E6"/>
    <w:rsid w:val="00113CF4"/>
    <w:rsid w:val="001153EA"/>
    <w:rsid w:val="00115643"/>
    <w:rsid w:val="00115F6A"/>
    <w:rsid w:val="00116765"/>
    <w:rsid w:val="00117DCE"/>
    <w:rsid w:val="00120075"/>
    <w:rsid w:val="001219F5"/>
    <w:rsid w:val="00121A20"/>
    <w:rsid w:val="0012377F"/>
    <w:rsid w:val="00124314"/>
    <w:rsid w:val="00126B4A"/>
    <w:rsid w:val="00132FD0"/>
    <w:rsid w:val="001344C0"/>
    <w:rsid w:val="001346FA"/>
    <w:rsid w:val="00135252"/>
    <w:rsid w:val="00137452"/>
    <w:rsid w:val="00137AB5"/>
    <w:rsid w:val="00137F0B"/>
    <w:rsid w:val="0014470F"/>
    <w:rsid w:val="00146F66"/>
    <w:rsid w:val="00151E23"/>
    <w:rsid w:val="001526E0"/>
    <w:rsid w:val="00153336"/>
    <w:rsid w:val="0015519C"/>
    <w:rsid w:val="001551B5"/>
    <w:rsid w:val="00162804"/>
    <w:rsid w:val="001659C1"/>
    <w:rsid w:val="00173A8E"/>
    <w:rsid w:val="0017678C"/>
    <w:rsid w:val="0018143F"/>
    <w:rsid w:val="001858B4"/>
    <w:rsid w:val="0018696A"/>
    <w:rsid w:val="00187423"/>
    <w:rsid w:val="00190AC1"/>
    <w:rsid w:val="0019341A"/>
    <w:rsid w:val="00196FDE"/>
    <w:rsid w:val="00197DF9"/>
    <w:rsid w:val="001A1987"/>
    <w:rsid w:val="001A2564"/>
    <w:rsid w:val="001A5653"/>
    <w:rsid w:val="001A6173"/>
    <w:rsid w:val="001A6CBA"/>
    <w:rsid w:val="001B0D97"/>
    <w:rsid w:val="001B4EE7"/>
    <w:rsid w:val="001B5A5D"/>
    <w:rsid w:val="001B7C6F"/>
    <w:rsid w:val="001C10D7"/>
    <w:rsid w:val="001C12C5"/>
    <w:rsid w:val="001C1CE5"/>
    <w:rsid w:val="001C3D2A"/>
    <w:rsid w:val="001D239F"/>
    <w:rsid w:val="001D51BA"/>
    <w:rsid w:val="001D5C65"/>
    <w:rsid w:val="001D6342"/>
    <w:rsid w:val="001D6C84"/>
    <w:rsid w:val="001D6D53"/>
    <w:rsid w:val="001D75B0"/>
    <w:rsid w:val="001E54E8"/>
    <w:rsid w:val="001E58E2"/>
    <w:rsid w:val="001E7AED"/>
    <w:rsid w:val="001F3916"/>
    <w:rsid w:val="001F54C5"/>
    <w:rsid w:val="001F613B"/>
    <w:rsid w:val="001F662C"/>
    <w:rsid w:val="001F7074"/>
    <w:rsid w:val="00200490"/>
    <w:rsid w:val="00201F3A"/>
    <w:rsid w:val="00203F96"/>
    <w:rsid w:val="002069B2"/>
    <w:rsid w:val="00207374"/>
    <w:rsid w:val="00207E3F"/>
    <w:rsid w:val="00207FA3"/>
    <w:rsid w:val="002145CA"/>
    <w:rsid w:val="00214DA8"/>
    <w:rsid w:val="00215423"/>
    <w:rsid w:val="002158FA"/>
    <w:rsid w:val="00215AF2"/>
    <w:rsid w:val="00220600"/>
    <w:rsid w:val="002224DB"/>
    <w:rsid w:val="002226B1"/>
    <w:rsid w:val="00223FCB"/>
    <w:rsid w:val="002252C3"/>
    <w:rsid w:val="00225C54"/>
    <w:rsid w:val="00230765"/>
    <w:rsid w:val="002319E4"/>
    <w:rsid w:val="002334ED"/>
    <w:rsid w:val="00235632"/>
    <w:rsid w:val="00235872"/>
    <w:rsid w:val="0023740E"/>
    <w:rsid w:val="00240955"/>
    <w:rsid w:val="0024129B"/>
    <w:rsid w:val="00241559"/>
    <w:rsid w:val="002418F8"/>
    <w:rsid w:val="002435B3"/>
    <w:rsid w:val="002458EB"/>
    <w:rsid w:val="002500C8"/>
    <w:rsid w:val="00250F6D"/>
    <w:rsid w:val="00257543"/>
    <w:rsid w:val="00260091"/>
    <w:rsid w:val="002617E7"/>
    <w:rsid w:val="00264228"/>
    <w:rsid w:val="00264334"/>
    <w:rsid w:val="0026473E"/>
    <w:rsid w:val="00266214"/>
    <w:rsid w:val="00267C83"/>
    <w:rsid w:val="0027144F"/>
    <w:rsid w:val="00271F3A"/>
    <w:rsid w:val="00273278"/>
    <w:rsid w:val="002737F4"/>
    <w:rsid w:val="002805F5"/>
    <w:rsid w:val="00280751"/>
    <w:rsid w:val="0028280A"/>
    <w:rsid w:val="00282E6E"/>
    <w:rsid w:val="00285D54"/>
    <w:rsid w:val="00286ACD"/>
    <w:rsid w:val="00287747"/>
    <w:rsid w:val="00287838"/>
    <w:rsid w:val="002907B5"/>
    <w:rsid w:val="00292EB7"/>
    <w:rsid w:val="00296227"/>
    <w:rsid w:val="00296F44"/>
    <w:rsid w:val="0029777D"/>
    <w:rsid w:val="002A055E"/>
    <w:rsid w:val="002A1D4E"/>
    <w:rsid w:val="002A2869"/>
    <w:rsid w:val="002B24D6"/>
    <w:rsid w:val="002C41E6"/>
    <w:rsid w:val="002C4C7F"/>
    <w:rsid w:val="002D071A"/>
    <w:rsid w:val="002D34B2"/>
    <w:rsid w:val="002D7637"/>
    <w:rsid w:val="002D7BB1"/>
    <w:rsid w:val="002E17F2"/>
    <w:rsid w:val="002E3A29"/>
    <w:rsid w:val="002E3CAB"/>
    <w:rsid w:val="002E7CAE"/>
    <w:rsid w:val="002F2771"/>
    <w:rsid w:val="002F37A9"/>
    <w:rsid w:val="00301CE6"/>
    <w:rsid w:val="0030256B"/>
    <w:rsid w:val="0030501F"/>
    <w:rsid w:val="00307BA1"/>
    <w:rsid w:val="0031080B"/>
    <w:rsid w:val="003109E5"/>
    <w:rsid w:val="00311702"/>
    <w:rsid w:val="00311953"/>
    <w:rsid w:val="00311E82"/>
    <w:rsid w:val="00313022"/>
    <w:rsid w:val="00313FD6"/>
    <w:rsid w:val="003143BD"/>
    <w:rsid w:val="00317012"/>
    <w:rsid w:val="003203ED"/>
    <w:rsid w:val="0032100A"/>
    <w:rsid w:val="00322C9F"/>
    <w:rsid w:val="00324D23"/>
    <w:rsid w:val="003261D6"/>
    <w:rsid w:val="00331751"/>
    <w:rsid w:val="00334579"/>
    <w:rsid w:val="00334F0D"/>
    <w:rsid w:val="00335329"/>
    <w:rsid w:val="00335858"/>
    <w:rsid w:val="00336BDA"/>
    <w:rsid w:val="00340AC3"/>
    <w:rsid w:val="00341494"/>
    <w:rsid w:val="00342BD7"/>
    <w:rsid w:val="00343EC9"/>
    <w:rsid w:val="00346DB5"/>
    <w:rsid w:val="003477B1"/>
    <w:rsid w:val="00351F87"/>
    <w:rsid w:val="003530DA"/>
    <w:rsid w:val="00357380"/>
    <w:rsid w:val="003602D9"/>
    <w:rsid w:val="003604CE"/>
    <w:rsid w:val="00361756"/>
    <w:rsid w:val="00370E47"/>
    <w:rsid w:val="003742AC"/>
    <w:rsid w:val="0037573F"/>
    <w:rsid w:val="00376F19"/>
    <w:rsid w:val="003778D9"/>
    <w:rsid w:val="00377A83"/>
    <w:rsid w:val="00377CE1"/>
    <w:rsid w:val="0038302F"/>
    <w:rsid w:val="00384578"/>
    <w:rsid w:val="003852F9"/>
    <w:rsid w:val="00385BF0"/>
    <w:rsid w:val="0039227B"/>
    <w:rsid w:val="00393923"/>
    <w:rsid w:val="003939FF"/>
    <w:rsid w:val="00393B25"/>
    <w:rsid w:val="00394C8D"/>
    <w:rsid w:val="003A2223"/>
    <w:rsid w:val="003A2A0F"/>
    <w:rsid w:val="003A2B13"/>
    <w:rsid w:val="003A45A1"/>
    <w:rsid w:val="003A5B0A"/>
    <w:rsid w:val="003A6BAC"/>
    <w:rsid w:val="003A7EF3"/>
    <w:rsid w:val="003B159C"/>
    <w:rsid w:val="003B369F"/>
    <w:rsid w:val="003B36A3"/>
    <w:rsid w:val="003B7FE5"/>
    <w:rsid w:val="003C11C8"/>
    <w:rsid w:val="003C2702"/>
    <w:rsid w:val="003C67E7"/>
    <w:rsid w:val="003C7806"/>
    <w:rsid w:val="003D109F"/>
    <w:rsid w:val="003D2478"/>
    <w:rsid w:val="003D37C4"/>
    <w:rsid w:val="003D5B1F"/>
    <w:rsid w:val="003E15FA"/>
    <w:rsid w:val="003E2E00"/>
    <w:rsid w:val="003E55E4"/>
    <w:rsid w:val="003E74E3"/>
    <w:rsid w:val="003F05C7"/>
    <w:rsid w:val="003F0C13"/>
    <w:rsid w:val="003F0C5C"/>
    <w:rsid w:val="003F2966"/>
    <w:rsid w:val="003F2CD4"/>
    <w:rsid w:val="003F6BBE"/>
    <w:rsid w:val="004000E8"/>
    <w:rsid w:val="00402CB9"/>
    <w:rsid w:val="00402E2B"/>
    <w:rsid w:val="0040512B"/>
    <w:rsid w:val="004058D5"/>
    <w:rsid w:val="00405CA5"/>
    <w:rsid w:val="00407CD3"/>
    <w:rsid w:val="00410134"/>
    <w:rsid w:val="00410B72"/>
    <w:rsid w:val="00410F18"/>
    <w:rsid w:val="0041263E"/>
    <w:rsid w:val="00413AAC"/>
    <w:rsid w:val="004144A8"/>
    <w:rsid w:val="00420764"/>
    <w:rsid w:val="00421105"/>
    <w:rsid w:val="004242F4"/>
    <w:rsid w:val="00427248"/>
    <w:rsid w:val="00427DAF"/>
    <w:rsid w:val="00432473"/>
    <w:rsid w:val="004325F6"/>
    <w:rsid w:val="00434383"/>
    <w:rsid w:val="00437447"/>
    <w:rsid w:val="00441A92"/>
    <w:rsid w:val="00444F56"/>
    <w:rsid w:val="00446488"/>
    <w:rsid w:val="004517AA"/>
    <w:rsid w:val="00452CAC"/>
    <w:rsid w:val="004555B2"/>
    <w:rsid w:val="00457565"/>
    <w:rsid w:val="00457B71"/>
    <w:rsid w:val="0046395D"/>
    <w:rsid w:val="004669E2"/>
    <w:rsid w:val="00470C31"/>
    <w:rsid w:val="004734D0"/>
    <w:rsid w:val="00474986"/>
    <w:rsid w:val="0047556B"/>
    <w:rsid w:val="00477768"/>
    <w:rsid w:val="004858CA"/>
    <w:rsid w:val="00492BC5"/>
    <w:rsid w:val="004944A2"/>
    <w:rsid w:val="004964F1"/>
    <w:rsid w:val="004972D4"/>
    <w:rsid w:val="004A0897"/>
    <w:rsid w:val="004A16BC"/>
    <w:rsid w:val="004A2B94"/>
    <w:rsid w:val="004A40BC"/>
    <w:rsid w:val="004B397F"/>
    <w:rsid w:val="004B6941"/>
    <w:rsid w:val="004B7C0C"/>
    <w:rsid w:val="004C173C"/>
    <w:rsid w:val="004C3898"/>
    <w:rsid w:val="004C4B1D"/>
    <w:rsid w:val="004C636B"/>
    <w:rsid w:val="004D36B1"/>
    <w:rsid w:val="004D7EBD"/>
    <w:rsid w:val="004E1BF1"/>
    <w:rsid w:val="004E1DD9"/>
    <w:rsid w:val="004E2680"/>
    <w:rsid w:val="004E28F9"/>
    <w:rsid w:val="004E462E"/>
    <w:rsid w:val="004E56DC"/>
    <w:rsid w:val="004E76F4"/>
    <w:rsid w:val="004F046A"/>
    <w:rsid w:val="004F0B4E"/>
    <w:rsid w:val="004F0B6C"/>
    <w:rsid w:val="004F2078"/>
    <w:rsid w:val="004F4DA3"/>
    <w:rsid w:val="0050097E"/>
    <w:rsid w:val="00506416"/>
    <w:rsid w:val="00506557"/>
    <w:rsid w:val="0050677A"/>
    <w:rsid w:val="005108D8"/>
    <w:rsid w:val="005116F9"/>
    <w:rsid w:val="00512213"/>
    <w:rsid w:val="00514673"/>
    <w:rsid w:val="005153A7"/>
    <w:rsid w:val="0051727A"/>
    <w:rsid w:val="005219CF"/>
    <w:rsid w:val="00534B59"/>
    <w:rsid w:val="00536759"/>
    <w:rsid w:val="00537C62"/>
    <w:rsid w:val="00542C61"/>
    <w:rsid w:val="00546970"/>
    <w:rsid w:val="00553439"/>
    <w:rsid w:val="00554E19"/>
    <w:rsid w:val="0056121F"/>
    <w:rsid w:val="00572505"/>
    <w:rsid w:val="005752BC"/>
    <w:rsid w:val="00582809"/>
    <w:rsid w:val="0058798C"/>
    <w:rsid w:val="005900FA"/>
    <w:rsid w:val="005935A4"/>
    <w:rsid w:val="005948C2"/>
    <w:rsid w:val="00595DCA"/>
    <w:rsid w:val="0059779B"/>
    <w:rsid w:val="005A209A"/>
    <w:rsid w:val="005A662D"/>
    <w:rsid w:val="005B35D7"/>
    <w:rsid w:val="005B392A"/>
    <w:rsid w:val="005B3AA3"/>
    <w:rsid w:val="005B6F83"/>
    <w:rsid w:val="005C31D4"/>
    <w:rsid w:val="005C58A5"/>
    <w:rsid w:val="005C74FB"/>
    <w:rsid w:val="005D1602"/>
    <w:rsid w:val="005E385F"/>
    <w:rsid w:val="005E5B81"/>
    <w:rsid w:val="005E7666"/>
    <w:rsid w:val="005F2CB1"/>
    <w:rsid w:val="005F348E"/>
    <w:rsid w:val="005F618C"/>
    <w:rsid w:val="005F70BD"/>
    <w:rsid w:val="005F7ED0"/>
    <w:rsid w:val="0060283C"/>
    <w:rsid w:val="00603D68"/>
    <w:rsid w:val="00604F14"/>
    <w:rsid w:val="00611813"/>
    <w:rsid w:val="00611B83"/>
    <w:rsid w:val="00611C21"/>
    <w:rsid w:val="00613257"/>
    <w:rsid w:val="00613381"/>
    <w:rsid w:val="00617562"/>
    <w:rsid w:val="00620A71"/>
    <w:rsid w:val="00620D58"/>
    <w:rsid w:val="00620D80"/>
    <w:rsid w:val="006234A6"/>
    <w:rsid w:val="00630001"/>
    <w:rsid w:val="006311B3"/>
    <w:rsid w:val="0063284C"/>
    <w:rsid w:val="006335C4"/>
    <w:rsid w:val="00636398"/>
    <w:rsid w:val="006368D3"/>
    <w:rsid w:val="00636C30"/>
    <w:rsid w:val="006377EC"/>
    <w:rsid w:val="0064151F"/>
    <w:rsid w:val="00641533"/>
    <w:rsid w:val="0064208D"/>
    <w:rsid w:val="00643475"/>
    <w:rsid w:val="0064396A"/>
    <w:rsid w:val="00643A01"/>
    <w:rsid w:val="0064624E"/>
    <w:rsid w:val="00650AB9"/>
    <w:rsid w:val="0065488A"/>
    <w:rsid w:val="00655733"/>
    <w:rsid w:val="00655ACD"/>
    <w:rsid w:val="00656A92"/>
    <w:rsid w:val="00656DDE"/>
    <w:rsid w:val="00656F6D"/>
    <w:rsid w:val="0066011D"/>
    <w:rsid w:val="006607C0"/>
    <w:rsid w:val="006613A6"/>
    <w:rsid w:val="00661568"/>
    <w:rsid w:val="0066236D"/>
    <w:rsid w:val="006627A2"/>
    <w:rsid w:val="006634E6"/>
    <w:rsid w:val="006655EE"/>
    <w:rsid w:val="00665986"/>
    <w:rsid w:val="00667132"/>
    <w:rsid w:val="00667EE7"/>
    <w:rsid w:val="00670335"/>
    <w:rsid w:val="00670922"/>
    <w:rsid w:val="00670BE1"/>
    <w:rsid w:val="0067218F"/>
    <w:rsid w:val="006741F2"/>
    <w:rsid w:val="00674CC3"/>
    <w:rsid w:val="00675C72"/>
    <w:rsid w:val="006771F9"/>
    <w:rsid w:val="00677291"/>
    <w:rsid w:val="006776D7"/>
    <w:rsid w:val="00681003"/>
    <w:rsid w:val="006817C9"/>
    <w:rsid w:val="00683ECE"/>
    <w:rsid w:val="00685BC7"/>
    <w:rsid w:val="00686CC9"/>
    <w:rsid w:val="00690388"/>
    <w:rsid w:val="00695FC2"/>
    <w:rsid w:val="00696949"/>
    <w:rsid w:val="00697052"/>
    <w:rsid w:val="006A2CD7"/>
    <w:rsid w:val="006A46FB"/>
    <w:rsid w:val="006A56D3"/>
    <w:rsid w:val="006A5E28"/>
    <w:rsid w:val="006A61A5"/>
    <w:rsid w:val="006A697B"/>
    <w:rsid w:val="006A7AFF"/>
    <w:rsid w:val="006B0F62"/>
    <w:rsid w:val="006B1816"/>
    <w:rsid w:val="006B2099"/>
    <w:rsid w:val="006B421A"/>
    <w:rsid w:val="006B50CF"/>
    <w:rsid w:val="006B690C"/>
    <w:rsid w:val="006B6C7F"/>
    <w:rsid w:val="006C03B8"/>
    <w:rsid w:val="006C3996"/>
    <w:rsid w:val="006C5EC9"/>
    <w:rsid w:val="006C6059"/>
    <w:rsid w:val="006C7522"/>
    <w:rsid w:val="006D6F08"/>
    <w:rsid w:val="006E062C"/>
    <w:rsid w:val="006E28B7"/>
    <w:rsid w:val="006E3310"/>
    <w:rsid w:val="006E4E39"/>
    <w:rsid w:val="006E565E"/>
    <w:rsid w:val="006E673D"/>
    <w:rsid w:val="006E7D3B"/>
    <w:rsid w:val="006F1B56"/>
    <w:rsid w:val="006F1B70"/>
    <w:rsid w:val="006F1D77"/>
    <w:rsid w:val="006F341D"/>
    <w:rsid w:val="006F3CDE"/>
    <w:rsid w:val="006F4037"/>
    <w:rsid w:val="006F58D4"/>
    <w:rsid w:val="0070346E"/>
    <w:rsid w:val="00704EDB"/>
    <w:rsid w:val="00706101"/>
    <w:rsid w:val="00707072"/>
    <w:rsid w:val="00707D61"/>
    <w:rsid w:val="00711203"/>
    <w:rsid w:val="00712287"/>
    <w:rsid w:val="00712772"/>
    <w:rsid w:val="007148D3"/>
    <w:rsid w:val="00714BE1"/>
    <w:rsid w:val="00715B9A"/>
    <w:rsid w:val="00726EA6"/>
    <w:rsid w:val="00727065"/>
    <w:rsid w:val="00727208"/>
    <w:rsid w:val="00727680"/>
    <w:rsid w:val="00730AE2"/>
    <w:rsid w:val="007348B1"/>
    <w:rsid w:val="007362A6"/>
    <w:rsid w:val="00736B5E"/>
    <w:rsid w:val="00736D7D"/>
    <w:rsid w:val="00740E58"/>
    <w:rsid w:val="007445A0"/>
    <w:rsid w:val="0074524B"/>
    <w:rsid w:val="00747D8B"/>
    <w:rsid w:val="00750903"/>
    <w:rsid w:val="00751228"/>
    <w:rsid w:val="007533D4"/>
    <w:rsid w:val="007571E1"/>
    <w:rsid w:val="007604B2"/>
    <w:rsid w:val="007622E0"/>
    <w:rsid w:val="0076320A"/>
    <w:rsid w:val="007643C0"/>
    <w:rsid w:val="00765281"/>
    <w:rsid w:val="00766BAD"/>
    <w:rsid w:val="00767504"/>
    <w:rsid w:val="007755F2"/>
    <w:rsid w:val="00776971"/>
    <w:rsid w:val="0078039F"/>
    <w:rsid w:val="0078177E"/>
    <w:rsid w:val="0078304C"/>
    <w:rsid w:val="00783673"/>
    <w:rsid w:val="00785490"/>
    <w:rsid w:val="00787FD3"/>
    <w:rsid w:val="007925EA"/>
    <w:rsid w:val="0079355A"/>
    <w:rsid w:val="00793CD8"/>
    <w:rsid w:val="00795C92"/>
    <w:rsid w:val="00796231"/>
    <w:rsid w:val="007A1CB3"/>
    <w:rsid w:val="007A306F"/>
    <w:rsid w:val="007A43A6"/>
    <w:rsid w:val="007A58A6"/>
    <w:rsid w:val="007A5BDF"/>
    <w:rsid w:val="007A5BE0"/>
    <w:rsid w:val="007A73A1"/>
    <w:rsid w:val="007B0275"/>
    <w:rsid w:val="007B1DE3"/>
    <w:rsid w:val="007B3D2D"/>
    <w:rsid w:val="007B50AE"/>
    <w:rsid w:val="007B51DF"/>
    <w:rsid w:val="007C05DD"/>
    <w:rsid w:val="007C3D18"/>
    <w:rsid w:val="007C4C22"/>
    <w:rsid w:val="007C60BF"/>
    <w:rsid w:val="007C6A07"/>
    <w:rsid w:val="007C75A1"/>
    <w:rsid w:val="007C77A5"/>
    <w:rsid w:val="007D04E5"/>
    <w:rsid w:val="007D5901"/>
    <w:rsid w:val="007D5BF9"/>
    <w:rsid w:val="007D7526"/>
    <w:rsid w:val="007E13D1"/>
    <w:rsid w:val="007E4610"/>
    <w:rsid w:val="007E4715"/>
    <w:rsid w:val="007E505B"/>
    <w:rsid w:val="007E6408"/>
    <w:rsid w:val="007E7091"/>
    <w:rsid w:val="007F2CB6"/>
    <w:rsid w:val="007F3BCD"/>
    <w:rsid w:val="0080180E"/>
    <w:rsid w:val="00803AD9"/>
    <w:rsid w:val="00803FAE"/>
    <w:rsid w:val="0080605F"/>
    <w:rsid w:val="00807786"/>
    <w:rsid w:val="00811FCB"/>
    <w:rsid w:val="008158D6"/>
    <w:rsid w:val="00816D7B"/>
    <w:rsid w:val="00817196"/>
    <w:rsid w:val="008235DB"/>
    <w:rsid w:val="008240B6"/>
    <w:rsid w:val="00824AB4"/>
    <w:rsid w:val="00825C42"/>
    <w:rsid w:val="00825D25"/>
    <w:rsid w:val="00827D6F"/>
    <w:rsid w:val="0083152F"/>
    <w:rsid w:val="008376AC"/>
    <w:rsid w:val="008444E8"/>
    <w:rsid w:val="00844E80"/>
    <w:rsid w:val="00846FE7"/>
    <w:rsid w:val="00852F4A"/>
    <w:rsid w:val="00853BBE"/>
    <w:rsid w:val="00856911"/>
    <w:rsid w:val="008677FD"/>
    <w:rsid w:val="008706D4"/>
    <w:rsid w:val="00870F8A"/>
    <w:rsid w:val="008719A4"/>
    <w:rsid w:val="00871D23"/>
    <w:rsid w:val="0087291D"/>
    <w:rsid w:val="0087369A"/>
    <w:rsid w:val="00874312"/>
    <w:rsid w:val="0087437C"/>
    <w:rsid w:val="00875CD7"/>
    <w:rsid w:val="00876B4D"/>
    <w:rsid w:val="00877F18"/>
    <w:rsid w:val="00885266"/>
    <w:rsid w:val="00894A88"/>
    <w:rsid w:val="00895386"/>
    <w:rsid w:val="008A03DA"/>
    <w:rsid w:val="008A21FF"/>
    <w:rsid w:val="008A2CE2"/>
    <w:rsid w:val="008A30AC"/>
    <w:rsid w:val="008A44B8"/>
    <w:rsid w:val="008A51A8"/>
    <w:rsid w:val="008A54C7"/>
    <w:rsid w:val="008A6921"/>
    <w:rsid w:val="008A77D8"/>
    <w:rsid w:val="008A7E65"/>
    <w:rsid w:val="008B0483"/>
    <w:rsid w:val="008B0B04"/>
    <w:rsid w:val="008B120C"/>
    <w:rsid w:val="008B3E27"/>
    <w:rsid w:val="008B51A0"/>
    <w:rsid w:val="008B592A"/>
    <w:rsid w:val="008B5ECD"/>
    <w:rsid w:val="008B7B5C"/>
    <w:rsid w:val="008C0C99"/>
    <w:rsid w:val="008C2017"/>
    <w:rsid w:val="008C2B3D"/>
    <w:rsid w:val="008C4958"/>
    <w:rsid w:val="008C4BAA"/>
    <w:rsid w:val="008C684A"/>
    <w:rsid w:val="008C6AE8"/>
    <w:rsid w:val="008C7573"/>
    <w:rsid w:val="008D34F1"/>
    <w:rsid w:val="008D39D8"/>
    <w:rsid w:val="008D6D1A"/>
    <w:rsid w:val="008D7A62"/>
    <w:rsid w:val="008E0927"/>
    <w:rsid w:val="008E1909"/>
    <w:rsid w:val="008E21EC"/>
    <w:rsid w:val="008F1EAB"/>
    <w:rsid w:val="008F33DC"/>
    <w:rsid w:val="008F477F"/>
    <w:rsid w:val="00901B7D"/>
    <w:rsid w:val="00902350"/>
    <w:rsid w:val="0090336B"/>
    <w:rsid w:val="009053AA"/>
    <w:rsid w:val="00906939"/>
    <w:rsid w:val="00910B7D"/>
    <w:rsid w:val="00911DFB"/>
    <w:rsid w:val="009139D9"/>
    <w:rsid w:val="00914AD8"/>
    <w:rsid w:val="00916079"/>
    <w:rsid w:val="00917CE9"/>
    <w:rsid w:val="00920BF2"/>
    <w:rsid w:val="00922010"/>
    <w:rsid w:val="00931BD9"/>
    <w:rsid w:val="009345C8"/>
    <w:rsid w:val="00934B90"/>
    <w:rsid w:val="009368F3"/>
    <w:rsid w:val="00941636"/>
    <w:rsid w:val="00943742"/>
    <w:rsid w:val="00943ADF"/>
    <w:rsid w:val="00945C05"/>
    <w:rsid w:val="00945EAB"/>
    <w:rsid w:val="00946945"/>
    <w:rsid w:val="00946CD7"/>
    <w:rsid w:val="00947713"/>
    <w:rsid w:val="00947995"/>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0B8E"/>
    <w:rsid w:val="00990BBF"/>
    <w:rsid w:val="00991761"/>
    <w:rsid w:val="00992790"/>
    <w:rsid w:val="00994DCA"/>
    <w:rsid w:val="009960EC"/>
    <w:rsid w:val="009970DD"/>
    <w:rsid w:val="009973F3"/>
    <w:rsid w:val="009A0FBA"/>
    <w:rsid w:val="009A1601"/>
    <w:rsid w:val="009A462D"/>
    <w:rsid w:val="009A5CBA"/>
    <w:rsid w:val="009A5CD7"/>
    <w:rsid w:val="009B1F30"/>
    <w:rsid w:val="009B2CCF"/>
    <w:rsid w:val="009B3AC2"/>
    <w:rsid w:val="009B43B2"/>
    <w:rsid w:val="009B4DF4"/>
    <w:rsid w:val="009B564E"/>
    <w:rsid w:val="009B7E87"/>
    <w:rsid w:val="009C1351"/>
    <w:rsid w:val="009C403E"/>
    <w:rsid w:val="009C50EA"/>
    <w:rsid w:val="009C635B"/>
    <w:rsid w:val="009D0A45"/>
    <w:rsid w:val="009D4FF0"/>
    <w:rsid w:val="009D703C"/>
    <w:rsid w:val="009D718F"/>
    <w:rsid w:val="009E068F"/>
    <w:rsid w:val="009E14E0"/>
    <w:rsid w:val="009E35DB"/>
    <w:rsid w:val="009E47A3"/>
    <w:rsid w:val="009E73FE"/>
    <w:rsid w:val="009F08F3"/>
    <w:rsid w:val="009F1A09"/>
    <w:rsid w:val="009F3059"/>
    <w:rsid w:val="009F344F"/>
    <w:rsid w:val="009F4B8A"/>
    <w:rsid w:val="00A0192F"/>
    <w:rsid w:val="00A048A8"/>
    <w:rsid w:val="00A13E54"/>
    <w:rsid w:val="00A151C7"/>
    <w:rsid w:val="00A15B50"/>
    <w:rsid w:val="00A15D0A"/>
    <w:rsid w:val="00A17F63"/>
    <w:rsid w:val="00A2193B"/>
    <w:rsid w:val="00A2351A"/>
    <w:rsid w:val="00A264A9"/>
    <w:rsid w:val="00A27785"/>
    <w:rsid w:val="00A30187"/>
    <w:rsid w:val="00A3448A"/>
    <w:rsid w:val="00A36297"/>
    <w:rsid w:val="00A41E2B"/>
    <w:rsid w:val="00A45449"/>
    <w:rsid w:val="00A45B74"/>
    <w:rsid w:val="00A52AAE"/>
    <w:rsid w:val="00A52E1D"/>
    <w:rsid w:val="00A61499"/>
    <w:rsid w:val="00A62A77"/>
    <w:rsid w:val="00A63483"/>
    <w:rsid w:val="00A657D7"/>
    <w:rsid w:val="00A660AC"/>
    <w:rsid w:val="00A67E6C"/>
    <w:rsid w:val="00A71B99"/>
    <w:rsid w:val="00A739D0"/>
    <w:rsid w:val="00A75CAF"/>
    <w:rsid w:val="00A761D4"/>
    <w:rsid w:val="00A768DF"/>
    <w:rsid w:val="00A77EC4"/>
    <w:rsid w:val="00A87027"/>
    <w:rsid w:val="00A92879"/>
    <w:rsid w:val="00A9442A"/>
    <w:rsid w:val="00A9722E"/>
    <w:rsid w:val="00AA016F"/>
    <w:rsid w:val="00AA11BA"/>
    <w:rsid w:val="00AA1ED6"/>
    <w:rsid w:val="00AA408A"/>
    <w:rsid w:val="00AA51D6"/>
    <w:rsid w:val="00AB0BC8"/>
    <w:rsid w:val="00AB11CA"/>
    <w:rsid w:val="00AB14D9"/>
    <w:rsid w:val="00AB3A29"/>
    <w:rsid w:val="00AB4AB8"/>
    <w:rsid w:val="00AB655E"/>
    <w:rsid w:val="00AB7731"/>
    <w:rsid w:val="00AC007F"/>
    <w:rsid w:val="00AC042A"/>
    <w:rsid w:val="00AC2ECD"/>
    <w:rsid w:val="00AC2F16"/>
    <w:rsid w:val="00AC3119"/>
    <w:rsid w:val="00AC49FB"/>
    <w:rsid w:val="00AC5A10"/>
    <w:rsid w:val="00AD0AA3"/>
    <w:rsid w:val="00AD3F94"/>
    <w:rsid w:val="00AD4A5A"/>
    <w:rsid w:val="00AE1A17"/>
    <w:rsid w:val="00AE27AC"/>
    <w:rsid w:val="00AE40E0"/>
    <w:rsid w:val="00AE4DBA"/>
    <w:rsid w:val="00AE4F07"/>
    <w:rsid w:val="00AE6F07"/>
    <w:rsid w:val="00AF0652"/>
    <w:rsid w:val="00AF0D1F"/>
    <w:rsid w:val="00AF1C5D"/>
    <w:rsid w:val="00AF42D7"/>
    <w:rsid w:val="00B006FE"/>
    <w:rsid w:val="00B007CB"/>
    <w:rsid w:val="00B01EBA"/>
    <w:rsid w:val="00B02AA9"/>
    <w:rsid w:val="00B02FA3"/>
    <w:rsid w:val="00B05084"/>
    <w:rsid w:val="00B07F0F"/>
    <w:rsid w:val="00B146CE"/>
    <w:rsid w:val="00B157F9"/>
    <w:rsid w:val="00B16E3F"/>
    <w:rsid w:val="00B20256"/>
    <w:rsid w:val="00B20D09"/>
    <w:rsid w:val="00B27153"/>
    <w:rsid w:val="00B2763F"/>
    <w:rsid w:val="00B27AAC"/>
    <w:rsid w:val="00B30929"/>
    <w:rsid w:val="00B31856"/>
    <w:rsid w:val="00B351AF"/>
    <w:rsid w:val="00B372AA"/>
    <w:rsid w:val="00B40445"/>
    <w:rsid w:val="00B41888"/>
    <w:rsid w:val="00B440BD"/>
    <w:rsid w:val="00B45A52"/>
    <w:rsid w:val="00B46175"/>
    <w:rsid w:val="00B507AC"/>
    <w:rsid w:val="00B573F1"/>
    <w:rsid w:val="00B664C7"/>
    <w:rsid w:val="00B71027"/>
    <w:rsid w:val="00B739F6"/>
    <w:rsid w:val="00B758FD"/>
    <w:rsid w:val="00B80869"/>
    <w:rsid w:val="00B81A6C"/>
    <w:rsid w:val="00B82137"/>
    <w:rsid w:val="00B843AC"/>
    <w:rsid w:val="00B85DE5"/>
    <w:rsid w:val="00B86373"/>
    <w:rsid w:val="00B90F73"/>
    <w:rsid w:val="00B937CE"/>
    <w:rsid w:val="00B93B59"/>
    <w:rsid w:val="00B9406A"/>
    <w:rsid w:val="00B97AFB"/>
    <w:rsid w:val="00BA2280"/>
    <w:rsid w:val="00BA2A08"/>
    <w:rsid w:val="00BA56D2"/>
    <w:rsid w:val="00BA76E0"/>
    <w:rsid w:val="00BB2A25"/>
    <w:rsid w:val="00BB3B07"/>
    <w:rsid w:val="00BB51E9"/>
    <w:rsid w:val="00BB550E"/>
    <w:rsid w:val="00BB5C37"/>
    <w:rsid w:val="00BB6C1D"/>
    <w:rsid w:val="00BC0FDC"/>
    <w:rsid w:val="00BC1C1B"/>
    <w:rsid w:val="00BC2ADE"/>
    <w:rsid w:val="00BC2C11"/>
    <w:rsid w:val="00BC3053"/>
    <w:rsid w:val="00BC35B7"/>
    <w:rsid w:val="00BC4D2E"/>
    <w:rsid w:val="00BD48AC"/>
    <w:rsid w:val="00BD50B0"/>
    <w:rsid w:val="00BD5F1A"/>
    <w:rsid w:val="00BE1234"/>
    <w:rsid w:val="00BE2FA6"/>
    <w:rsid w:val="00BE333F"/>
    <w:rsid w:val="00BE45F2"/>
    <w:rsid w:val="00BE4A0A"/>
    <w:rsid w:val="00BE7406"/>
    <w:rsid w:val="00BE7603"/>
    <w:rsid w:val="00BF0E9C"/>
    <w:rsid w:val="00BF3279"/>
    <w:rsid w:val="00BF3435"/>
    <w:rsid w:val="00BF48B7"/>
    <w:rsid w:val="00BF6B33"/>
    <w:rsid w:val="00BF74C7"/>
    <w:rsid w:val="00C00D4E"/>
    <w:rsid w:val="00C011CE"/>
    <w:rsid w:val="00C015F1"/>
    <w:rsid w:val="00C01F33"/>
    <w:rsid w:val="00C02CC6"/>
    <w:rsid w:val="00C03E4B"/>
    <w:rsid w:val="00C040F7"/>
    <w:rsid w:val="00C044AB"/>
    <w:rsid w:val="00C05706"/>
    <w:rsid w:val="00C0589D"/>
    <w:rsid w:val="00C05FA4"/>
    <w:rsid w:val="00C07377"/>
    <w:rsid w:val="00C10357"/>
    <w:rsid w:val="00C10478"/>
    <w:rsid w:val="00C12107"/>
    <w:rsid w:val="00C14D4B"/>
    <w:rsid w:val="00C154BB"/>
    <w:rsid w:val="00C22108"/>
    <w:rsid w:val="00C24B4A"/>
    <w:rsid w:val="00C279B5"/>
    <w:rsid w:val="00C27C45"/>
    <w:rsid w:val="00C30A50"/>
    <w:rsid w:val="00C3719D"/>
    <w:rsid w:val="00C47ABE"/>
    <w:rsid w:val="00C54995"/>
    <w:rsid w:val="00C54D41"/>
    <w:rsid w:val="00C60783"/>
    <w:rsid w:val="00C60A9C"/>
    <w:rsid w:val="00C616A5"/>
    <w:rsid w:val="00C62AFD"/>
    <w:rsid w:val="00C64672"/>
    <w:rsid w:val="00C67CE8"/>
    <w:rsid w:val="00C70697"/>
    <w:rsid w:val="00C709C6"/>
    <w:rsid w:val="00C72EF4"/>
    <w:rsid w:val="00C7360A"/>
    <w:rsid w:val="00C75D2F"/>
    <w:rsid w:val="00C767BE"/>
    <w:rsid w:val="00C76E3C"/>
    <w:rsid w:val="00C81568"/>
    <w:rsid w:val="00C85216"/>
    <w:rsid w:val="00C9027A"/>
    <w:rsid w:val="00C9068E"/>
    <w:rsid w:val="00C91E22"/>
    <w:rsid w:val="00C93C4B"/>
    <w:rsid w:val="00C93CAD"/>
    <w:rsid w:val="00C944AB"/>
    <w:rsid w:val="00C95B40"/>
    <w:rsid w:val="00CA1ED8"/>
    <w:rsid w:val="00CB1F63"/>
    <w:rsid w:val="00CB5899"/>
    <w:rsid w:val="00CB7170"/>
    <w:rsid w:val="00CB7221"/>
    <w:rsid w:val="00CC040E"/>
    <w:rsid w:val="00CC111F"/>
    <w:rsid w:val="00CC2011"/>
    <w:rsid w:val="00CC3EA0"/>
    <w:rsid w:val="00CC7B45"/>
    <w:rsid w:val="00CD1188"/>
    <w:rsid w:val="00CD2ED1"/>
    <w:rsid w:val="00CD337B"/>
    <w:rsid w:val="00CE3D01"/>
    <w:rsid w:val="00CE7561"/>
    <w:rsid w:val="00CF1354"/>
    <w:rsid w:val="00CF22D0"/>
    <w:rsid w:val="00CF3B1F"/>
    <w:rsid w:val="00CF3BF6"/>
    <w:rsid w:val="00CF625B"/>
    <w:rsid w:val="00CF687E"/>
    <w:rsid w:val="00D011B1"/>
    <w:rsid w:val="00D0349B"/>
    <w:rsid w:val="00D10249"/>
    <w:rsid w:val="00D115C3"/>
    <w:rsid w:val="00D1165F"/>
    <w:rsid w:val="00D11897"/>
    <w:rsid w:val="00D12289"/>
    <w:rsid w:val="00D13135"/>
    <w:rsid w:val="00D13E4E"/>
    <w:rsid w:val="00D15062"/>
    <w:rsid w:val="00D21554"/>
    <w:rsid w:val="00D239A7"/>
    <w:rsid w:val="00D23F47"/>
    <w:rsid w:val="00D24AA0"/>
    <w:rsid w:val="00D24DF6"/>
    <w:rsid w:val="00D24F91"/>
    <w:rsid w:val="00D26ADA"/>
    <w:rsid w:val="00D36E71"/>
    <w:rsid w:val="00D37D87"/>
    <w:rsid w:val="00D40B33"/>
    <w:rsid w:val="00D4128C"/>
    <w:rsid w:val="00D4318F"/>
    <w:rsid w:val="00D438BF"/>
    <w:rsid w:val="00D440F8"/>
    <w:rsid w:val="00D527BA"/>
    <w:rsid w:val="00D546FF"/>
    <w:rsid w:val="00D55AD5"/>
    <w:rsid w:val="00D576CA"/>
    <w:rsid w:val="00D60875"/>
    <w:rsid w:val="00D61AF5"/>
    <w:rsid w:val="00D62384"/>
    <w:rsid w:val="00D64AAE"/>
    <w:rsid w:val="00D652B5"/>
    <w:rsid w:val="00D66155"/>
    <w:rsid w:val="00D708B0"/>
    <w:rsid w:val="00D73489"/>
    <w:rsid w:val="00D77B1D"/>
    <w:rsid w:val="00D8021F"/>
    <w:rsid w:val="00D80383"/>
    <w:rsid w:val="00D823C6"/>
    <w:rsid w:val="00D82A1A"/>
    <w:rsid w:val="00D82BB5"/>
    <w:rsid w:val="00D86CA3"/>
    <w:rsid w:val="00D871CE"/>
    <w:rsid w:val="00D9196D"/>
    <w:rsid w:val="00D92982"/>
    <w:rsid w:val="00DA305E"/>
    <w:rsid w:val="00DA37C5"/>
    <w:rsid w:val="00DA5417"/>
    <w:rsid w:val="00DA56E8"/>
    <w:rsid w:val="00DB0B47"/>
    <w:rsid w:val="00DB377D"/>
    <w:rsid w:val="00DB3E1B"/>
    <w:rsid w:val="00DB6C55"/>
    <w:rsid w:val="00DC1080"/>
    <w:rsid w:val="00DC2D36"/>
    <w:rsid w:val="00DC53EF"/>
    <w:rsid w:val="00DD70D0"/>
    <w:rsid w:val="00DE20A7"/>
    <w:rsid w:val="00DE5608"/>
    <w:rsid w:val="00DE58D0"/>
    <w:rsid w:val="00DE654F"/>
    <w:rsid w:val="00DE761A"/>
    <w:rsid w:val="00DF0B6E"/>
    <w:rsid w:val="00DF15E0"/>
    <w:rsid w:val="00DF37A0"/>
    <w:rsid w:val="00DF43B0"/>
    <w:rsid w:val="00DF4449"/>
    <w:rsid w:val="00DF6471"/>
    <w:rsid w:val="00E044C3"/>
    <w:rsid w:val="00E05AB2"/>
    <w:rsid w:val="00E110E7"/>
    <w:rsid w:val="00E11B20"/>
    <w:rsid w:val="00E12DAB"/>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251"/>
    <w:rsid w:val="00E51B19"/>
    <w:rsid w:val="00E53B75"/>
    <w:rsid w:val="00E54E3B"/>
    <w:rsid w:val="00E57565"/>
    <w:rsid w:val="00E60557"/>
    <w:rsid w:val="00E63838"/>
    <w:rsid w:val="00E64434"/>
    <w:rsid w:val="00E67C51"/>
    <w:rsid w:val="00E71592"/>
    <w:rsid w:val="00E72EFC"/>
    <w:rsid w:val="00E758EC"/>
    <w:rsid w:val="00E8064F"/>
    <w:rsid w:val="00E8234C"/>
    <w:rsid w:val="00E83AA9"/>
    <w:rsid w:val="00E84F4C"/>
    <w:rsid w:val="00E8506F"/>
    <w:rsid w:val="00E85928"/>
    <w:rsid w:val="00E87822"/>
    <w:rsid w:val="00E90395"/>
    <w:rsid w:val="00E90E49"/>
    <w:rsid w:val="00E917F9"/>
    <w:rsid w:val="00E9291C"/>
    <w:rsid w:val="00E93FFE"/>
    <w:rsid w:val="00E94F8A"/>
    <w:rsid w:val="00EA7A41"/>
    <w:rsid w:val="00EB077B"/>
    <w:rsid w:val="00EB27C6"/>
    <w:rsid w:val="00EB4EA2"/>
    <w:rsid w:val="00EC27C6"/>
    <w:rsid w:val="00EC4207"/>
    <w:rsid w:val="00EC5653"/>
    <w:rsid w:val="00EC6845"/>
    <w:rsid w:val="00EC71CE"/>
    <w:rsid w:val="00ED1006"/>
    <w:rsid w:val="00ED125C"/>
    <w:rsid w:val="00EE220D"/>
    <w:rsid w:val="00EE612C"/>
    <w:rsid w:val="00EE7B3C"/>
    <w:rsid w:val="00EF18FE"/>
    <w:rsid w:val="00EF5787"/>
    <w:rsid w:val="00EF60D0"/>
    <w:rsid w:val="00EF7254"/>
    <w:rsid w:val="00F03D9C"/>
    <w:rsid w:val="00F0528D"/>
    <w:rsid w:val="00F06C67"/>
    <w:rsid w:val="00F06DFD"/>
    <w:rsid w:val="00F071D1"/>
    <w:rsid w:val="00F07533"/>
    <w:rsid w:val="00F10629"/>
    <w:rsid w:val="00F15FA5"/>
    <w:rsid w:val="00F17BB0"/>
    <w:rsid w:val="00F209B7"/>
    <w:rsid w:val="00F2376F"/>
    <w:rsid w:val="00F243D8"/>
    <w:rsid w:val="00F25593"/>
    <w:rsid w:val="00F3032D"/>
    <w:rsid w:val="00F30828"/>
    <w:rsid w:val="00F313D6"/>
    <w:rsid w:val="00F40F0C"/>
    <w:rsid w:val="00F4354B"/>
    <w:rsid w:val="00F4766C"/>
    <w:rsid w:val="00F5074B"/>
    <w:rsid w:val="00F507D1"/>
    <w:rsid w:val="00F519CE"/>
    <w:rsid w:val="00F51ADA"/>
    <w:rsid w:val="00F53EA1"/>
    <w:rsid w:val="00F607C5"/>
    <w:rsid w:val="00F60DEA"/>
    <w:rsid w:val="00F62138"/>
    <w:rsid w:val="00F6302A"/>
    <w:rsid w:val="00F64C2B"/>
    <w:rsid w:val="00F651BE"/>
    <w:rsid w:val="00F65EF3"/>
    <w:rsid w:val="00F67F53"/>
    <w:rsid w:val="00F703BE"/>
    <w:rsid w:val="00F71F69"/>
    <w:rsid w:val="00F72B72"/>
    <w:rsid w:val="00F74BB9"/>
    <w:rsid w:val="00F75582"/>
    <w:rsid w:val="00F75B98"/>
    <w:rsid w:val="00F76EFA"/>
    <w:rsid w:val="00F772FC"/>
    <w:rsid w:val="00F804BE"/>
    <w:rsid w:val="00F817CE"/>
    <w:rsid w:val="00F8456C"/>
    <w:rsid w:val="00F859D8"/>
    <w:rsid w:val="00F86294"/>
    <w:rsid w:val="00F868F5"/>
    <w:rsid w:val="00F87EB7"/>
    <w:rsid w:val="00F9056A"/>
    <w:rsid w:val="00F90F8D"/>
    <w:rsid w:val="00F92782"/>
    <w:rsid w:val="00F93AA9"/>
    <w:rsid w:val="00F952CC"/>
    <w:rsid w:val="00F958EC"/>
    <w:rsid w:val="00F959BB"/>
    <w:rsid w:val="00F96062"/>
    <w:rsid w:val="00F96985"/>
    <w:rsid w:val="00F97838"/>
    <w:rsid w:val="00FA0987"/>
    <w:rsid w:val="00FA2659"/>
    <w:rsid w:val="00FA2BB3"/>
    <w:rsid w:val="00FA36EB"/>
    <w:rsid w:val="00FA53B3"/>
    <w:rsid w:val="00FA73A0"/>
    <w:rsid w:val="00FB4C80"/>
    <w:rsid w:val="00FB6A6A"/>
    <w:rsid w:val="00FB79AA"/>
    <w:rsid w:val="00FC1E13"/>
    <w:rsid w:val="00FC2ACF"/>
    <w:rsid w:val="00FC7429"/>
    <w:rsid w:val="00FC76E4"/>
    <w:rsid w:val="00FD07F6"/>
    <w:rsid w:val="00FD13BF"/>
    <w:rsid w:val="00FD166E"/>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BA791F"/>
  <w15:chartTrackingRefBased/>
  <w15:docId w15:val="{F4D06C01-A9AC-4956-A088-DCF55FA1D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53B3"/>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A53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53B3"/>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semiHidden/>
    <w:rsid w:val="00796231"/>
    <w:pPr>
      <w:ind w:left="1418" w:hanging="1418"/>
    </w:pPr>
    <w:rPr>
      <w:b/>
    </w:rPr>
  </w:style>
  <w:style w:type="paragraph" w:customStyle="1" w:styleId="CaptionFigureWide">
    <w:name w:val="CaptionFigureWide"/>
    <w:next w:val="BodyText"/>
    <w:rsid w:val="00BB550E"/>
    <w:pPr>
      <w:tabs>
        <w:tab w:val="left" w:pos="2268"/>
      </w:tabs>
      <w:spacing w:before="120" w:after="60"/>
      <w:ind w:left="2268" w:hanging="964"/>
    </w:pPr>
    <w:rPr>
      <w:rFonts w:ascii="Ericsson Hilda" w:hAnsi="Ericsson Hilda"/>
      <w:lang w:val="en-US" w:eastAsia="en-US"/>
    </w:rPr>
  </w:style>
  <w:style w:type="character" w:styleId="Emphasis">
    <w:name w:val="Emphasis"/>
    <w:basedOn w:val="DefaultParagraphFont"/>
    <w:uiPriority w:val="20"/>
    <w:qFormat/>
    <w:rsid w:val="00FA2659"/>
    <w:rPr>
      <w:i/>
      <w:iCs/>
    </w:rPr>
  </w:style>
  <w:style w:type="character" w:customStyle="1" w:styleId="CommentTextChar">
    <w:name w:val="Comment Text Char"/>
    <w:basedOn w:val="DefaultParagraphFont"/>
    <w:link w:val="CommentText"/>
    <w:semiHidden/>
    <w:rsid w:val="00C00D4E"/>
    <w:rPr>
      <w:rFonts w:asciiTheme="minorHAnsi" w:eastAsiaTheme="minorHAnsi" w:hAnsiTheme="minorHAnsi" w:cstheme="minorBidi"/>
      <w:sz w:val="22"/>
      <w:szCs w:val="22"/>
      <w:lang w:eastAsia="en-US"/>
    </w:rPr>
  </w:style>
  <w:style w:type="character" w:styleId="PlaceholderText">
    <w:name w:val="Placeholder Text"/>
    <w:basedOn w:val="DefaultParagraphFont"/>
    <w:uiPriority w:val="99"/>
    <w:semiHidden/>
    <w:rsid w:val="00D011B1"/>
    <w:rPr>
      <w:color w:val="808080"/>
    </w:rPr>
  </w:style>
  <w:style w:type="paragraph" w:styleId="ListParagraph">
    <w:name w:val="List Paragraph"/>
    <w:basedOn w:val="Normal"/>
    <w:uiPriority w:val="34"/>
    <w:qFormat/>
    <w:rsid w:val="00A52AAE"/>
    <w:pPr>
      <w:spacing w:after="200" w:line="276"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284160">
      <w:bodyDiv w:val="1"/>
      <w:marLeft w:val="0"/>
      <w:marRight w:val="0"/>
      <w:marTop w:val="0"/>
      <w:marBottom w:val="0"/>
      <w:divBdr>
        <w:top w:val="none" w:sz="0" w:space="0" w:color="auto"/>
        <w:left w:val="none" w:sz="0" w:space="0" w:color="auto"/>
        <w:bottom w:val="none" w:sz="0" w:space="0" w:color="auto"/>
        <w:right w:val="none" w:sz="0" w:space="0" w:color="auto"/>
      </w:divBdr>
    </w:div>
    <w:div w:id="239827378">
      <w:bodyDiv w:val="1"/>
      <w:marLeft w:val="0"/>
      <w:marRight w:val="0"/>
      <w:marTop w:val="0"/>
      <w:marBottom w:val="0"/>
      <w:divBdr>
        <w:top w:val="none" w:sz="0" w:space="0" w:color="auto"/>
        <w:left w:val="none" w:sz="0" w:space="0" w:color="auto"/>
        <w:bottom w:val="none" w:sz="0" w:space="0" w:color="auto"/>
        <w:right w:val="none" w:sz="0" w:space="0" w:color="auto"/>
      </w:divBdr>
    </w:div>
    <w:div w:id="709690271">
      <w:bodyDiv w:val="1"/>
      <w:marLeft w:val="0"/>
      <w:marRight w:val="0"/>
      <w:marTop w:val="0"/>
      <w:marBottom w:val="0"/>
      <w:divBdr>
        <w:top w:val="none" w:sz="0" w:space="0" w:color="auto"/>
        <w:left w:val="none" w:sz="0" w:space="0" w:color="auto"/>
        <w:bottom w:val="none" w:sz="0" w:space="0" w:color="auto"/>
        <w:right w:val="none" w:sz="0" w:space="0" w:color="auto"/>
      </w:divBdr>
    </w:div>
    <w:div w:id="746851962">
      <w:bodyDiv w:val="1"/>
      <w:marLeft w:val="0"/>
      <w:marRight w:val="0"/>
      <w:marTop w:val="0"/>
      <w:marBottom w:val="0"/>
      <w:divBdr>
        <w:top w:val="none" w:sz="0" w:space="0" w:color="auto"/>
        <w:left w:val="none" w:sz="0" w:space="0" w:color="auto"/>
        <w:bottom w:val="none" w:sz="0" w:space="0" w:color="auto"/>
        <w:right w:val="none" w:sz="0" w:space="0" w:color="auto"/>
      </w:divBdr>
    </w:div>
    <w:div w:id="969670822">
      <w:bodyDiv w:val="1"/>
      <w:marLeft w:val="0"/>
      <w:marRight w:val="0"/>
      <w:marTop w:val="0"/>
      <w:marBottom w:val="0"/>
      <w:divBdr>
        <w:top w:val="none" w:sz="0" w:space="0" w:color="auto"/>
        <w:left w:val="none" w:sz="0" w:space="0" w:color="auto"/>
        <w:bottom w:val="none" w:sz="0" w:space="0" w:color="auto"/>
        <w:right w:val="none" w:sz="0" w:space="0" w:color="auto"/>
      </w:divBdr>
    </w:div>
    <w:div w:id="171445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
  <b:Source>
    <b:Tag>Joh65</b:Tag>
    <b:SourceType>JournalArticle</b:SourceType>
    <b:Guid>{E2B13149-826A-4A0A-8819-5170868902AE}</b:Guid>
    <b:Title>Physical limitations on frequency and power parameters of transistors</b:Title>
    <b:Year>1965</b:Year>
    <b:Month>June</b:Month>
    <b:Author>
      <b:Author>
        <b:NameList>
          <b:Person>
            <b:Last>Johnson</b:Last>
          </b:Person>
        </b:NameList>
      </b:Author>
    </b:Author>
    <b:JournalName>RCA Review</b:JournalName>
    <b:Pages>163-177</b:Pages>
    <b:Volume>26</b:Volume>
    <b:RefOrder>3</b:RefOrder>
  </b:Source>
  <b:Source>
    <b:Tag>Eri</b:Tag>
    <b:SourceType>Misc</b:SourceType>
    <b:Guid>{24F02848-3E1B-49A0-BF2F-FAB47179DE67}</b:Guid>
    <b:Title>RAN4 - mm-wave technology overview</b:Title>
    <b:Author>
      <b:Author>
        <b:NameList>
          <b:Person>
            <b:Last>Ericsson</b:Last>
          </b:Person>
        </b:NameList>
      </b:Author>
    </b:Author>
    <b:RefOrder>1</b:RefOrder>
  </b:Source>
  <b:Source>
    <b:Tag>Hua19</b:Tag>
    <b:SourceType>InternetSite</b:SourceType>
    <b:Guid>{9F1B83AE-A1ED-4D10-A7F6-A8A242AF17CE}</b:Guid>
    <b:Author>
      <b:Author>
        <b:NameList>
          <b:Person>
            <b:Last>Hua Wang</b:Last>
            <b:First>Fei</b:First>
            <b:Middle>Wang, Huy Thong Nguyen, Sensen Li, Tzu-Yuan Huang, Amr S. Ahmed, Michael Edward Duffy Smith, Naga Sasikanth Mannem, and Jeongseok Lee</b:Middle>
          </b:Person>
        </b:NameList>
      </b:Author>
    </b:Author>
    <b:Title>Power Amplifiers Performance Survey 2000-Present</b:Title>
    <b:Year>2019</b:Year>
    <b:Month>1</b:Month>
    <b:Day>16</b:Day>
    <b:URL>https://gems.ece.gatech.edu/PA_su</b:URL>
    <b:RefOrder>2</b:RefOrder>
  </b:Source>
</b:Sources>
</file>

<file path=customXml/itemProps1.xml><?xml version="1.0" encoding="utf-8"?>
<ds:datastoreItem xmlns:ds="http://schemas.openxmlformats.org/officeDocument/2006/customXml" ds:itemID="{C99B3689-8E9C-4FAD-B8F2-5C4C36702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937</Words>
  <Characters>5088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Torbjörn Elfström</cp:lastModifiedBy>
  <cp:revision>27</cp:revision>
  <cp:lastPrinted>2008-01-31T07:09:00Z</cp:lastPrinted>
  <dcterms:created xsi:type="dcterms:W3CDTF">2019-03-20T08:15:00Z</dcterms:created>
  <dcterms:modified xsi:type="dcterms:W3CDTF">2019-04-01T07:51:00Z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