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90bix</w:t>
      </w:r>
      <w:r>
        <w:rPr>
          <w:rFonts w:eastAsia="宋体" w:hint="eastAsia"/>
          <w:lang w:eastAsia="zh-CN"/>
        </w:rPr>
        <w:t xml:space="preserve">                                         </w:t>
      </w:r>
      <w:r>
        <w:t>R4-1</w:t>
      </w:r>
      <w:r w:rsidR="00297965">
        <w:rPr>
          <w:rFonts w:eastAsia="宋体" w:hint="eastAsia"/>
          <w:lang w:eastAsia="zh-CN"/>
        </w:rPr>
        <w:t>9</w:t>
      </w:r>
      <w:r w:rsidR="00251AA8">
        <w:rPr>
          <w:rFonts w:eastAsia="宋体" w:hint="eastAsia"/>
          <w:lang w:eastAsia="zh-CN"/>
        </w:rPr>
        <w:t>03374</w:t>
      </w:r>
    </w:p>
    <w:p w:rsidR="003F6833" w:rsidRPr="00B743BF" w:rsidRDefault="00581D9D" w:rsidP="003F6833">
      <w:pPr>
        <w:tabs>
          <w:tab w:val="left" w:pos="1985"/>
        </w:tabs>
        <w:spacing w:after="100" w:afterAutospacing="1"/>
        <w:rPr>
          <w:rFonts w:eastAsia="宋体"/>
          <w:noProof/>
          <w:sz w:val="24"/>
        </w:rPr>
      </w:pPr>
      <w:r>
        <w:rPr>
          <w:rFonts w:hint="eastAsia"/>
          <w:b/>
          <w:noProof/>
          <w:sz w:val="24"/>
        </w:rPr>
        <w:t>Xi</w:t>
      </w:r>
      <w:r>
        <w:rPr>
          <w:b/>
          <w:noProof/>
          <w:sz w:val="24"/>
        </w:rPr>
        <w:t>’</w:t>
      </w:r>
      <w:r>
        <w:rPr>
          <w:rFonts w:hint="eastAsia"/>
          <w:b/>
          <w:noProof/>
          <w:sz w:val="24"/>
        </w:rPr>
        <w:t>an</w:t>
      </w:r>
      <w:r w:rsidR="00C82F63">
        <w:rPr>
          <w:b/>
          <w:noProof/>
          <w:sz w:val="24"/>
        </w:rPr>
        <w:t xml:space="preserve">, </w:t>
      </w:r>
      <w:r>
        <w:rPr>
          <w:rFonts w:hint="eastAsia"/>
          <w:b/>
          <w:noProof/>
          <w:sz w:val="24"/>
        </w:rPr>
        <w:t>China</w:t>
      </w:r>
      <w:r w:rsidR="00C82F63">
        <w:rPr>
          <w:b/>
          <w:noProof/>
          <w:sz w:val="24"/>
        </w:rPr>
        <w:t xml:space="preserve">, </w:t>
      </w:r>
      <w:r>
        <w:rPr>
          <w:rFonts w:hint="eastAsia"/>
          <w:b/>
          <w:noProof/>
          <w:sz w:val="24"/>
        </w:rPr>
        <w:t>8</w:t>
      </w:r>
      <w:r w:rsidRPr="00581D9D">
        <w:rPr>
          <w:rFonts w:hint="eastAsia"/>
          <w:b/>
          <w:noProof/>
          <w:sz w:val="24"/>
          <w:vertAlign w:val="superscript"/>
        </w:rPr>
        <w:t>th</w:t>
      </w:r>
      <w:r>
        <w:rPr>
          <w:rFonts w:hint="eastAsia"/>
          <w:b/>
          <w:noProof/>
          <w:sz w:val="24"/>
        </w:rPr>
        <w:t xml:space="preserve"> </w:t>
      </w:r>
      <w:r>
        <w:rPr>
          <w:b/>
          <w:noProof/>
          <w:sz w:val="24"/>
        </w:rPr>
        <w:t>–</w:t>
      </w:r>
      <w:r>
        <w:rPr>
          <w:rFonts w:hint="eastAsia"/>
          <w:b/>
          <w:noProof/>
          <w:sz w:val="24"/>
        </w:rPr>
        <w:t xml:space="preserve"> 12</w:t>
      </w:r>
      <w:r w:rsidRPr="00581D9D">
        <w:rPr>
          <w:rFonts w:hint="eastAsia"/>
          <w:b/>
          <w:noProof/>
          <w:sz w:val="24"/>
          <w:vertAlign w:val="superscript"/>
        </w:rPr>
        <w:t>th</w:t>
      </w:r>
      <w:r>
        <w:rPr>
          <w:rFonts w:hint="eastAsia"/>
          <w:b/>
          <w:noProof/>
          <w:sz w:val="24"/>
        </w:rPr>
        <w:t xml:space="preserve"> April</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192BD8">
        <w:rPr>
          <w:rFonts w:ascii="Arial" w:eastAsia="宋体" w:hAnsi="Arial" w:cs="Arial" w:hint="eastAsia"/>
          <w:b/>
          <w:noProof/>
          <w:kern w:val="0"/>
          <w:sz w:val="22"/>
          <w:szCs w:val="22"/>
          <w:lang w:val="en-GB"/>
        </w:rPr>
        <w:t>8.5.2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251AA8">
        <w:rPr>
          <w:rFonts w:ascii="Arial" w:eastAsia="宋体" w:hAnsi="Arial" w:cs="Arial" w:hint="eastAsia"/>
          <w:b/>
          <w:noProof/>
          <w:kern w:val="0"/>
          <w:sz w:val="22"/>
          <w:lang w:val="en-GB"/>
        </w:rPr>
        <w:t>Co-existence study for NR IAB</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914E1" w:rsidRPr="004914E1" w:rsidRDefault="00230B99" w:rsidP="00537A2F">
      <w:pPr>
        <w:spacing w:afterLines="50" w:after="156"/>
        <w:rPr>
          <w:szCs w:val="21"/>
        </w:rPr>
      </w:pPr>
      <w:r>
        <w:rPr>
          <w:rFonts w:hint="eastAsia"/>
          <w:szCs w:val="21"/>
        </w:rPr>
        <w:t xml:space="preserve">This contribution will share our </w:t>
      </w:r>
      <w:r w:rsidR="00430BBE">
        <w:rPr>
          <w:rFonts w:hint="eastAsia"/>
          <w:szCs w:val="21"/>
        </w:rPr>
        <w:t>view</w:t>
      </w:r>
      <w:r>
        <w:rPr>
          <w:rFonts w:hint="eastAsia"/>
          <w:szCs w:val="21"/>
        </w:rPr>
        <w:t xml:space="preserve"> on RAN4 IAB</w:t>
      </w:r>
      <w:r w:rsidR="00315F15">
        <w:rPr>
          <w:rFonts w:hint="eastAsia"/>
          <w:szCs w:val="21"/>
        </w:rPr>
        <w:t xml:space="preserve"> co-existence study for </w:t>
      </w:r>
      <w:r w:rsidR="00430BBE">
        <w:rPr>
          <w:rFonts w:hint="eastAsia"/>
          <w:szCs w:val="21"/>
        </w:rPr>
        <w:t>Rel16</w:t>
      </w:r>
      <w:r w:rsidR="00DA02C0">
        <w:rPr>
          <w:rFonts w:hint="eastAsia"/>
          <w:szCs w:val="21"/>
        </w:rPr>
        <w:t xml:space="preserve"> </w:t>
      </w:r>
      <w:r w:rsidR="007C0B88">
        <w:rPr>
          <w:rFonts w:hint="eastAsia"/>
          <w:szCs w:val="21"/>
        </w:rPr>
        <w:t>based on discussion shared in [1].</w:t>
      </w:r>
    </w:p>
    <w:p w:rsidR="002A5A60" w:rsidRDefault="002A5A60" w:rsidP="002A5A60">
      <w:pPr>
        <w:pStyle w:val="Heading1"/>
        <w:rPr>
          <w:rFonts w:cs="Arial"/>
          <w:lang w:eastAsia="zh-CN"/>
        </w:rPr>
      </w:pPr>
      <w:r>
        <w:rPr>
          <w:rFonts w:cs="Arial" w:hint="eastAsia"/>
          <w:lang w:eastAsia="zh-CN"/>
        </w:rPr>
        <w:t>Discussion</w:t>
      </w:r>
    </w:p>
    <w:p w:rsidR="00C633AC" w:rsidRDefault="00C025C1" w:rsidP="00C908A7">
      <w:pPr>
        <w:rPr>
          <w:rFonts w:hint="eastAsia"/>
        </w:rPr>
      </w:pPr>
      <w:r>
        <w:t>I</w:t>
      </w:r>
      <w:r>
        <w:rPr>
          <w:rFonts w:hint="eastAsia"/>
        </w:rPr>
        <w:t xml:space="preserve">n RAN4 the co-existence study is to derive the ACLR and ACS requirement based on static system simulation for interference with same direction from or to adjacent channel inter system. </w:t>
      </w:r>
      <w:r w:rsidR="00A8204E">
        <w:rPr>
          <w:rFonts w:hint="eastAsia"/>
        </w:rPr>
        <w:t xml:space="preserve">And the intra system </w:t>
      </w:r>
      <w:r w:rsidR="00A8204E">
        <w:t>interference</w:t>
      </w:r>
      <w:r w:rsidR="00A8204E">
        <w:rPr>
          <w:rFonts w:hint="eastAsia"/>
        </w:rPr>
        <w:t xml:space="preserve"> </w:t>
      </w:r>
      <w:r w:rsidR="00A8204E" w:rsidRPr="00561F06">
        <w:t>constraint</w:t>
      </w:r>
      <w:r w:rsidR="00A8204E">
        <w:rPr>
          <w:rFonts w:hint="eastAsia"/>
        </w:rPr>
        <w:t xml:space="preserve"> between backhaul link and access link shall not</w:t>
      </w:r>
      <w:r w:rsidR="00C908A7">
        <w:rPr>
          <w:rFonts w:hint="eastAsia"/>
        </w:rPr>
        <w:t xml:space="preserve"> be</w:t>
      </w:r>
      <w:r w:rsidR="00A8204E">
        <w:rPr>
          <w:rFonts w:hint="eastAsia"/>
        </w:rPr>
        <w:t xml:space="preserve"> covered in co-existence study for this purpose. Hence the TDM multiplexing between backhaul and access link can be assumed in </w:t>
      </w:r>
      <w:r w:rsidR="00C908A7">
        <w:t>assessment</w:t>
      </w:r>
      <w:r w:rsidR="00251AA8">
        <w:rPr>
          <w:rFonts w:hint="eastAsia"/>
        </w:rPr>
        <w:t xml:space="preserve"> of co-existence study</w:t>
      </w:r>
      <w:r w:rsidR="00C633AC">
        <w:rPr>
          <w:rFonts w:hint="eastAsia"/>
        </w:rPr>
        <w:t xml:space="preserve"> which is recognized can meet the </w:t>
      </w:r>
      <w:r w:rsidR="00C633AC">
        <w:t>evaluation</w:t>
      </w:r>
      <w:r w:rsidR="00C633AC">
        <w:rPr>
          <w:rFonts w:hint="eastAsia"/>
        </w:rPr>
        <w:t xml:space="preserve"> purpose with simple way</w:t>
      </w:r>
      <w:r w:rsidR="00251AA8">
        <w:rPr>
          <w:rFonts w:hint="eastAsia"/>
        </w:rPr>
        <w:t xml:space="preserve">. </w:t>
      </w:r>
    </w:p>
    <w:p w:rsidR="00C633AC" w:rsidRPr="00C633AC" w:rsidRDefault="00C633AC" w:rsidP="00C908A7">
      <w:pPr>
        <w:rPr>
          <w:rFonts w:hint="eastAsia"/>
          <w:b/>
          <w:lang w:val="en-GB"/>
        </w:rPr>
      </w:pPr>
      <w:r w:rsidRPr="00357940">
        <w:rPr>
          <w:rFonts w:hint="eastAsia"/>
          <w:b/>
          <w:lang w:val="en-GB"/>
        </w:rPr>
        <w:t xml:space="preserve">Proposal 1: TDM multiplexing should be considered in co-existence study with target at ALCR and ACS requirement. </w:t>
      </w:r>
    </w:p>
    <w:p w:rsidR="00C908A7" w:rsidRDefault="00C908A7" w:rsidP="00C908A7">
      <w:r>
        <w:rPr>
          <w:rFonts w:hint="eastAsia"/>
        </w:rPr>
        <w:t xml:space="preserve">To be simplified, the </w:t>
      </w:r>
      <w:r>
        <w:t>L</w:t>
      </w:r>
      <w:r>
        <w:rPr>
          <w:rFonts w:hint="eastAsia"/>
        </w:rPr>
        <w:t xml:space="preserve">TE </w:t>
      </w:r>
      <w:proofErr w:type="gramStart"/>
      <w:r>
        <w:rPr>
          <w:rFonts w:hint="eastAsia"/>
        </w:rPr>
        <w:t>relay(</w:t>
      </w:r>
      <w:proofErr w:type="gramEnd"/>
      <w:r>
        <w:rPr>
          <w:rFonts w:hint="eastAsia"/>
        </w:rPr>
        <w:t xml:space="preserve">RN) </w:t>
      </w:r>
      <w:r>
        <w:t>assumption</w:t>
      </w:r>
      <w:r>
        <w:rPr>
          <w:rFonts w:hint="eastAsia"/>
        </w:rPr>
        <w:t xml:space="preserve"> for resource multiplexing in[4] can be reused for IAB </w:t>
      </w:r>
      <w:r>
        <w:t>evaluation</w:t>
      </w:r>
      <w:r w:rsidR="001A7ADC">
        <w:rPr>
          <w:rFonts w:hint="eastAsia"/>
        </w:rPr>
        <w:t xml:space="preserve"> with minor update</w:t>
      </w:r>
      <w:r w:rsidR="003C3FAE">
        <w:rPr>
          <w:rFonts w:hint="eastAsia"/>
        </w:rPr>
        <w:t xml:space="preserve">, in which the </w:t>
      </w:r>
      <w:proofErr w:type="spellStart"/>
      <w:r w:rsidR="003C3FAE">
        <w:rPr>
          <w:rFonts w:hint="eastAsia"/>
        </w:rPr>
        <w:t>eNB</w:t>
      </w:r>
      <w:proofErr w:type="spellEnd"/>
      <w:r w:rsidR="003C3FAE">
        <w:rPr>
          <w:rFonts w:hint="eastAsia"/>
        </w:rPr>
        <w:t xml:space="preserve"> should be replaced by </w:t>
      </w:r>
      <w:proofErr w:type="spellStart"/>
      <w:r w:rsidR="003C3FAE">
        <w:rPr>
          <w:rFonts w:hint="eastAsia"/>
        </w:rPr>
        <w:t>gNB</w:t>
      </w:r>
      <w:proofErr w:type="spellEnd"/>
      <w:r w:rsidR="003C3FAE">
        <w:rPr>
          <w:rFonts w:hint="eastAsia"/>
        </w:rPr>
        <w:t xml:space="preserve"> and RN should be replaced by IAB</w:t>
      </w:r>
      <w:r w:rsidR="00251AA8">
        <w:rPr>
          <w:rFonts w:hint="eastAsia"/>
        </w:rPr>
        <w:t>.</w:t>
      </w:r>
      <w:r w:rsidR="00C633AC">
        <w:rPr>
          <w:rFonts w:hint="eastAsia"/>
        </w:rPr>
        <w:t xml:space="preserve"> </w:t>
      </w:r>
      <w:r w:rsidR="00C633AC">
        <w:t>It</w:t>
      </w:r>
      <w:r w:rsidR="00C633AC">
        <w:rPr>
          <w:rFonts w:hint="eastAsia"/>
        </w:rPr>
        <w:t xml:space="preserve"> should be pointed that </w:t>
      </w:r>
      <w:r w:rsidR="00C633AC">
        <w:rPr>
          <w:rFonts w:hint="eastAsia"/>
          <w:lang w:val="en-GB"/>
        </w:rPr>
        <w:t>e</w:t>
      </w:r>
      <w:r w:rsidR="00C633AC">
        <w:rPr>
          <w:rFonts w:hint="eastAsia"/>
          <w:lang w:val="en-GB"/>
        </w:rPr>
        <w:t>ven though multiple hops (</w:t>
      </w:r>
      <w:r w:rsidR="00C633AC">
        <w:rPr>
          <w:lang w:val="en-GB"/>
        </w:rPr>
        <w:t>e.g.</w:t>
      </w:r>
      <w:proofErr w:type="gramStart"/>
      <w:r w:rsidR="00C633AC">
        <w:rPr>
          <w:rFonts w:hint="eastAsia"/>
          <w:lang w:val="en-GB"/>
        </w:rPr>
        <w:t>,1</w:t>
      </w:r>
      <w:proofErr w:type="gramEnd"/>
      <w:r w:rsidR="00C633AC">
        <w:rPr>
          <w:rFonts w:hint="eastAsia"/>
          <w:lang w:val="en-GB"/>
        </w:rPr>
        <w:t>-4) are captured in NR IAB WID [2], whether it is should be considered in simulation for ACLR and ACS is questionable.</w:t>
      </w:r>
    </w:p>
    <w:p w:rsidR="00C908A7" w:rsidRDefault="00C908A7" w:rsidP="00C908A7"/>
    <w:p w:rsidR="00C908A7" w:rsidRPr="00C908A7" w:rsidRDefault="00C908A7" w:rsidP="00C908A7">
      <w:pPr>
        <w:rPr>
          <w:rFonts w:ascii="Arial" w:hAnsi="Arial" w:cs="Arial"/>
          <w:sz w:val="18"/>
          <w:szCs w:val="18"/>
        </w:rPr>
      </w:pPr>
      <w:r w:rsidRPr="00C908A7">
        <w:rPr>
          <w:rFonts w:ascii="Arial" w:hAnsi="Arial" w:cs="Arial"/>
          <w:sz w:val="18"/>
          <w:szCs w:val="18"/>
        </w:rPr>
        <w:t>Resource partitioning at the RN:</w:t>
      </w:r>
    </w:p>
    <w:p w:rsidR="00C908A7" w:rsidRPr="00C908A7" w:rsidRDefault="00C908A7" w:rsidP="00C908A7">
      <w:pPr>
        <w:pStyle w:val="B1"/>
        <w:rPr>
          <w:rFonts w:ascii="Arial" w:eastAsia="MS Mincho" w:hAnsi="Arial" w:cs="Arial"/>
          <w:sz w:val="18"/>
          <w:szCs w:val="18"/>
        </w:rPr>
      </w:pPr>
      <w:r w:rsidRPr="00C908A7">
        <w:rPr>
          <w:rFonts w:ascii="Arial" w:eastAsia="MS Mincho" w:hAnsi="Arial" w:cs="Arial"/>
          <w:sz w:val="18"/>
          <w:szCs w:val="18"/>
        </w:rPr>
        <w:t>-</w:t>
      </w:r>
      <w:r w:rsidRPr="00C908A7">
        <w:rPr>
          <w:rFonts w:ascii="Arial" w:eastAsia="MS Mincho" w:hAnsi="Arial" w:cs="Arial"/>
          <w:sz w:val="18"/>
          <w:szCs w:val="18"/>
        </w:rPr>
        <w:tab/>
      </w:r>
      <w:proofErr w:type="gramStart"/>
      <w:r w:rsidRPr="00C908A7">
        <w:rPr>
          <w:rFonts w:ascii="Arial" w:eastAsia="MS Mincho" w:hAnsi="Arial" w:cs="Arial"/>
          <w:sz w:val="18"/>
          <w:szCs w:val="18"/>
        </w:rPr>
        <w:t>in</w:t>
      </w:r>
      <w:proofErr w:type="gramEnd"/>
      <w:r w:rsidRPr="00C908A7">
        <w:rPr>
          <w:rFonts w:ascii="Arial" w:eastAsia="MS Mincho" w:hAnsi="Arial" w:cs="Arial"/>
          <w:sz w:val="18"/>
          <w:szCs w:val="18"/>
        </w:rPr>
        <w:t xml:space="preserve"> the downlink, </w:t>
      </w:r>
      <w:proofErr w:type="spellStart"/>
      <w:r w:rsidRPr="00C908A7">
        <w:rPr>
          <w:rFonts w:ascii="Arial" w:hAnsi="Arial" w:cs="Arial"/>
          <w:sz w:val="18"/>
          <w:szCs w:val="18"/>
        </w:rPr>
        <w:t>eNB</w:t>
      </w:r>
      <w:proofErr w:type="spellEnd"/>
      <w:r w:rsidRPr="00C908A7">
        <w:rPr>
          <w:rFonts w:ascii="Arial" w:hAnsi="Arial" w:cs="Arial"/>
          <w:sz w:val="18"/>
          <w:szCs w:val="18"/>
        </w:rPr>
        <w:t xml:space="preserve"> → RN and RN → UE links are time division multiplexed in a single </w:t>
      </w:r>
      <w:r w:rsidRPr="00C908A7">
        <w:rPr>
          <w:rFonts w:ascii="Arial" w:eastAsia="Malgun Gothic" w:hAnsi="Arial" w:cs="Arial"/>
          <w:sz w:val="18"/>
          <w:szCs w:val="18"/>
          <w:lang w:eastAsia="ko-KR"/>
        </w:rPr>
        <w:t xml:space="preserve">carrier </w:t>
      </w:r>
      <w:r w:rsidRPr="00C908A7">
        <w:rPr>
          <w:rFonts w:ascii="Arial" w:hAnsi="Arial" w:cs="Arial"/>
          <w:sz w:val="18"/>
          <w:szCs w:val="18"/>
        </w:rPr>
        <w:t>frequency (only one is active at any time)</w:t>
      </w:r>
    </w:p>
    <w:p w:rsidR="00C908A7" w:rsidRPr="00C908A7" w:rsidRDefault="00C908A7" w:rsidP="00C908A7">
      <w:pPr>
        <w:pStyle w:val="B1"/>
        <w:rPr>
          <w:rFonts w:ascii="Arial" w:eastAsia="MS Mincho" w:hAnsi="Arial" w:cs="Arial"/>
          <w:sz w:val="18"/>
          <w:szCs w:val="18"/>
        </w:rPr>
      </w:pPr>
      <w:r w:rsidRPr="00C908A7">
        <w:rPr>
          <w:rFonts w:ascii="Arial" w:eastAsia="MS Mincho" w:hAnsi="Arial" w:cs="Arial"/>
          <w:sz w:val="18"/>
          <w:szCs w:val="18"/>
        </w:rPr>
        <w:t>-</w:t>
      </w:r>
      <w:r w:rsidRPr="00C908A7">
        <w:rPr>
          <w:rFonts w:ascii="Arial" w:eastAsia="MS Mincho" w:hAnsi="Arial" w:cs="Arial"/>
          <w:sz w:val="18"/>
          <w:szCs w:val="18"/>
        </w:rPr>
        <w:tab/>
      </w:r>
      <w:proofErr w:type="gramStart"/>
      <w:r w:rsidRPr="00C908A7">
        <w:rPr>
          <w:rFonts w:ascii="Arial" w:eastAsia="MS Mincho" w:hAnsi="Arial" w:cs="Arial"/>
          <w:sz w:val="18"/>
          <w:szCs w:val="18"/>
        </w:rPr>
        <w:t>in</w:t>
      </w:r>
      <w:proofErr w:type="gramEnd"/>
      <w:r w:rsidRPr="00C908A7">
        <w:rPr>
          <w:rFonts w:ascii="Arial" w:eastAsia="MS Mincho" w:hAnsi="Arial" w:cs="Arial"/>
          <w:sz w:val="18"/>
          <w:szCs w:val="18"/>
        </w:rPr>
        <w:t xml:space="preserve"> the uplink, UE </w:t>
      </w:r>
      <w:r w:rsidRPr="00C908A7">
        <w:rPr>
          <w:rFonts w:ascii="Arial" w:hAnsi="Arial" w:cs="Arial"/>
          <w:sz w:val="18"/>
          <w:szCs w:val="18"/>
        </w:rPr>
        <w:t>→</w:t>
      </w:r>
      <w:r w:rsidRPr="00C908A7">
        <w:rPr>
          <w:rFonts w:ascii="Arial" w:eastAsia="MS Mincho" w:hAnsi="Arial" w:cs="Arial"/>
          <w:sz w:val="18"/>
          <w:szCs w:val="18"/>
        </w:rPr>
        <w:t xml:space="preserve"> RN and </w:t>
      </w:r>
      <w:r w:rsidRPr="00C908A7">
        <w:rPr>
          <w:rFonts w:ascii="Arial" w:hAnsi="Arial" w:cs="Arial"/>
          <w:sz w:val="18"/>
          <w:szCs w:val="18"/>
        </w:rPr>
        <w:t xml:space="preserve">RN → </w:t>
      </w:r>
      <w:proofErr w:type="spellStart"/>
      <w:r w:rsidRPr="00C908A7">
        <w:rPr>
          <w:rFonts w:ascii="Arial" w:hAnsi="Arial" w:cs="Arial"/>
          <w:sz w:val="18"/>
          <w:szCs w:val="18"/>
        </w:rPr>
        <w:t>eNB</w:t>
      </w:r>
      <w:proofErr w:type="spellEnd"/>
      <w:r w:rsidRPr="00C908A7">
        <w:rPr>
          <w:rFonts w:ascii="Arial" w:hAnsi="Arial" w:cs="Arial"/>
          <w:sz w:val="18"/>
          <w:szCs w:val="18"/>
        </w:rPr>
        <w:t xml:space="preserve"> links are time division multiplexed in a single </w:t>
      </w:r>
      <w:r w:rsidRPr="00C908A7">
        <w:rPr>
          <w:rFonts w:ascii="Arial" w:eastAsia="Malgun Gothic" w:hAnsi="Arial" w:cs="Arial"/>
          <w:sz w:val="18"/>
          <w:szCs w:val="18"/>
          <w:lang w:eastAsia="ko-KR"/>
        </w:rPr>
        <w:t xml:space="preserve">carrier </w:t>
      </w:r>
      <w:r w:rsidRPr="00C908A7">
        <w:rPr>
          <w:rFonts w:ascii="Arial" w:hAnsi="Arial" w:cs="Arial"/>
          <w:sz w:val="18"/>
          <w:szCs w:val="18"/>
        </w:rPr>
        <w:t>frequency (only one is active at any time)</w:t>
      </w:r>
    </w:p>
    <w:p w:rsidR="00C908A7" w:rsidRPr="008D1031" w:rsidRDefault="00C908A7" w:rsidP="00C908A7">
      <w:pPr>
        <w:rPr>
          <w:rFonts w:ascii="Arial" w:hAnsi="Arial" w:cs="Arial"/>
          <w:sz w:val="18"/>
          <w:szCs w:val="18"/>
        </w:rPr>
      </w:pPr>
      <w:r w:rsidRPr="008D1031">
        <w:rPr>
          <w:rFonts w:ascii="Arial" w:hAnsi="Arial" w:cs="Arial"/>
          <w:sz w:val="18"/>
          <w:szCs w:val="18"/>
        </w:rPr>
        <w:t>Multiplexing of backhaul links in FDD</w:t>
      </w:r>
    </w:p>
    <w:p w:rsidR="00C908A7" w:rsidRPr="008D1031" w:rsidRDefault="00C908A7" w:rsidP="00C908A7">
      <w:pPr>
        <w:pStyle w:val="B1"/>
        <w:rPr>
          <w:rFonts w:ascii="Arial" w:eastAsia="MS Mincho" w:hAnsi="Arial" w:cs="Arial"/>
          <w:sz w:val="18"/>
          <w:szCs w:val="18"/>
        </w:rPr>
      </w:pPr>
      <w:r w:rsidRPr="008D1031">
        <w:rPr>
          <w:rFonts w:ascii="Arial" w:eastAsia="MS Mincho" w:hAnsi="Arial" w:cs="Arial"/>
          <w:sz w:val="18"/>
          <w:szCs w:val="18"/>
        </w:rPr>
        <w:t>-</w:t>
      </w:r>
      <w:r w:rsidRPr="008D1031">
        <w:rPr>
          <w:rFonts w:ascii="Arial" w:eastAsia="MS Mincho" w:hAnsi="Arial" w:cs="Arial"/>
          <w:sz w:val="18"/>
          <w:szCs w:val="18"/>
        </w:rPr>
        <w:tab/>
      </w:r>
      <w:proofErr w:type="spellStart"/>
      <w:proofErr w:type="gramStart"/>
      <w:r w:rsidRPr="008D1031">
        <w:rPr>
          <w:rFonts w:ascii="Arial" w:hAnsi="Arial" w:cs="Arial"/>
          <w:sz w:val="18"/>
          <w:szCs w:val="18"/>
        </w:rPr>
        <w:t>eNB</w:t>
      </w:r>
      <w:proofErr w:type="spellEnd"/>
      <w:proofErr w:type="gramEnd"/>
      <w:r w:rsidRPr="008D1031">
        <w:rPr>
          <w:rFonts w:ascii="Arial" w:hAnsi="Arial" w:cs="Arial"/>
          <w:sz w:val="18"/>
          <w:szCs w:val="18"/>
        </w:rPr>
        <w:t xml:space="preserve"> → RN transmissions are done in the DL frequency band</w:t>
      </w:r>
    </w:p>
    <w:p w:rsidR="00C908A7" w:rsidRPr="008D1031" w:rsidRDefault="00C908A7" w:rsidP="00C908A7">
      <w:pPr>
        <w:pStyle w:val="B1"/>
        <w:rPr>
          <w:rFonts w:ascii="Arial" w:eastAsia="MS Mincho" w:hAnsi="Arial" w:cs="Arial"/>
          <w:sz w:val="18"/>
          <w:szCs w:val="18"/>
        </w:rPr>
      </w:pPr>
      <w:r w:rsidRPr="008D1031">
        <w:rPr>
          <w:rFonts w:ascii="Arial" w:eastAsia="MS Mincho" w:hAnsi="Arial" w:cs="Arial"/>
          <w:sz w:val="18"/>
          <w:szCs w:val="18"/>
        </w:rPr>
        <w:t>-</w:t>
      </w:r>
      <w:r w:rsidRPr="008D1031">
        <w:rPr>
          <w:rFonts w:ascii="Arial" w:eastAsia="MS Mincho" w:hAnsi="Arial" w:cs="Arial"/>
          <w:sz w:val="18"/>
          <w:szCs w:val="18"/>
        </w:rPr>
        <w:tab/>
      </w:r>
      <w:r w:rsidRPr="008D1031">
        <w:rPr>
          <w:rFonts w:ascii="Arial" w:hAnsi="Arial" w:cs="Arial"/>
          <w:sz w:val="18"/>
          <w:szCs w:val="18"/>
        </w:rPr>
        <w:t xml:space="preserve">RN → </w:t>
      </w:r>
      <w:proofErr w:type="spellStart"/>
      <w:r w:rsidRPr="008D1031">
        <w:rPr>
          <w:rFonts w:ascii="Arial" w:hAnsi="Arial" w:cs="Arial"/>
          <w:sz w:val="18"/>
          <w:szCs w:val="18"/>
        </w:rPr>
        <w:t>eNB</w:t>
      </w:r>
      <w:proofErr w:type="spellEnd"/>
      <w:r w:rsidRPr="008D1031">
        <w:rPr>
          <w:rFonts w:ascii="Arial" w:hAnsi="Arial" w:cs="Arial"/>
          <w:sz w:val="18"/>
          <w:szCs w:val="18"/>
        </w:rPr>
        <w:t xml:space="preserve"> transmissions are done in the UL frequency band</w:t>
      </w:r>
    </w:p>
    <w:p w:rsidR="00C908A7" w:rsidRPr="00C908A7" w:rsidRDefault="00C908A7" w:rsidP="00C908A7">
      <w:pPr>
        <w:rPr>
          <w:rFonts w:ascii="Arial" w:hAnsi="Arial" w:cs="Arial"/>
          <w:sz w:val="18"/>
          <w:szCs w:val="18"/>
        </w:rPr>
      </w:pPr>
      <w:r w:rsidRPr="00C908A7">
        <w:rPr>
          <w:rFonts w:ascii="Arial" w:hAnsi="Arial" w:cs="Arial"/>
          <w:sz w:val="18"/>
          <w:szCs w:val="18"/>
        </w:rPr>
        <w:t>Multiplexing of backhaul links in TDD:</w:t>
      </w:r>
    </w:p>
    <w:p w:rsidR="00C908A7" w:rsidRPr="00C908A7" w:rsidRDefault="00C908A7" w:rsidP="00C908A7">
      <w:pPr>
        <w:pStyle w:val="B1"/>
        <w:rPr>
          <w:rFonts w:ascii="Arial" w:eastAsia="MS Mincho" w:hAnsi="Arial" w:cs="Arial"/>
          <w:sz w:val="18"/>
          <w:szCs w:val="18"/>
        </w:rPr>
      </w:pPr>
      <w:r w:rsidRPr="00C908A7">
        <w:rPr>
          <w:rFonts w:ascii="Arial" w:eastAsia="MS Mincho" w:hAnsi="Arial" w:cs="Arial"/>
          <w:sz w:val="18"/>
          <w:szCs w:val="18"/>
        </w:rPr>
        <w:t>-</w:t>
      </w:r>
      <w:r w:rsidRPr="00C908A7">
        <w:rPr>
          <w:rFonts w:ascii="Arial" w:eastAsia="MS Mincho" w:hAnsi="Arial" w:cs="Arial"/>
          <w:sz w:val="18"/>
          <w:szCs w:val="18"/>
        </w:rPr>
        <w:tab/>
      </w:r>
      <w:proofErr w:type="spellStart"/>
      <w:proofErr w:type="gramStart"/>
      <w:r w:rsidRPr="00C908A7">
        <w:rPr>
          <w:rFonts w:ascii="Arial" w:hAnsi="Arial" w:cs="Arial"/>
          <w:sz w:val="18"/>
          <w:szCs w:val="18"/>
        </w:rPr>
        <w:t>eNB</w:t>
      </w:r>
      <w:proofErr w:type="spellEnd"/>
      <w:proofErr w:type="gramEnd"/>
      <w:r w:rsidRPr="00C908A7">
        <w:rPr>
          <w:rFonts w:ascii="Arial" w:hAnsi="Arial" w:cs="Arial"/>
          <w:sz w:val="18"/>
          <w:szCs w:val="18"/>
        </w:rPr>
        <w:t xml:space="preserve"> → RN transmissions are done in the DL </w:t>
      </w:r>
      <w:proofErr w:type="spellStart"/>
      <w:r w:rsidRPr="00C908A7">
        <w:rPr>
          <w:rFonts w:ascii="Arial" w:hAnsi="Arial" w:cs="Arial"/>
          <w:sz w:val="18"/>
          <w:szCs w:val="18"/>
        </w:rPr>
        <w:t>subframes</w:t>
      </w:r>
      <w:proofErr w:type="spellEnd"/>
      <w:r w:rsidRPr="00C908A7">
        <w:rPr>
          <w:rFonts w:ascii="Arial" w:hAnsi="Arial" w:cs="Arial"/>
          <w:sz w:val="18"/>
          <w:szCs w:val="18"/>
        </w:rPr>
        <w:t xml:space="preserve"> of the </w:t>
      </w:r>
      <w:proofErr w:type="spellStart"/>
      <w:r w:rsidRPr="00C908A7">
        <w:rPr>
          <w:rFonts w:ascii="Arial" w:hAnsi="Arial" w:cs="Arial"/>
          <w:sz w:val="18"/>
          <w:szCs w:val="18"/>
        </w:rPr>
        <w:t>eNB</w:t>
      </w:r>
      <w:proofErr w:type="spellEnd"/>
      <w:r w:rsidRPr="00C908A7">
        <w:rPr>
          <w:rFonts w:ascii="Arial" w:hAnsi="Arial" w:cs="Arial"/>
          <w:sz w:val="18"/>
          <w:szCs w:val="18"/>
        </w:rPr>
        <w:t xml:space="preserve"> and RN </w:t>
      </w:r>
    </w:p>
    <w:p w:rsidR="003C3FAE" w:rsidRPr="00C633AC" w:rsidRDefault="00C908A7" w:rsidP="00C633AC">
      <w:pPr>
        <w:pStyle w:val="B1"/>
        <w:rPr>
          <w:rFonts w:ascii="Arial" w:eastAsiaTheme="minorEastAsia" w:hAnsi="Arial" w:cs="Arial" w:hint="eastAsia"/>
          <w:sz w:val="18"/>
          <w:szCs w:val="18"/>
          <w:lang w:eastAsia="zh-CN"/>
        </w:rPr>
      </w:pPr>
      <w:r w:rsidRPr="00C908A7">
        <w:rPr>
          <w:rFonts w:ascii="Arial" w:eastAsia="MS Mincho" w:hAnsi="Arial" w:cs="Arial"/>
          <w:sz w:val="18"/>
          <w:szCs w:val="18"/>
        </w:rPr>
        <w:t>-</w:t>
      </w:r>
      <w:r w:rsidRPr="00C908A7">
        <w:rPr>
          <w:rFonts w:ascii="Arial" w:eastAsia="MS Mincho" w:hAnsi="Arial" w:cs="Arial"/>
          <w:sz w:val="18"/>
          <w:szCs w:val="18"/>
        </w:rPr>
        <w:tab/>
      </w:r>
      <w:r w:rsidRPr="00C908A7">
        <w:rPr>
          <w:rFonts w:ascii="Arial" w:hAnsi="Arial" w:cs="Arial"/>
          <w:sz w:val="18"/>
          <w:szCs w:val="18"/>
        </w:rPr>
        <w:t xml:space="preserve">RN → </w:t>
      </w:r>
      <w:proofErr w:type="spellStart"/>
      <w:r w:rsidRPr="00C908A7">
        <w:rPr>
          <w:rFonts w:ascii="Arial" w:hAnsi="Arial" w:cs="Arial"/>
          <w:sz w:val="18"/>
          <w:szCs w:val="18"/>
        </w:rPr>
        <w:t>eNB</w:t>
      </w:r>
      <w:proofErr w:type="spellEnd"/>
      <w:r w:rsidRPr="00C908A7">
        <w:rPr>
          <w:rFonts w:ascii="Arial" w:hAnsi="Arial" w:cs="Arial"/>
          <w:sz w:val="18"/>
          <w:szCs w:val="18"/>
        </w:rPr>
        <w:t xml:space="preserve"> transmissions are done in the UL </w:t>
      </w:r>
      <w:proofErr w:type="spellStart"/>
      <w:r w:rsidRPr="00C908A7">
        <w:rPr>
          <w:rFonts w:ascii="Arial" w:hAnsi="Arial" w:cs="Arial"/>
          <w:sz w:val="18"/>
          <w:szCs w:val="18"/>
        </w:rPr>
        <w:t>subframes</w:t>
      </w:r>
      <w:proofErr w:type="spellEnd"/>
      <w:r w:rsidRPr="00C908A7">
        <w:rPr>
          <w:rFonts w:ascii="Arial" w:hAnsi="Arial" w:cs="Arial"/>
          <w:sz w:val="18"/>
          <w:szCs w:val="18"/>
        </w:rPr>
        <w:t xml:space="preserve"> of the </w:t>
      </w:r>
      <w:proofErr w:type="spellStart"/>
      <w:r w:rsidRPr="00C908A7">
        <w:rPr>
          <w:rFonts w:ascii="Arial" w:hAnsi="Arial" w:cs="Arial"/>
          <w:sz w:val="18"/>
          <w:szCs w:val="18"/>
        </w:rPr>
        <w:t>eNB</w:t>
      </w:r>
      <w:proofErr w:type="spellEnd"/>
      <w:r w:rsidRPr="00C908A7">
        <w:rPr>
          <w:rFonts w:ascii="Arial" w:hAnsi="Arial" w:cs="Arial"/>
          <w:sz w:val="18"/>
          <w:szCs w:val="18"/>
        </w:rPr>
        <w:t xml:space="preserve"> and RN</w:t>
      </w:r>
    </w:p>
    <w:p w:rsidR="00C633AC" w:rsidRDefault="00C633AC" w:rsidP="00C025C1">
      <w:pPr>
        <w:rPr>
          <w:lang w:val="en-GB"/>
        </w:rPr>
      </w:pPr>
      <w:r>
        <w:rPr>
          <w:rFonts w:hint="eastAsia"/>
        </w:rPr>
        <w:t xml:space="preserve">Furthermore, according TDM cases </w:t>
      </w:r>
      <w:r>
        <w:t>described</w:t>
      </w:r>
      <w:r>
        <w:rPr>
          <w:rFonts w:hint="eastAsia"/>
        </w:rPr>
        <w:t xml:space="preserve"> in SI </w:t>
      </w:r>
      <w:proofErr w:type="gramStart"/>
      <w:r>
        <w:rPr>
          <w:rFonts w:hint="eastAsia"/>
        </w:rPr>
        <w:t>TR[</w:t>
      </w:r>
      <w:proofErr w:type="gramEnd"/>
      <w:r>
        <w:rPr>
          <w:rFonts w:hint="eastAsia"/>
        </w:rPr>
        <w:t>3] in table 7.3.3-1, more restriction is introduced in for NR IAB compared with LTE Relay.</w:t>
      </w:r>
    </w:p>
    <w:p w:rsidR="00F46DC0" w:rsidRPr="00357940" w:rsidRDefault="00F46DC0" w:rsidP="00F46DC0">
      <w:pPr>
        <w:pStyle w:val="TH"/>
        <w:rPr>
          <w:rFonts w:cs="Arial"/>
          <w:sz w:val="18"/>
          <w:szCs w:val="18"/>
          <w:lang w:val="en-US"/>
        </w:rPr>
      </w:pPr>
      <w:r w:rsidRPr="00357940">
        <w:rPr>
          <w:rFonts w:cs="Arial"/>
          <w:sz w:val="18"/>
          <w:szCs w:val="18"/>
          <w:lang w:val="en-US"/>
        </w:rPr>
        <w:lastRenderedPageBreak/>
        <w:t>Table 7.</w:t>
      </w:r>
      <w:r w:rsidRPr="00357940">
        <w:rPr>
          <w:rFonts w:eastAsia="Malgun Gothic" w:cs="Arial"/>
          <w:sz w:val="18"/>
          <w:szCs w:val="18"/>
          <w:lang w:val="en-US" w:eastAsia="ko-KR"/>
        </w:rPr>
        <w:t>3</w:t>
      </w:r>
      <w:r w:rsidRPr="00357940">
        <w:rPr>
          <w:rFonts w:cs="Arial"/>
          <w:sz w:val="18"/>
          <w:szCs w:val="18"/>
          <w:lang w:val="en-US"/>
        </w:rPr>
        <w:t>.</w:t>
      </w:r>
      <w:r w:rsidRPr="00357940">
        <w:rPr>
          <w:rFonts w:eastAsia="Malgun Gothic" w:cs="Arial"/>
          <w:sz w:val="18"/>
          <w:szCs w:val="18"/>
          <w:lang w:val="en-US" w:eastAsia="ko-KR"/>
        </w:rPr>
        <w:t>2</w:t>
      </w:r>
      <w:r w:rsidRPr="00357940">
        <w:rPr>
          <w:rFonts w:cs="Arial"/>
          <w:sz w:val="18"/>
          <w:szCs w:val="18"/>
          <w:lang w:val="en-US"/>
        </w:rPr>
        <w:t xml:space="preserve">-1: Supported TDM </w:t>
      </w:r>
      <w:proofErr w:type="gramStart"/>
      <w:r w:rsidRPr="00357940">
        <w:rPr>
          <w:rFonts w:cs="Arial"/>
          <w:sz w:val="18"/>
          <w:szCs w:val="18"/>
          <w:lang w:val="en-US"/>
        </w:rPr>
        <w:t>cases(</w:t>
      </w:r>
      <w:proofErr w:type="gramEnd"/>
      <w:r w:rsidRPr="00357940">
        <w:rPr>
          <w:rFonts w:cs="Arial"/>
          <w:sz w:val="18"/>
          <w:szCs w:val="18"/>
          <w:lang w:val="en-US"/>
        </w:rPr>
        <w:t>from TR38.874)</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3539"/>
        <w:gridCol w:w="4433"/>
      </w:tblGrid>
      <w:tr w:rsidR="00F46DC0" w:rsidRPr="00357940" w:rsidTr="002E51E3">
        <w:tc>
          <w:tcPr>
            <w:tcW w:w="2036" w:type="dxa"/>
            <w:shd w:val="clear" w:color="auto" w:fill="auto"/>
          </w:tcPr>
          <w:p w:rsidR="00F46DC0" w:rsidRPr="00357940" w:rsidRDefault="00F46DC0" w:rsidP="002E51E3">
            <w:pPr>
              <w:pStyle w:val="TAH"/>
              <w:rPr>
                <w:rFonts w:eastAsia="MS Mincho" w:cs="Arial"/>
                <w:szCs w:val="18"/>
                <w:lang w:eastAsia="ja-JP"/>
              </w:rPr>
            </w:pPr>
          </w:p>
        </w:tc>
        <w:tc>
          <w:tcPr>
            <w:tcW w:w="7972" w:type="dxa"/>
            <w:gridSpan w:val="2"/>
            <w:shd w:val="clear" w:color="auto" w:fill="auto"/>
          </w:tcPr>
          <w:p w:rsidR="00F46DC0" w:rsidRPr="00357940" w:rsidRDefault="00F46DC0" w:rsidP="002E51E3">
            <w:pPr>
              <w:pStyle w:val="TAH"/>
              <w:rPr>
                <w:rFonts w:eastAsia="MS Mincho" w:cs="Arial"/>
                <w:szCs w:val="18"/>
                <w:lang w:eastAsia="ja-JP"/>
              </w:rPr>
            </w:pPr>
            <w:r w:rsidRPr="00357940">
              <w:rPr>
                <w:rFonts w:eastAsia="MS Mincho" w:cs="Arial"/>
                <w:szCs w:val="18"/>
                <w:lang w:eastAsia="ja-JP"/>
              </w:rPr>
              <w:t>TDM Between:</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Case</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Link 1</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Link 2</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1</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P,DL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C,DL</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2</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P,UL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C,UL </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3</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P,DL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C,UL</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4</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P,UL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C,DL </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5</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P,DL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A,DL </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6</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P,UL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A,UL </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7</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P,DL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A,UL</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8</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P,UL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A,DL </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9</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P,DL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A,DL and </w:t>
            </w:r>
            <w:r w:rsidRPr="00357940">
              <w:rPr>
                <w:rFonts w:eastAsia="MS Mincho" w:cs="Arial"/>
                <w:szCs w:val="18"/>
                <w:lang w:eastAsia="ja-JP"/>
              </w:rPr>
              <w:t>L</w:t>
            </w:r>
            <w:r w:rsidRPr="00357940">
              <w:rPr>
                <w:rFonts w:eastAsia="MS Mincho" w:cs="Arial"/>
                <w:szCs w:val="18"/>
                <w:vertAlign w:val="subscript"/>
                <w:lang w:eastAsia="ja-JP"/>
              </w:rPr>
              <w:t>C,DL</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10</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P,UL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A,UL and </w:t>
            </w:r>
            <w:r w:rsidRPr="00357940">
              <w:rPr>
                <w:rFonts w:eastAsia="MS Mincho" w:cs="Arial"/>
                <w:szCs w:val="18"/>
                <w:lang w:eastAsia="ja-JP"/>
              </w:rPr>
              <w:t>L</w:t>
            </w:r>
            <w:r w:rsidRPr="00357940">
              <w:rPr>
                <w:rFonts w:eastAsia="MS Mincho" w:cs="Arial"/>
                <w:szCs w:val="18"/>
                <w:vertAlign w:val="subscript"/>
                <w:lang w:eastAsia="ja-JP"/>
              </w:rPr>
              <w:t>C,UL</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11</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P,DL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A,UL and </w:t>
            </w:r>
            <w:r w:rsidRPr="00357940">
              <w:rPr>
                <w:rFonts w:eastAsia="MS Mincho" w:cs="Arial"/>
                <w:szCs w:val="18"/>
                <w:lang w:eastAsia="ja-JP"/>
              </w:rPr>
              <w:t>L</w:t>
            </w:r>
            <w:r w:rsidRPr="00357940">
              <w:rPr>
                <w:rFonts w:eastAsia="MS Mincho" w:cs="Arial"/>
                <w:szCs w:val="18"/>
                <w:vertAlign w:val="subscript"/>
                <w:lang w:eastAsia="ja-JP"/>
              </w:rPr>
              <w:t>C,UL</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12</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P,UL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A,DL and </w:t>
            </w:r>
            <w:r w:rsidRPr="00357940">
              <w:rPr>
                <w:rFonts w:eastAsia="MS Mincho" w:cs="Arial"/>
                <w:szCs w:val="18"/>
                <w:lang w:eastAsia="ja-JP"/>
              </w:rPr>
              <w:t>L</w:t>
            </w:r>
            <w:r w:rsidRPr="00357940">
              <w:rPr>
                <w:rFonts w:eastAsia="MS Mincho" w:cs="Arial"/>
                <w:szCs w:val="18"/>
                <w:vertAlign w:val="subscript"/>
                <w:lang w:eastAsia="ja-JP"/>
              </w:rPr>
              <w:t>A,DL</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13</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C,DL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A,DL </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14</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C,UL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A,UL </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15</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C,DL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A,UL</w:t>
            </w:r>
          </w:p>
        </w:tc>
      </w:tr>
      <w:tr w:rsidR="00F46DC0" w:rsidRPr="00357940" w:rsidTr="002E51E3">
        <w:tc>
          <w:tcPr>
            <w:tcW w:w="2036"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16</w:t>
            </w:r>
          </w:p>
        </w:tc>
        <w:tc>
          <w:tcPr>
            <w:tcW w:w="3539"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C,UL</w:t>
            </w:r>
          </w:p>
        </w:tc>
        <w:tc>
          <w:tcPr>
            <w:tcW w:w="4433" w:type="dxa"/>
            <w:shd w:val="clear" w:color="auto" w:fill="auto"/>
          </w:tcPr>
          <w:p w:rsidR="00F46DC0" w:rsidRPr="00357940" w:rsidRDefault="00F46DC0" w:rsidP="002E51E3">
            <w:pPr>
              <w:pStyle w:val="TAC"/>
              <w:rPr>
                <w:rFonts w:eastAsia="MS Mincho" w:cs="Arial"/>
                <w:szCs w:val="18"/>
                <w:lang w:eastAsia="ja-JP"/>
              </w:rPr>
            </w:pPr>
            <w:r w:rsidRPr="00357940">
              <w:rPr>
                <w:rFonts w:eastAsia="MS Mincho" w:cs="Arial"/>
                <w:szCs w:val="18"/>
                <w:lang w:eastAsia="ja-JP"/>
              </w:rPr>
              <w:t>L</w:t>
            </w:r>
            <w:r w:rsidRPr="00357940">
              <w:rPr>
                <w:rFonts w:eastAsia="MS Mincho" w:cs="Arial"/>
                <w:szCs w:val="18"/>
                <w:vertAlign w:val="subscript"/>
                <w:lang w:eastAsia="ja-JP"/>
              </w:rPr>
              <w:t xml:space="preserve">A,DL </w:t>
            </w:r>
          </w:p>
        </w:tc>
      </w:tr>
    </w:tbl>
    <w:p w:rsidR="003C3FAE" w:rsidRDefault="003C3FAE" w:rsidP="00C025C1">
      <w:pPr>
        <w:rPr>
          <w:lang w:val="en-GB"/>
        </w:rPr>
      </w:pPr>
    </w:p>
    <w:p w:rsidR="006E0081" w:rsidRPr="006E0081" w:rsidRDefault="00C633AC" w:rsidP="00E3475A">
      <w:pPr>
        <w:rPr>
          <w:b/>
          <w:lang w:val="en-GB"/>
        </w:rPr>
      </w:pPr>
      <w:r>
        <w:rPr>
          <w:rFonts w:hint="eastAsia"/>
          <w:lang w:val="en-GB"/>
        </w:rPr>
        <w:t>According to above understanding</w:t>
      </w:r>
      <w:r w:rsidR="00C025C1">
        <w:rPr>
          <w:rFonts w:hint="eastAsia"/>
          <w:lang w:val="en-GB"/>
        </w:rPr>
        <w:t xml:space="preserve"> there are four cases </w:t>
      </w:r>
      <w:r>
        <w:rPr>
          <w:rFonts w:hint="eastAsia"/>
          <w:lang w:val="en-GB"/>
        </w:rPr>
        <w:t>w</w:t>
      </w:r>
      <w:r w:rsidR="00C025C1">
        <w:rPr>
          <w:rFonts w:hint="eastAsia"/>
          <w:lang w:val="en-GB"/>
        </w:rPr>
        <w:t>ould exist for co-existence simulation as</w:t>
      </w:r>
      <w:r>
        <w:rPr>
          <w:rFonts w:hint="eastAsia"/>
          <w:lang w:val="en-GB"/>
        </w:rPr>
        <w:t xml:space="preserve"> table 2</w:t>
      </w:r>
      <w:r w:rsidR="00C025C1">
        <w:rPr>
          <w:rFonts w:hint="eastAsia"/>
          <w:lang w:val="en-GB"/>
        </w:rPr>
        <w:t xml:space="preserve"> below. </w:t>
      </w:r>
    </w:p>
    <w:p w:rsidR="00D45E04" w:rsidRPr="00D45E04" w:rsidRDefault="00D45E04" w:rsidP="00D45E04">
      <w:pPr>
        <w:jc w:val="center"/>
        <w:rPr>
          <w:rFonts w:ascii="Arial" w:hAnsi="Arial" w:cs="Arial"/>
          <w:sz w:val="18"/>
          <w:szCs w:val="18"/>
          <w:lang w:val="en-GB"/>
        </w:rPr>
      </w:pPr>
      <w:r w:rsidRPr="00D45E04">
        <w:rPr>
          <w:rFonts w:ascii="Arial" w:hAnsi="Arial" w:cs="Arial"/>
          <w:b/>
          <w:sz w:val="18"/>
          <w:szCs w:val="18"/>
          <w:lang w:val="en-GB"/>
        </w:rPr>
        <w:t>Table 2: co-existence cases for IAB</w:t>
      </w:r>
    </w:p>
    <w:tbl>
      <w:tblPr>
        <w:tblStyle w:val="TableGrid"/>
        <w:tblW w:w="0" w:type="auto"/>
        <w:jc w:val="center"/>
        <w:tblLook w:val="04A0" w:firstRow="1" w:lastRow="0" w:firstColumn="1" w:lastColumn="0" w:noHBand="0" w:noVBand="1"/>
      </w:tblPr>
      <w:tblGrid>
        <w:gridCol w:w="2651"/>
        <w:gridCol w:w="2986"/>
        <w:gridCol w:w="2885"/>
      </w:tblGrid>
      <w:tr w:rsidR="00C025C1" w:rsidRPr="00D45E04" w:rsidTr="00357940">
        <w:trPr>
          <w:jc w:val="center"/>
        </w:trPr>
        <w:tc>
          <w:tcPr>
            <w:tcW w:w="2651" w:type="dxa"/>
          </w:tcPr>
          <w:p w:rsidR="00C025C1" w:rsidRPr="00D45E04" w:rsidRDefault="00C025C1" w:rsidP="00D45E04">
            <w:pPr>
              <w:jc w:val="center"/>
              <w:rPr>
                <w:rFonts w:ascii="Arial" w:hAnsi="Arial" w:cs="Arial"/>
                <w:b/>
                <w:sz w:val="18"/>
                <w:szCs w:val="18"/>
              </w:rPr>
            </w:pPr>
            <w:r w:rsidRPr="00D45E04">
              <w:rPr>
                <w:rFonts w:ascii="Arial" w:hAnsi="Arial" w:cs="Arial"/>
                <w:b/>
                <w:sz w:val="18"/>
                <w:szCs w:val="18"/>
              </w:rPr>
              <w:t>Case#</w:t>
            </w:r>
          </w:p>
        </w:tc>
        <w:tc>
          <w:tcPr>
            <w:tcW w:w="2986" w:type="dxa"/>
          </w:tcPr>
          <w:p w:rsidR="00C025C1" w:rsidRPr="00D45E04" w:rsidRDefault="00C025C1" w:rsidP="00D45E04">
            <w:pPr>
              <w:jc w:val="center"/>
              <w:rPr>
                <w:rFonts w:ascii="Arial" w:hAnsi="Arial" w:cs="Arial"/>
                <w:b/>
                <w:sz w:val="18"/>
                <w:szCs w:val="18"/>
              </w:rPr>
            </w:pPr>
            <w:r w:rsidRPr="00D45E04">
              <w:rPr>
                <w:rFonts w:ascii="Arial" w:hAnsi="Arial" w:cs="Arial"/>
                <w:b/>
                <w:sz w:val="18"/>
                <w:szCs w:val="18"/>
              </w:rPr>
              <w:t>Aggressor system</w:t>
            </w:r>
          </w:p>
        </w:tc>
        <w:tc>
          <w:tcPr>
            <w:tcW w:w="2885" w:type="dxa"/>
          </w:tcPr>
          <w:p w:rsidR="00C025C1" w:rsidRPr="00D45E04" w:rsidRDefault="00C025C1" w:rsidP="00D45E04">
            <w:pPr>
              <w:jc w:val="center"/>
              <w:rPr>
                <w:rFonts w:ascii="Arial" w:hAnsi="Arial" w:cs="Arial"/>
                <w:b/>
                <w:sz w:val="18"/>
                <w:szCs w:val="18"/>
              </w:rPr>
            </w:pPr>
            <w:r w:rsidRPr="00D45E04">
              <w:rPr>
                <w:rFonts w:ascii="Arial" w:hAnsi="Arial" w:cs="Arial"/>
                <w:b/>
                <w:sz w:val="18"/>
                <w:szCs w:val="18"/>
              </w:rPr>
              <w:t>Victim system</w:t>
            </w:r>
          </w:p>
        </w:tc>
      </w:tr>
      <w:tr w:rsidR="00C025C1" w:rsidRPr="00D45E04" w:rsidTr="00357940">
        <w:trPr>
          <w:jc w:val="center"/>
        </w:trPr>
        <w:tc>
          <w:tcPr>
            <w:tcW w:w="2651" w:type="dxa"/>
          </w:tcPr>
          <w:p w:rsidR="00C025C1" w:rsidRPr="00D45E04" w:rsidRDefault="00C025C1" w:rsidP="00D45E04">
            <w:pPr>
              <w:jc w:val="center"/>
              <w:rPr>
                <w:rFonts w:ascii="Arial" w:hAnsi="Arial" w:cs="Arial"/>
                <w:sz w:val="18"/>
                <w:szCs w:val="18"/>
              </w:rPr>
            </w:pPr>
            <w:r w:rsidRPr="00D45E04">
              <w:rPr>
                <w:rFonts w:ascii="Arial" w:hAnsi="Arial" w:cs="Arial"/>
                <w:sz w:val="18"/>
                <w:szCs w:val="18"/>
              </w:rPr>
              <w:t>Case 1</w:t>
            </w:r>
          </w:p>
        </w:tc>
        <w:tc>
          <w:tcPr>
            <w:tcW w:w="2986" w:type="dxa"/>
          </w:tcPr>
          <w:p w:rsidR="00C025C1" w:rsidRPr="00D45E04" w:rsidRDefault="00C025C1" w:rsidP="00D45E04">
            <w:pPr>
              <w:jc w:val="center"/>
              <w:rPr>
                <w:rFonts w:ascii="Arial" w:hAnsi="Arial" w:cs="Arial"/>
                <w:sz w:val="18"/>
                <w:szCs w:val="18"/>
              </w:rPr>
            </w:pPr>
            <w:r w:rsidRPr="00D45E04">
              <w:rPr>
                <w:rFonts w:ascii="Arial" w:hAnsi="Arial" w:cs="Arial"/>
                <w:sz w:val="18"/>
                <w:szCs w:val="18"/>
              </w:rPr>
              <w:t>BS-&gt; UE +IAB-&gt; UE on DU</w:t>
            </w:r>
          </w:p>
          <w:p w:rsidR="00C025C1" w:rsidRPr="00D45E04" w:rsidRDefault="00C025C1" w:rsidP="00D45E04">
            <w:pPr>
              <w:jc w:val="center"/>
              <w:rPr>
                <w:rFonts w:ascii="Arial" w:hAnsi="Arial" w:cs="Arial"/>
                <w:sz w:val="18"/>
                <w:szCs w:val="18"/>
              </w:rPr>
            </w:pPr>
            <w:r w:rsidRPr="00D45E04">
              <w:rPr>
                <w:rFonts w:ascii="Arial" w:hAnsi="Arial" w:cs="Arial"/>
                <w:sz w:val="18"/>
                <w:szCs w:val="18"/>
              </w:rPr>
              <w:t>Or</w:t>
            </w:r>
          </w:p>
          <w:p w:rsidR="00C025C1" w:rsidRPr="00D45E04" w:rsidRDefault="00C025C1" w:rsidP="00D45E04">
            <w:pPr>
              <w:jc w:val="center"/>
              <w:rPr>
                <w:rFonts w:ascii="Arial" w:hAnsi="Arial" w:cs="Arial"/>
                <w:sz w:val="18"/>
                <w:szCs w:val="18"/>
              </w:rPr>
            </w:pPr>
            <w:r w:rsidRPr="00D45E04">
              <w:rPr>
                <w:rFonts w:ascii="Arial" w:hAnsi="Arial" w:cs="Arial"/>
                <w:sz w:val="18"/>
                <w:szCs w:val="18"/>
              </w:rPr>
              <w:t xml:space="preserve">BS-&gt;UE+ </w:t>
            </w:r>
            <w:proofErr w:type="spellStart"/>
            <w:r w:rsidRPr="00D45E04">
              <w:rPr>
                <w:rFonts w:ascii="Arial" w:hAnsi="Arial" w:cs="Arial"/>
                <w:b/>
                <w:sz w:val="18"/>
                <w:szCs w:val="18"/>
              </w:rPr>
              <w:t>BS</w:t>
            </w:r>
            <w:r w:rsidR="00F46DC0" w:rsidRPr="00F46DC0">
              <w:rPr>
                <w:rFonts w:ascii="Arial" w:hAnsi="Arial" w:cs="Arial" w:hint="eastAsia"/>
                <w:b/>
                <w:sz w:val="18"/>
                <w:szCs w:val="18"/>
                <w:vertAlign w:val="subscript"/>
              </w:rPr>
              <w:t>p</w:t>
            </w:r>
            <w:proofErr w:type="spellEnd"/>
            <w:r w:rsidRPr="00D45E04">
              <w:rPr>
                <w:rFonts w:ascii="Arial" w:hAnsi="Arial" w:cs="Arial"/>
                <w:b/>
                <w:sz w:val="18"/>
                <w:szCs w:val="18"/>
              </w:rPr>
              <w:t>-&gt;IAB as MT</w:t>
            </w:r>
          </w:p>
        </w:tc>
        <w:tc>
          <w:tcPr>
            <w:tcW w:w="2885" w:type="dxa"/>
          </w:tcPr>
          <w:p w:rsidR="00C025C1" w:rsidRPr="00D45E04" w:rsidRDefault="00C025C1" w:rsidP="00D45E04">
            <w:pPr>
              <w:jc w:val="center"/>
              <w:rPr>
                <w:rFonts w:ascii="Arial" w:hAnsi="Arial" w:cs="Arial"/>
                <w:sz w:val="18"/>
                <w:szCs w:val="18"/>
              </w:rPr>
            </w:pPr>
            <w:r w:rsidRPr="00D45E04">
              <w:rPr>
                <w:rFonts w:ascii="Arial" w:hAnsi="Arial" w:cs="Arial"/>
                <w:sz w:val="18"/>
                <w:szCs w:val="18"/>
              </w:rPr>
              <w:t>BS-&gt; UE on adjacent channel</w:t>
            </w:r>
          </w:p>
        </w:tc>
      </w:tr>
      <w:tr w:rsidR="00C025C1" w:rsidRPr="00D45E04" w:rsidTr="00357940">
        <w:trPr>
          <w:jc w:val="center"/>
        </w:trPr>
        <w:tc>
          <w:tcPr>
            <w:tcW w:w="2651" w:type="dxa"/>
          </w:tcPr>
          <w:p w:rsidR="00C025C1" w:rsidRPr="00D45E04" w:rsidRDefault="00C025C1" w:rsidP="00D45E04">
            <w:pPr>
              <w:jc w:val="center"/>
              <w:rPr>
                <w:rFonts w:ascii="Arial" w:hAnsi="Arial" w:cs="Arial"/>
                <w:b/>
                <w:sz w:val="18"/>
                <w:szCs w:val="18"/>
              </w:rPr>
            </w:pPr>
            <w:r w:rsidRPr="00D45E04">
              <w:rPr>
                <w:rFonts w:ascii="Arial" w:hAnsi="Arial" w:cs="Arial"/>
                <w:b/>
                <w:sz w:val="18"/>
                <w:szCs w:val="18"/>
              </w:rPr>
              <w:t>Case 2</w:t>
            </w:r>
          </w:p>
        </w:tc>
        <w:tc>
          <w:tcPr>
            <w:tcW w:w="2986" w:type="dxa"/>
          </w:tcPr>
          <w:p w:rsidR="00C025C1" w:rsidRPr="00F46DC0" w:rsidRDefault="00874312" w:rsidP="00D45E04">
            <w:pPr>
              <w:jc w:val="center"/>
              <w:rPr>
                <w:rFonts w:ascii="Arial" w:hAnsi="Arial" w:cs="Arial"/>
                <w:b/>
                <w:sz w:val="18"/>
                <w:szCs w:val="18"/>
                <w:vertAlign w:val="subscript"/>
              </w:rPr>
            </w:pPr>
            <w:r w:rsidRPr="00D45E04">
              <w:rPr>
                <w:rFonts w:ascii="Arial" w:hAnsi="Arial" w:cs="Arial"/>
                <w:sz w:val="18"/>
                <w:szCs w:val="18"/>
              </w:rPr>
              <w:t xml:space="preserve">UE-&gt; BS+ </w:t>
            </w:r>
            <w:r w:rsidR="00C025C1" w:rsidRPr="00D45E04">
              <w:rPr>
                <w:rFonts w:ascii="Arial" w:hAnsi="Arial" w:cs="Arial"/>
                <w:b/>
                <w:sz w:val="18"/>
                <w:szCs w:val="18"/>
              </w:rPr>
              <w:t xml:space="preserve">IAB as MT-&gt; </w:t>
            </w:r>
            <w:proofErr w:type="spellStart"/>
            <w:r w:rsidR="00C025C1" w:rsidRPr="00D45E04">
              <w:rPr>
                <w:rFonts w:ascii="Arial" w:hAnsi="Arial" w:cs="Arial"/>
                <w:b/>
                <w:sz w:val="18"/>
                <w:szCs w:val="18"/>
              </w:rPr>
              <w:t>BS</w:t>
            </w:r>
            <w:r w:rsidR="00F46DC0">
              <w:rPr>
                <w:rFonts w:ascii="Arial" w:hAnsi="Arial" w:cs="Arial" w:hint="eastAsia"/>
                <w:b/>
                <w:sz w:val="18"/>
                <w:szCs w:val="18"/>
                <w:vertAlign w:val="subscript"/>
              </w:rPr>
              <w:t>p</w:t>
            </w:r>
            <w:proofErr w:type="spellEnd"/>
          </w:p>
          <w:p w:rsidR="00C025C1" w:rsidRPr="00D45E04" w:rsidRDefault="00C025C1" w:rsidP="00D45E04">
            <w:pPr>
              <w:jc w:val="center"/>
              <w:rPr>
                <w:rFonts w:ascii="Arial" w:hAnsi="Arial" w:cs="Arial"/>
                <w:sz w:val="18"/>
                <w:szCs w:val="18"/>
              </w:rPr>
            </w:pPr>
            <w:r w:rsidRPr="00D45E04">
              <w:rPr>
                <w:rFonts w:ascii="Arial" w:hAnsi="Arial" w:cs="Arial"/>
                <w:sz w:val="18"/>
                <w:szCs w:val="18"/>
              </w:rPr>
              <w:t>Or</w:t>
            </w:r>
          </w:p>
          <w:p w:rsidR="00C025C1" w:rsidRPr="00D45E04" w:rsidRDefault="00C025C1" w:rsidP="00D45E04">
            <w:pPr>
              <w:jc w:val="center"/>
              <w:rPr>
                <w:rFonts w:ascii="Arial" w:hAnsi="Arial" w:cs="Arial"/>
                <w:sz w:val="18"/>
                <w:szCs w:val="18"/>
              </w:rPr>
            </w:pPr>
            <w:r w:rsidRPr="00D45E04">
              <w:rPr>
                <w:rFonts w:ascii="Arial" w:hAnsi="Arial" w:cs="Arial"/>
                <w:sz w:val="18"/>
                <w:szCs w:val="18"/>
              </w:rPr>
              <w:t>UE-&gt; BS+ UE-&gt;IAB as DU</w:t>
            </w:r>
          </w:p>
        </w:tc>
        <w:tc>
          <w:tcPr>
            <w:tcW w:w="2885" w:type="dxa"/>
          </w:tcPr>
          <w:p w:rsidR="00C025C1" w:rsidRPr="00D45E04" w:rsidRDefault="00C025C1" w:rsidP="00D45E04">
            <w:pPr>
              <w:jc w:val="center"/>
              <w:rPr>
                <w:rFonts w:ascii="Arial" w:hAnsi="Arial" w:cs="Arial"/>
                <w:sz w:val="18"/>
                <w:szCs w:val="18"/>
              </w:rPr>
            </w:pPr>
            <w:r w:rsidRPr="00D45E04">
              <w:rPr>
                <w:rFonts w:ascii="Arial" w:hAnsi="Arial" w:cs="Arial"/>
                <w:sz w:val="18"/>
                <w:szCs w:val="18"/>
              </w:rPr>
              <w:t>UE-&gt;BS on adjacent channel</w:t>
            </w:r>
          </w:p>
        </w:tc>
      </w:tr>
      <w:tr w:rsidR="00C025C1" w:rsidRPr="00D45E04" w:rsidTr="00357940">
        <w:trPr>
          <w:jc w:val="center"/>
        </w:trPr>
        <w:tc>
          <w:tcPr>
            <w:tcW w:w="2651" w:type="dxa"/>
          </w:tcPr>
          <w:p w:rsidR="00C025C1" w:rsidRPr="00D45E04" w:rsidRDefault="00C025C1" w:rsidP="00D45E04">
            <w:pPr>
              <w:jc w:val="center"/>
              <w:rPr>
                <w:rFonts w:ascii="Arial" w:hAnsi="Arial" w:cs="Arial"/>
                <w:b/>
                <w:sz w:val="18"/>
                <w:szCs w:val="18"/>
              </w:rPr>
            </w:pPr>
            <w:r w:rsidRPr="00D45E04">
              <w:rPr>
                <w:rFonts w:ascii="Arial" w:hAnsi="Arial" w:cs="Arial"/>
                <w:b/>
                <w:sz w:val="18"/>
                <w:szCs w:val="18"/>
              </w:rPr>
              <w:t>Case 3</w:t>
            </w:r>
          </w:p>
        </w:tc>
        <w:tc>
          <w:tcPr>
            <w:tcW w:w="2986" w:type="dxa"/>
          </w:tcPr>
          <w:p w:rsidR="00C025C1" w:rsidRPr="00D45E04" w:rsidRDefault="00C025C1" w:rsidP="00D45E04">
            <w:pPr>
              <w:jc w:val="center"/>
              <w:rPr>
                <w:rFonts w:ascii="Arial" w:hAnsi="Arial" w:cs="Arial"/>
                <w:sz w:val="18"/>
                <w:szCs w:val="18"/>
              </w:rPr>
            </w:pPr>
            <w:r w:rsidRPr="00D45E04">
              <w:rPr>
                <w:rFonts w:ascii="Arial" w:hAnsi="Arial" w:cs="Arial"/>
                <w:sz w:val="18"/>
                <w:szCs w:val="18"/>
              </w:rPr>
              <w:t>BS-&gt; UE on adjacent channel</w:t>
            </w:r>
          </w:p>
        </w:tc>
        <w:tc>
          <w:tcPr>
            <w:tcW w:w="2885" w:type="dxa"/>
          </w:tcPr>
          <w:p w:rsidR="00C025C1" w:rsidRPr="00D45E04" w:rsidRDefault="00C025C1" w:rsidP="00D45E04">
            <w:pPr>
              <w:jc w:val="center"/>
              <w:rPr>
                <w:rFonts w:ascii="Arial" w:hAnsi="Arial" w:cs="Arial"/>
                <w:b/>
                <w:sz w:val="18"/>
                <w:szCs w:val="18"/>
              </w:rPr>
            </w:pPr>
            <w:proofErr w:type="spellStart"/>
            <w:r w:rsidRPr="00D45E04">
              <w:rPr>
                <w:rFonts w:ascii="Arial" w:hAnsi="Arial" w:cs="Arial"/>
                <w:b/>
                <w:sz w:val="18"/>
                <w:szCs w:val="18"/>
              </w:rPr>
              <w:t>BS</w:t>
            </w:r>
            <w:r w:rsidR="00F46DC0" w:rsidRPr="00F46DC0">
              <w:rPr>
                <w:rFonts w:ascii="Arial" w:hAnsi="Arial" w:cs="Arial" w:hint="eastAsia"/>
                <w:b/>
                <w:sz w:val="18"/>
                <w:szCs w:val="18"/>
                <w:vertAlign w:val="subscript"/>
              </w:rPr>
              <w:t>p</w:t>
            </w:r>
            <w:proofErr w:type="spellEnd"/>
            <w:r w:rsidRPr="00D45E04">
              <w:rPr>
                <w:rFonts w:ascii="Arial" w:hAnsi="Arial" w:cs="Arial"/>
                <w:b/>
                <w:sz w:val="18"/>
                <w:szCs w:val="18"/>
              </w:rPr>
              <w:t>-&gt; IAB as MT</w:t>
            </w:r>
          </w:p>
        </w:tc>
      </w:tr>
      <w:tr w:rsidR="00C025C1" w:rsidRPr="00D45E04" w:rsidTr="00357940">
        <w:trPr>
          <w:jc w:val="center"/>
        </w:trPr>
        <w:tc>
          <w:tcPr>
            <w:tcW w:w="2651" w:type="dxa"/>
          </w:tcPr>
          <w:p w:rsidR="00C025C1" w:rsidRPr="00D45E04" w:rsidRDefault="00C025C1" w:rsidP="00D45E04">
            <w:pPr>
              <w:jc w:val="center"/>
              <w:rPr>
                <w:rFonts w:ascii="Arial" w:hAnsi="Arial" w:cs="Arial"/>
                <w:sz w:val="18"/>
                <w:szCs w:val="18"/>
              </w:rPr>
            </w:pPr>
            <w:r w:rsidRPr="00D45E04">
              <w:rPr>
                <w:rFonts w:ascii="Arial" w:hAnsi="Arial" w:cs="Arial"/>
                <w:sz w:val="18"/>
                <w:szCs w:val="18"/>
              </w:rPr>
              <w:t>Case 4</w:t>
            </w:r>
          </w:p>
        </w:tc>
        <w:tc>
          <w:tcPr>
            <w:tcW w:w="2986" w:type="dxa"/>
          </w:tcPr>
          <w:p w:rsidR="00C025C1" w:rsidRPr="00D45E04" w:rsidRDefault="00C025C1" w:rsidP="00D45E04">
            <w:pPr>
              <w:jc w:val="center"/>
              <w:rPr>
                <w:rFonts w:ascii="Arial" w:hAnsi="Arial" w:cs="Arial"/>
                <w:sz w:val="18"/>
                <w:szCs w:val="18"/>
              </w:rPr>
            </w:pPr>
            <w:r w:rsidRPr="00D45E04">
              <w:rPr>
                <w:rFonts w:ascii="Arial" w:hAnsi="Arial" w:cs="Arial"/>
                <w:sz w:val="18"/>
                <w:szCs w:val="18"/>
              </w:rPr>
              <w:t>UE-&gt; BS on adjacent channel</w:t>
            </w:r>
          </w:p>
        </w:tc>
        <w:tc>
          <w:tcPr>
            <w:tcW w:w="2885" w:type="dxa"/>
          </w:tcPr>
          <w:p w:rsidR="00C025C1" w:rsidRPr="00D45E04" w:rsidRDefault="00C025C1" w:rsidP="00D45E04">
            <w:pPr>
              <w:jc w:val="center"/>
              <w:rPr>
                <w:rFonts w:ascii="Arial" w:hAnsi="Arial" w:cs="Arial"/>
                <w:sz w:val="18"/>
                <w:szCs w:val="18"/>
              </w:rPr>
            </w:pPr>
            <w:r w:rsidRPr="00D45E04">
              <w:rPr>
                <w:rFonts w:ascii="Arial" w:hAnsi="Arial" w:cs="Arial"/>
                <w:sz w:val="18"/>
                <w:szCs w:val="18"/>
              </w:rPr>
              <w:t>UE-&gt; IAB as DU</w:t>
            </w:r>
          </w:p>
        </w:tc>
      </w:tr>
    </w:tbl>
    <w:p w:rsidR="00C025C1" w:rsidRPr="003F562F" w:rsidRDefault="00C025C1" w:rsidP="00C025C1">
      <w:pPr>
        <w:pStyle w:val="ListParagraph"/>
        <w:ind w:left="360" w:firstLineChars="0" w:firstLine="0"/>
      </w:pPr>
    </w:p>
    <w:p w:rsidR="00E3475A" w:rsidRDefault="00E3475A" w:rsidP="00E3475A">
      <w:pPr>
        <w:rPr>
          <w:lang w:val="en-GB"/>
        </w:rPr>
      </w:pPr>
      <w:r>
        <w:rPr>
          <w:rFonts w:hint="eastAsia"/>
          <w:lang w:val="en-GB"/>
        </w:rPr>
        <w:t>For access link, as pointed in [1], the same ACLR and ACS requirement defined in TS38.104 of small cell could be expected for IAB. It</w:t>
      </w:r>
      <w:r>
        <w:rPr>
          <w:lang w:val="en-GB"/>
        </w:rPr>
        <w:t>’</w:t>
      </w:r>
      <w:r>
        <w:rPr>
          <w:rFonts w:hint="eastAsia"/>
          <w:lang w:val="en-GB"/>
        </w:rPr>
        <w:t xml:space="preserve">s not anticipated that the IAB node could achieve more </w:t>
      </w:r>
      <w:r>
        <w:rPr>
          <w:lang w:val="en-GB"/>
        </w:rPr>
        <w:t>stringent</w:t>
      </w:r>
      <w:r>
        <w:rPr>
          <w:rFonts w:hint="eastAsia"/>
          <w:lang w:val="en-GB"/>
        </w:rPr>
        <w:t xml:space="preserve"> </w:t>
      </w:r>
      <w:r>
        <w:rPr>
          <w:lang w:val="en-GB"/>
        </w:rPr>
        <w:t>performance</w:t>
      </w:r>
      <w:r>
        <w:rPr>
          <w:rFonts w:hint="eastAsia"/>
          <w:lang w:val="en-GB"/>
        </w:rPr>
        <w:t xml:space="preserve"> compared with BS in both access and backhaul link considering the implementation reality. Hence the cases used to derive IAB backhaul link ACLR and ACS should be prioritized. Furthermore, as for FR1 there are requirement defined in LTE Relay TS can be reference for NR IAB, the FR2 study should be prioritized. </w:t>
      </w:r>
    </w:p>
    <w:p w:rsidR="00E3475A" w:rsidRPr="006E0081" w:rsidRDefault="00E3475A" w:rsidP="00E3475A">
      <w:pPr>
        <w:rPr>
          <w:b/>
          <w:lang w:val="en-GB"/>
        </w:rPr>
      </w:pPr>
      <w:r w:rsidRPr="006E0081">
        <w:rPr>
          <w:rFonts w:hint="eastAsia"/>
          <w:b/>
          <w:lang w:val="en-GB"/>
        </w:rPr>
        <w:t xml:space="preserve">Proposal 2: the cases 2 and case 3 in table 2 to derive IAB backhaul link ACS and ACLR should be prioritized.  </w:t>
      </w:r>
    </w:p>
    <w:p w:rsidR="00E3475A" w:rsidRPr="006E0081" w:rsidRDefault="00E3475A" w:rsidP="00E3475A">
      <w:pPr>
        <w:rPr>
          <w:b/>
          <w:lang w:val="en-GB"/>
        </w:rPr>
      </w:pPr>
      <w:r w:rsidRPr="006E0081">
        <w:rPr>
          <w:rFonts w:hint="eastAsia"/>
          <w:b/>
          <w:lang w:val="en-GB"/>
        </w:rPr>
        <w:t xml:space="preserve">Proposal 3: Co-existence study </w:t>
      </w:r>
      <w:r>
        <w:rPr>
          <w:rFonts w:hint="eastAsia"/>
          <w:b/>
          <w:lang w:val="en-GB"/>
        </w:rPr>
        <w:t>for FR2</w:t>
      </w:r>
      <w:r w:rsidRPr="006E0081">
        <w:rPr>
          <w:rFonts w:hint="eastAsia"/>
          <w:b/>
          <w:lang w:val="en-GB"/>
        </w:rPr>
        <w:t xml:space="preserve"> IAB should be prioritized.</w:t>
      </w:r>
    </w:p>
    <w:p w:rsidR="006E0081" w:rsidRPr="00E3475A" w:rsidRDefault="006E0081" w:rsidP="00A256E7">
      <w:pPr>
        <w:rPr>
          <w:b/>
          <w:lang w:val="en-GB"/>
        </w:rPr>
      </w:pPr>
    </w:p>
    <w:p w:rsidR="00A256E7" w:rsidRPr="003F562F" w:rsidRDefault="00A13BF1" w:rsidP="00A256E7">
      <w:r>
        <w:rPr>
          <w:rFonts w:hint="eastAsia"/>
        </w:rPr>
        <w:t xml:space="preserve">In </w:t>
      </w:r>
      <w:r>
        <w:t>addition</w:t>
      </w:r>
      <w:r>
        <w:rPr>
          <w:rFonts w:hint="eastAsia"/>
        </w:rPr>
        <w:t xml:space="preserve">, to decide the detail simulation assumption for FR2 IAB we compared the simulation assumption for CPE study [5] and IAB </w:t>
      </w:r>
      <w:r>
        <w:t>assumption</w:t>
      </w:r>
      <w:r>
        <w:rPr>
          <w:rFonts w:hint="eastAsia"/>
        </w:rPr>
        <w:t xml:space="preserve"> </w:t>
      </w:r>
      <w:r>
        <w:t>used</w:t>
      </w:r>
      <w:r>
        <w:rPr>
          <w:rFonts w:hint="eastAsia"/>
        </w:rPr>
        <w:t xml:space="preserve"> in RAN1 </w:t>
      </w:r>
      <w:r>
        <w:t>evaluation</w:t>
      </w:r>
      <w:r>
        <w:rPr>
          <w:rFonts w:hint="eastAsia"/>
        </w:rPr>
        <w:t xml:space="preserve"> captured in Annex A of [3], considering the </w:t>
      </w:r>
      <w:r>
        <w:t>similarity</w:t>
      </w:r>
      <w:r>
        <w:rPr>
          <w:rFonts w:hint="eastAsia"/>
        </w:rPr>
        <w:t xml:space="preserve"> between CPE and IAB backhaul link. It can be noticed that there are many differences between simulation </w:t>
      </w:r>
      <w:r>
        <w:rPr>
          <w:rFonts w:hint="eastAsia"/>
        </w:rPr>
        <w:lastRenderedPageBreak/>
        <w:t>assumptions in deployment scenario. Considering the anticipated applied scenario of IAB it is reasonable to consider RAN1 simulation assumption as starting point except for the power class of backhaul link, for which further operators</w:t>
      </w:r>
      <w:r>
        <w:t>’</w:t>
      </w:r>
      <w:r>
        <w:rPr>
          <w:rFonts w:hint="eastAsia"/>
        </w:rPr>
        <w:t xml:space="preserve"> input and regulation restriction (if exists) would be needed. </w:t>
      </w:r>
    </w:p>
    <w:p w:rsidR="00A256E7" w:rsidRPr="00A13BF1" w:rsidRDefault="00A13BF1" w:rsidP="00A13BF1">
      <w:pPr>
        <w:jc w:val="center"/>
        <w:rPr>
          <w:rFonts w:ascii="Arial" w:hAnsi="Arial" w:cs="Arial"/>
          <w:b/>
          <w:sz w:val="18"/>
          <w:szCs w:val="18"/>
        </w:rPr>
      </w:pPr>
      <w:r w:rsidRPr="00A13BF1">
        <w:rPr>
          <w:rFonts w:ascii="Arial" w:hAnsi="Arial" w:cs="Arial"/>
          <w:b/>
          <w:sz w:val="18"/>
          <w:szCs w:val="18"/>
        </w:rPr>
        <w:t>Table 3: comparison between simulation assumption of CPE and IAB node</w:t>
      </w:r>
    </w:p>
    <w:tbl>
      <w:tblPr>
        <w:tblStyle w:val="TableGrid"/>
        <w:tblW w:w="0" w:type="auto"/>
        <w:jc w:val="center"/>
        <w:tblLook w:val="04A0" w:firstRow="1" w:lastRow="0" w:firstColumn="1" w:lastColumn="0" w:noHBand="0" w:noVBand="1"/>
      </w:tblPr>
      <w:tblGrid>
        <w:gridCol w:w="1668"/>
        <w:gridCol w:w="3260"/>
        <w:gridCol w:w="3594"/>
      </w:tblGrid>
      <w:tr w:rsidR="00A256E7" w:rsidRPr="00A13BF1" w:rsidTr="00A13BF1">
        <w:trPr>
          <w:jc w:val="center"/>
        </w:trPr>
        <w:tc>
          <w:tcPr>
            <w:tcW w:w="1668" w:type="dxa"/>
          </w:tcPr>
          <w:p w:rsidR="00A256E7" w:rsidRPr="00A13BF1" w:rsidRDefault="00A256E7" w:rsidP="002E51E3">
            <w:pPr>
              <w:rPr>
                <w:rFonts w:ascii="Arial" w:hAnsi="Arial" w:cs="Arial"/>
                <w:sz w:val="18"/>
                <w:szCs w:val="18"/>
              </w:rPr>
            </w:pPr>
          </w:p>
        </w:tc>
        <w:tc>
          <w:tcPr>
            <w:tcW w:w="3260" w:type="dxa"/>
          </w:tcPr>
          <w:p w:rsidR="00A256E7" w:rsidRPr="00A13BF1" w:rsidRDefault="00A256E7" w:rsidP="002E51E3">
            <w:pPr>
              <w:rPr>
                <w:rFonts w:ascii="Arial" w:hAnsi="Arial" w:cs="Arial"/>
                <w:sz w:val="18"/>
                <w:szCs w:val="18"/>
              </w:rPr>
            </w:pPr>
            <w:r w:rsidRPr="00A13BF1">
              <w:rPr>
                <w:rFonts w:ascii="Arial" w:hAnsi="Arial" w:cs="Arial"/>
                <w:sz w:val="18"/>
                <w:szCs w:val="18"/>
              </w:rPr>
              <w:t>CPE simulation assumption in RAN4</w:t>
            </w:r>
          </w:p>
        </w:tc>
        <w:tc>
          <w:tcPr>
            <w:tcW w:w="3594" w:type="dxa"/>
          </w:tcPr>
          <w:p w:rsidR="00A256E7" w:rsidRPr="00A13BF1" w:rsidRDefault="00A256E7" w:rsidP="002E51E3">
            <w:pPr>
              <w:rPr>
                <w:rFonts w:ascii="Arial" w:hAnsi="Arial" w:cs="Arial"/>
                <w:sz w:val="18"/>
                <w:szCs w:val="18"/>
              </w:rPr>
            </w:pPr>
            <w:r w:rsidRPr="00A13BF1">
              <w:rPr>
                <w:rFonts w:ascii="Arial" w:hAnsi="Arial" w:cs="Arial"/>
                <w:sz w:val="18"/>
                <w:szCs w:val="18"/>
              </w:rPr>
              <w:t>IAB</w:t>
            </w:r>
          </w:p>
        </w:tc>
      </w:tr>
      <w:tr w:rsidR="00A256E7" w:rsidRPr="00A13BF1" w:rsidTr="00A13BF1">
        <w:trPr>
          <w:jc w:val="center"/>
        </w:trPr>
        <w:tc>
          <w:tcPr>
            <w:tcW w:w="1668" w:type="dxa"/>
          </w:tcPr>
          <w:p w:rsidR="00A256E7" w:rsidRPr="00A13BF1" w:rsidRDefault="00A256E7" w:rsidP="002E51E3">
            <w:pPr>
              <w:rPr>
                <w:rFonts w:ascii="Arial" w:hAnsi="Arial" w:cs="Arial"/>
                <w:sz w:val="18"/>
                <w:szCs w:val="18"/>
              </w:rPr>
            </w:pPr>
            <w:r w:rsidRPr="00A13BF1">
              <w:rPr>
                <w:rFonts w:ascii="Arial" w:hAnsi="Arial" w:cs="Arial"/>
                <w:sz w:val="18"/>
                <w:szCs w:val="18"/>
              </w:rPr>
              <w:t>Network layout</w:t>
            </w:r>
          </w:p>
        </w:tc>
        <w:tc>
          <w:tcPr>
            <w:tcW w:w="3260"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hexagonal grid, 19 macro sites, 3 sectors per site with wrap around</w:t>
            </w:r>
          </w:p>
        </w:tc>
        <w:tc>
          <w:tcPr>
            <w:tcW w:w="3594"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 xml:space="preserve">Heterogeneous: two layer </w:t>
            </w:r>
            <w:proofErr w:type="spellStart"/>
            <w:r w:rsidRPr="00A13BF1">
              <w:rPr>
                <w:rFonts w:ascii="Arial" w:hAnsi="Arial" w:cs="Arial"/>
                <w:sz w:val="18"/>
                <w:szCs w:val="18"/>
                <w:highlight w:val="yellow"/>
              </w:rPr>
              <w:t>Macro+Micro</w:t>
            </w:r>
            <w:proofErr w:type="spellEnd"/>
            <w:r w:rsidRPr="00A13BF1">
              <w:rPr>
                <w:rFonts w:ascii="Arial" w:hAnsi="Arial" w:cs="Arial"/>
                <w:sz w:val="18"/>
                <w:szCs w:val="18"/>
                <w:highlight w:val="yellow"/>
              </w:rPr>
              <w:t>(IAB)</w:t>
            </w:r>
          </w:p>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Homogeneous: one layer Micro(IAB)</w:t>
            </w:r>
          </w:p>
        </w:tc>
      </w:tr>
      <w:tr w:rsidR="00A256E7" w:rsidRPr="00A13BF1" w:rsidTr="00A13BF1">
        <w:trPr>
          <w:jc w:val="center"/>
        </w:trPr>
        <w:tc>
          <w:tcPr>
            <w:tcW w:w="1668" w:type="dxa"/>
          </w:tcPr>
          <w:p w:rsidR="00A256E7" w:rsidRPr="00A13BF1" w:rsidRDefault="00A256E7" w:rsidP="002E51E3">
            <w:pPr>
              <w:rPr>
                <w:rFonts w:ascii="Arial" w:hAnsi="Arial" w:cs="Arial"/>
                <w:sz w:val="18"/>
                <w:szCs w:val="18"/>
              </w:rPr>
            </w:pPr>
            <w:r w:rsidRPr="00A13BF1">
              <w:rPr>
                <w:rFonts w:ascii="Arial" w:hAnsi="Arial" w:cs="Arial"/>
                <w:sz w:val="18"/>
                <w:szCs w:val="18"/>
              </w:rPr>
              <w:t>Macro BS antenna height</w:t>
            </w:r>
          </w:p>
        </w:tc>
        <w:tc>
          <w:tcPr>
            <w:tcW w:w="3260" w:type="dxa"/>
          </w:tcPr>
          <w:p w:rsidR="00A256E7" w:rsidRPr="00A13BF1" w:rsidRDefault="00A256E7" w:rsidP="002E51E3">
            <w:pPr>
              <w:rPr>
                <w:rFonts w:ascii="Arial" w:hAnsi="Arial" w:cs="Arial"/>
                <w:sz w:val="18"/>
                <w:szCs w:val="18"/>
              </w:rPr>
            </w:pPr>
            <w:r w:rsidRPr="00A13BF1">
              <w:rPr>
                <w:rFonts w:ascii="Arial" w:hAnsi="Arial" w:cs="Arial"/>
                <w:sz w:val="18"/>
                <w:szCs w:val="18"/>
              </w:rPr>
              <w:t>35m</w:t>
            </w:r>
          </w:p>
        </w:tc>
        <w:tc>
          <w:tcPr>
            <w:tcW w:w="3594" w:type="dxa"/>
          </w:tcPr>
          <w:p w:rsidR="00A256E7" w:rsidRPr="00A13BF1" w:rsidRDefault="00A256E7" w:rsidP="002E51E3">
            <w:pPr>
              <w:rPr>
                <w:rFonts w:ascii="Arial" w:hAnsi="Arial" w:cs="Arial"/>
                <w:sz w:val="18"/>
                <w:szCs w:val="18"/>
              </w:rPr>
            </w:pPr>
            <w:r w:rsidRPr="00A13BF1">
              <w:rPr>
                <w:rFonts w:ascii="Arial" w:hAnsi="Arial" w:cs="Arial"/>
                <w:sz w:val="18"/>
                <w:szCs w:val="18"/>
              </w:rPr>
              <w:t>35m</w:t>
            </w:r>
          </w:p>
        </w:tc>
      </w:tr>
      <w:tr w:rsidR="00A256E7" w:rsidRPr="00A13BF1" w:rsidTr="00A13BF1">
        <w:trPr>
          <w:jc w:val="center"/>
        </w:trPr>
        <w:tc>
          <w:tcPr>
            <w:tcW w:w="1668" w:type="dxa"/>
          </w:tcPr>
          <w:p w:rsidR="00A256E7" w:rsidRPr="00A13BF1" w:rsidRDefault="00A256E7" w:rsidP="002E51E3">
            <w:pPr>
              <w:rPr>
                <w:rFonts w:ascii="Arial" w:hAnsi="Arial" w:cs="Arial"/>
                <w:sz w:val="18"/>
                <w:szCs w:val="18"/>
              </w:rPr>
            </w:pPr>
            <w:r w:rsidRPr="00A13BF1">
              <w:rPr>
                <w:rFonts w:ascii="Arial" w:hAnsi="Arial" w:cs="Arial"/>
                <w:sz w:val="18"/>
                <w:szCs w:val="18"/>
              </w:rPr>
              <w:t>Target site height</w:t>
            </w:r>
          </w:p>
        </w:tc>
        <w:tc>
          <w:tcPr>
            <w:tcW w:w="3260"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CPE antenna height 4.5m</w:t>
            </w:r>
          </w:p>
        </w:tc>
        <w:tc>
          <w:tcPr>
            <w:tcW w:w="3594"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IAB antenna height 10m</w:t>
            </w:r>
          </w:p>
        </w:tc>
      </w:tr>
      <w:tr w:rsidR="00A256E7" w:rsidRPr="00A13BF1" w:rsidTr="00A13BF1">
        <w:trPr>
          <w:jc w:val="center"/>
        </w:trPr>
        <w:tc>
          <w:tcPr>
            <w:tcW w:w="1668" w:type="dxa"/>
          </w:tcPr>
          <w:p w:rsidR="00A256E7" w:rsidRPr="00A13BF1" w:rsidRDefault="00A256E7" w:rsidP="002E51E3">
            <w:pPr>
              <w:rPr>
                <w:rFonts w:ascii="Arial" w:hAnsi="Arial" w:cs="Arial"/>
                <w:sz w:val="18"/>
                <w:szCs w:val="18"/>
              </w:rPr>
            </w:pPr>
            <w:r w:rsidRPr="00A13BF1">
              <w:rPr>
                <w:rFonts w:ascii="Arial" w:hAnsi="Arial" w:cs="Arial"/>
                <w:sz w:val="18"/>
                <w:szCs w:val="18"/>
              </w:rPr>
              <w:t>Minimum distance with Macro BS</w:t>
            </w:r>
          </w:p>
        </w:tc>
        <w:tc>
          <w:tcPr>
            <w:tcW w:w="3260"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CPE-Macro BS: 35m</w:t>
            </w:r>
          </w:p>
        </w:tc>
        <w:tc>
          <w:tcPr>
            <w:tcW w:w="3594"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IAB node to donor BS: 40m</w:t>
            </w:r>
          </w:p>
        </w:tc>
      </w:tr>
      <w:tr w:rsidR="00A256E7" w:rsidRPr="00A13BF1" w:rsidTr="00A13BF1">
        <w:trPr>
          <w:jc w:val="center"/>
        </w:trPr>
        <w:tc>
          <w:tcPr>
            <w:tcW w:w="1668" w:type="dxa"/>
          </w:tcPr>
          <w:p w:rsidR="00A256E7" w:rsidRPr="00A13BF1" w:rsidRDefault="00A256E7" w:rsidP="002E51E3">
            <w:pPr>
              <w:rPr>
                <w:rFonts w:ascii="Arial" w:hAnsi="Arial" w:cs="Arial"/>
                <w:sz w:val="18"/>
                <w:szCs w:val="18"/>
              </w:rPr>
            </w:pPr>
            <w:r w:rsidRPr="00A13BF1">
              <w:rPr>
                <w:rFonts w:ascii="Arial" w:hAnsi="Arial" w:cs="Arial"/>
                <w:sz w:val="18"/>
                <w:szCs w:val="18"/>
              </w:rPr>
              <w:t>Macro BS ISD</w:t>
            </w:r>
          </w:p>
        </w:tc>
        <w:tc>
          <w:tcPr>
            <w:tcW w:w="3260"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300m</w:t>
            </w:r>
          </w:p>
        </w:tc>
        <w:tc>
          <w:tcPr>
            <w:tcW w:w="3594"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200m/500m</w:t>
            </w:r>
          </w:p>
        </w:tc>
      </w:tr>
      <w:tr w:rsidR="00A256E7" w:rsidRPr="00A13BF1" w:rsidTr="00A13BF1">
        <w:trPr>
          <w:jc w:val="center"/>
        </w:trPr>
        <w:tc>
          <w:tcPr>
            <w:tcW w:w="1668" w:type="dxa"/>
          </w:tcPr>
          <w:p w:rsidR="00A256E7" w:rsidRPr="00A13BF1" w:rsidRDefault="00A256E7" w:rsidP="002E51E3">
            <w:pPr>
              <w:rPr>
                <w:rFonts w:ascii="Arial" w:hAnsi="Arial" w:cs="Arial"/>
                <w:sz w:val="18"/>
                <w:szCs w:val="18"/>
              </w:rPr>
            </w:pPr>
            <w:r w:rsidRPr="00A13BF1">
              <w:rPr>
                <w:rFonts w:ascii="Arial" w:hAnsi="Arial" w:cs="Arial"/>
                <w:sz w:val="18"/>
                <w:szCs w:val="18"/>
              </w:rPr>
              <w:t>Maximum PA output power</w:t>
            </w:r>
          </w:p>
        </w:tc>
        <w:tc>
          <w:tcPr>
            <w:tcW w:w="3260" w:type="dxa"/>
          </w:tcPr>
          <w:p w:rsidR="00A256E7" w:rsidRPr="00A13BF1" w:rsidRDefault="00A13BF1" w:rsidP="002E51E3">
            <w:pPr>
              <w:rPr>
                <w:rFonts w:ascii="Arial" w:hAnsi="Arial" w:cs="Arial"/>
                <w:sz w:val="18"/>
                <w:szCs w:val="18"/>
                <w:highlight w:val="yellow"/>
              </w:rPr>
            </w:pPr>
            <w:r>
              <w:rPr>
                <w:rFonts w:ascii="Arial" w:hAnsi="Arial" w:cs="Arial"/>
                <w:sz w:val="18"/>
                <w:szCs w:val="18"/>
                <w:highlight w:val="yellow"/>
              </w:rPr>
              <w:t>35dBm</w:t>
            </w:r>
          </w:p>
        </w:tc>
        <w:tc>
          <w:tcPr>
            <w:tcW w:w="3594"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33dBm</w:t>
            </w:r>
          </w:p>
        </w:tc>
      </w:tr>
      <w:tr w:rsidR="00A256E7" w:rsidRPr="00A13BF1" w:rsidTr="00A13BF1">
        <w:trPr>
          <w:jc w:val="center"/>
        </w:trPr>
        <w:tc>
          <w:tcPr>
            <w:tcW w:w="1668" w:type="dxa"/>
          </w:tcPr>
          <w:p w:rsidR="00A256E7" w:rsidRPr="00A13BF1" w:rsidRDefault="00A256E7" w:rsidP="002E51E3">
            <w:pPr>
              <w:rPr>
                <w:rFonts w:ascii="Arial" w:hAnsi="Arial" w:cs="Arial"/>
                <w:sz w:val="18"/>
                <w:szCs w:val="18"/>
              </w:rPr>
            </w:pPr>
            <w:r w:rsidRPr="00A13BF1">
              <w:rPr>
                <w:rFonts w:ascii="Arial" w:hAnsi="Arial" w:cs="Arial"/>
                <w:sz w:val="18"/>
                <w:szCs w:val="18"/>
              </w:rPr>
              <w:t>Maximum EIRP</w:t>
            </w:r>
          </w:p>
        </w:tc>
        <w:tc>
          <w:tcPr>
            <w:tcW w:w="3260"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&lt;55dBm</w:t>
            </w:r>
          </w:p>
        </w:tc>
        <w:tc>
          <w:tcPr>
            <w:tcW w:w="3594"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&lt;68dBm</w:t>
            </w:r>
          </w:p>
        </w:tc>
      </w:tr>
      <w:tr w:rsidR="00A256E7" w:rsidRPr="00A13BF1" w:rsidTr="00A13BF1">
        <w:trPr>
          <w:jc w:val="center"/>
        </w:trPr>
        <w:tc>
          <w:tcPr>
            <w:tcW w:w="1668" w:type="dxa"/>
          </w:tcPr>
          <w:p w:rsidR="00A256E7" w:rsidRPr="00A13BF1" w:rsidRDefault="00A256E7" w:rsidP="002E51E3">
            <w:pPr>
              <w:rPr>
                <w:rFonts w:ascii="Arial" w:hAnsi="Arial" w:cs="Arial"/>
                <w:sz w:val="18"/>
                <w:szCs w:val="18"/>
              </w:rPr>
            </w:pPr>
            <w:r w:rsidRPr="00A13BF1">
              <w:rPr>
                <w:rFonts w:ascii="Arial" w:hAnsi="Arial" w:cs="Arial"/>
                <w:sz w:val="18"/>
                <w:szCs w:val="18"/>
              </w:rPr>
              <w:t xml:space="preserve">Carrier frequency </w:t>
            </w:r>
          </w:p>
        </w:tc>
        <w:tc>
          <w:tcPr>
            <w:tcW w:w="3260"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30GHz</w:t>
            </w:r>
          </w:p>
        </w:tc>
        <w:tc>
          <w:tcPr>
            <w:tcW w:w="3594" w:type="dxa"/>
          </w:tcPr>
          <w:p w:rsidR="00A256E7" w:rsidRPr="00A13BF1" w:rsidRDefault="00A256E7" w:rsidP="002E51E3">
            <w:pPr>
              <w:rPr>
                <w:rFonts w:ascii="Arial" w:hAnsi="Arial" w:cs="Arial"/>
                <w:sz w:val="18"/>
                <w:szCs w:val="18"/>
                <w:highlight w:val="yellow"/>
              </w:rPr>
            </w:pPr>
            <w:r w:rsidRPr="00A13BF1">
              <w:rPr>
                <w:rFonts w:ascii="Arial" w:hAnsi="Arial" w:cs="Arial"/>
                <w:sz w:val="18"/>
                <w:szCs w:val="18"/>
                <w:highlight w:val="yellow"/>
              </w:rPr>
              <w:t>4GHz, 30GHz</w:t>
            </w:r>
          </w:p>
        </w:tc>
      </w:tr>
    </w:tbl>
    <w:p w:rsidR="00F02DC4" w:rsidRPr="00DF4456" w:rsidRDefault="008200CF" w:rsidP="00DF4456">
      <w:pPr>
        <w:pStyle w:val="Heading1"/>
        <w:rPr>
          <w:rFonts w:cs="Arial"/>
          <w:lang w:eastAsia="zh-CN"/>
        </w:rPr>
      </w:pPr>
      <w:bookmarkStart w:id="0" w:name="_GoBack"/>
      <w:bookmarkEnd w:id="0"/>
      <w:r>
        <w:rPr>
          <w:rFonts w:cs="Arial" w:hint="eastAsia"/>
          <w:lang w:eastAsia="zh-CN"/>
        </w:rPr>
        <w:t>Summary</w:t>
      </w:r>
    </w:p>
    <w:p w:rsidR="008200CF" w:rsidRPr="00A13BF1" w:rsidRDefault="00A13BF1" w:rsidP="0071351D">
      <w:pPr>
        <w:spacing w:afterLines="50" w:after="156"/>
        <w:rPr>
          <w:rFonts w:cstheme="minorHAnsi"/>
          <w:szCs w:val="21"/>
        </w:rPr>
      </w:pPr>
      <w:r>
        <w:rPr>
          <w:rFonts w:cstheme="minorHAnsi" w:hint="eastAsia"/>
          <w:szCs w:val="21"/>
        </w:rPr>
        <w:t xml:space="preserve">For co-existence study, initial consideration shared in this contribution with below proposals. </w:t>
      </w:r>
    </w:p>
    <w:p w:rsidR="00A13BF1" w:rsidRPr="00357940" w:rsidRDefault="00A13BF1" w:rsidP="00A13BF1">
      <w:pPr>
        <w:rPr>
          <w:b/>
          <w:lang w:val="en-GB"/>
        </w:rPr>
      </w:pPr>
      <w:r w:rsidRPr="00357940">
        <w:rPr>
          <w:rFonts w:hint="eastAsia"/>
          <w:b/>
          <w:lang w:val="en-GB"/>
        </w:rPr>
        <w:t xml:space="preserve">Proposal 1: TDM multiplexing should be considered in co-existence study with target at ALCR and ACS requirement. </w:t>
      </w:r>
    </w:p>
    <w:p w:rsidR="00A13BF1" w:rsidRPr="006E0081" w:rsidRDefault="00A13BF1" w:rsidP="00A13BF1">
      <w:pPr>
        <w:rPr>
          <w:b/>
          <w:lang w:val="en-GB"/>
        </w:rPr>
      </w:pPr>
      <w:r w:rsidRPr="006E0081">
        <w:rPr>
          <w:rFonts w:hint="eastAsia"/>
          <w:b/>
          <w:lang w:val="en-GB"/>
        </w:rPr>
        <w:t xml:space="preserve">Proposal 2: the cases 2 and case 3 in table 2 to derive IAB backhaul link ACS and ACLR should be prioritized.  </w:t>
      </w:r>
    </w:p>
    <w:p w:rsidR="00A13BF1" w:rsidRPr="006E0081" w:rsidRDefault="00A13BF1" w:rsidP="00A13BF1">
      <w:pPr>
        <w:rPr>
          <w:b/>
          <w:lang w:val="en-GB"/>
        </w:rPr>
      </w:pPr>
      <w:r w:rsidRPr="006E0081">
        <w:rPr>
          <w:rFonts w:hint="eastAsia"/>
          <w:b/>
          <w:lang w:val="en-GB"/>
        </w:rPr>
        <w:t xml:space="preserve">Proposal 3: Co-existence study </w:t>
      </w:r>
      <w:r>
        <w:rPr>
          <w:rFonts w:hint="eastAsia"/>
          <w:b/>
          <w:lang w:val="en-GB"/>
        </w:rPr>
        <w:t>for FR2</w:t>
      </w:r>
      <w:r w:rsidRPr="006E0081">
        <w:rPr>
          <w:rFonts w:hint="eastAsia"/>
          <w:b/>
          <w:lang w:val="en-GB"/>
        </w:rPr>
        <w:t xml:space="preserve"> IAB should be prioritized.</w:t>
      </w:r>
    </w:p>
    <w:p w:rsidR="000316D6" w:rsidRDefault="000316D6" w:rsidP="000316D6">
      <w:pPr>
        <w:pStyle w:val="Heading1"/>
        <w:rPr>
          <w:rFonts w:cs="Arial"/>
          <w:lang w:eastAsia="zh-CN"/>
        </w:rPr>
      </w:pPr>
      <w:r>
        <w:rPr>
          <w:rFonts w:cs="Arial" w:hint="eastAsia"/>
          <w:lang w:eastAsia="zh-CN"/>
        </w:rPr>
        <w:t>Reference</w:t>
      </w:r>
    </w:p>
    <w:p w:rsidR="000316D6" w:rsidRPr="00CF146A" w:rsidRDefault="000316D6" w:rsidP="000316D6">
      <w:pPr>
        <w:pStyle w:val="ZT"/>
        <w:framePr w:wrap="auto" w:hAnchor="text" w:yAlign="inline"/>
        <w:ind w:right="420"/>
        <w:jc w:val="both"/>
        <w:rPr>
          <w:rFonts w:asciiTheme="minorHAnsi" w:hAnsiTheme="minorHAnsi" w:cstheme="minorBidi"/>
          <w:b w:val="0"/>
          <w:kern w:val="2"/>
          <w:sz w:val="21"/>
          <w:szCs w:val="22"/>
          <w:lang w:val="en-US" w:eastAsia="zh-CN"/>
        </w:rPr>
      </w:pPr>
      <w:r w:rsidRPr="00B933A8">
        <w:rPr>
          <w:rFonts w:asciiTheme="minorHAnsi" w:hAnsiTheme="minorHAnsi" w:cstheme="minorBidi" w:hint="eastAsia"/>
          <w:b w:val="0"/>
          <w:kern w:val="2"/>
          <w:sz w:val="21"/>
          <w:szCs w:val="22"/>
          <w:lang w:val="en-US" w:eastAsia="zh-CN"/>
        </w:rPr>
        <w:t xml:space="preserve">[1] </w:t>
      </w:r>
      <w:r w:rsidR="0041486E">
        <w:rPr>
          <w:rFonts w:asciiTheme="minorHAnsi" w:hAnsiTheme="minorHAnsi" w:cstheme="minorBidi" w:hint="eastAsia"/>
          <w:b w:val="0"/>
          <w:kern w:val="2"/>
          <w:sz w:val="21"/>
          <w:szCs w:val="22"/>
          <w:lang w:val="en-US" w:eastAsia="zh-CN"/>
        </w:rPr>
        <w:t>R4-190</w:t>
      </w:r>
      <w:r w:rsidR="009A215E">
        <w:rPr>
          <w:rFonts w:asciiTheme="minorHAnsi" w:hAnsiTheme="minorHAnsi" w:cstheme="minorBidi" w:hint="eastAsia"/>
          <w:b w:val="0"/>
          <w:kern w:val="2"/>
          <w:sz w:val="21"/>
          <w:szCs w:val="22"/>
          <w:lang w:val="en-US" w:eastAsia="zh-CN"/>
        </w:rPr>
        <w:t>3373</w:t>
      </w:r>
      <w:r w:rsidR="0041486E">
        <w:rPr>
          <w:rFonts w:asciiTheme="minorHAnsi" w:hAnsiTheme="minorHAnsi" w:cstheme="minorBidi" w:hint="eastAsia"/>
          <w:b w:val="0"/>
          <w:kern w:val="2"/>
          <w:sz w:val="21"/>
          <w:szCs w:val="22"/>
          <w:lang w:val="en-US" w:eastAsia="zh-CN"/>
        </w:rPr>
        <w:t>, Overview on IAB</w:t>
      </w:r>
    </w:p>
    <w:p w:rsidR="000316D6" w:rsidRDefault="000316D6" w:rsidP="000316D6">
      <w:pPr>
        <w:pStyle w:val="ZT"/>
        <w:framePr w:wrap="auto" w:hAnchor="text" w:yAlign="inline"/>
        <w:ind w:right="420"/>
        <w:jc w:val="both"/>
        <w:rPr>
          <w:rFonts w:asciiTheme="minorHAnsi" w:hAnsiTheme="minorHAnsi" w:cstheme="minorBidi"/>
          <w:b w:val="0"/>
          <w:kern w:val="2"/>
          <w:sz w:val="21"/>
          <w:szCs w:val="22"/>
          <w:lang w:val="en-US" w:eastAsia="zh-CN"/>
        </w:rPr>
      </w:pPr>
      <w:r w:rsidRPr="00891236">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 xml:space="preserve">2] </w:t>
      </w:r>
      <w:r w:rsidR="00B933A8">
        <w:rPr>
          <w:rFonts w:asciiTheme="minorHAnsi" w:hAnsiTheme="minorHAnsi" w:cstheme="minorBidi" w:hint="eastAsia"/>
          <w:b w:val="0"/>
          <w:kern w:val="2"/>
          <w:sz w:val="21"/>
          <w:szCs w:val="22"/>
          <w:lang w:val="en-US" w:eastAsia="zh-CN"/>
        </w:rPr>
        <w:t xml:space="preserve">RP-190182, </w:t>
      </w:r>
      <w:r w:rsidR="00B933A8" w:rsidRPr="00B933A8">
        <w:rPr>
          <w:rFonts w:asciiTheme="minorHAnsi" w:hAnsiTheme="minorHAnsi" w:cstheme="minorBidi"/>
          <w:b w:val="0"/>
          <w:kern w:val="2"/>
          <w:sz w:val="21"/>
          <w:szCs w:val="22"/>
          <w:lang w:val="en-US" w:eastAsia="zh-CN"/>
        </w:rPr>
        <w:t>Integrated Access and Backhaul for NR</w:t>
      </w:r>
    </w:p>
    <w:p w:rsidR="000316D6" w:rsidRDefault="00B933A8" w:rsidP="000316D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[3] </w:t>
      </w:r>
      <w:r w:rsidR="00C633AC">
        <w:rPr>
          <w:rFonts w:asciiTheme="minorHAnsi" w:hAnsiTheme="minorHAnsi" w:cstheme="minorBidi" w:hint="eastAsia"/>
          <w:b w:val="0"/>
          <w:kern w:val="2"/>
          <w:sz w:val="21"/>
          <w:szCs w:val="22"/>
          <w:lang w:val="en-US" w:eastAsia="zh-CN"/>
        </w:rPr>
        <w:t xml:space="preserve">TR36.826: E-UTRA </w:t>
      </w:r>
      <w:r w:rsidR="00C633AC" w:rsidRPr="00B26351">
        <w:rPr>
          <w:rFonts w:asciiTheme="minorHAnsi" w:hAnsiTheme="minorHAnsi" w:cstheme="minorBidi"/>
          <w:b w:val="0"/>
          <w:kern w:val="2"/>
          <w:sz w:val="21"/>
          <w:szCs w:val="22"/>
          <w:lang w:val="en-US" w:eastAsia="zh-CN"/>
        </w:rPr>
        <w:t>Relay radio transmission and receptio</w:t>
      </w:r>
      <w:r w:rsidR="00C633AC">
        <w:rPr>
          <w:rFonts w:asciiTheme="minorHAnsi" w:hAnsiTheme="minorHAnsi" w:cstheme="minorBidi" w:hint="eastAsia"/>
          <w:b w:val="0"/>
          <w:kern w:val="2"/>
          <w:sz w:val="21"/>
          <w:szCs w:val="22"/>
          <w:lang w:val="en-US" w:eastAsia="zh-CN"/>
        </w:rPr>
        <w:t>n</w:t>
      </w:r>
    </w:p>
    <w:p w:rsidR="00B933A8" w:rsidRPr="00251AA8" w:rsidRDefault="00B933A8" w:rsidP="000316D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[4] </w:t>
      </w:r>
      <w:r w:rsidR="00C633AC">
        <w:rPr>
          <w:rFonts w:asciiTheme="minorHAnsi" w:hAnsiTheme="minorHAnsi" w:cstheme="minorBidi" w:hint="eastAsia"/>
          <w:b w:val="0"/>
          <w:kern w:val="2"/>
          <w:sz w:val="21"/>
          <w:szCs w:val="22"/>
          <w:lang w:val="en-US" w:eastAsia="zh-CN"/>
        </w:rPr>
        <w:t xml:space="preserve">TR38.874: </w:t>
      </w:r>
      <w:r w:rsidR="00C633AC" w:rsidRPr="00B26351">
        <w:rPr>
          <w:rFonts w:asciiTheme="minorHAnsi" w:hAnsiTheme="minorHAnsi" w:cstheme="minorBidi"/>
          <w:b w:val="0"/>
          <w:kern w:val="2"/>
          <w:sz w:val="21"/>
          <w:szCs w:val="22"/>
          <w:lang w:val="en-US" w:eastAsia="zh-CN"/>
        </w:rPr>
        <w:t>Study on Integrated Access and Backhaul</w:t>
      </w:r>
    </w:p>
    <w:p w:rsidR="004914E1" w:rsidRPr="00230B99" w:rsidRDefault="00A13BF1"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[5] </w:t>
      </w:r>
      <w:r w:rsidRPr="00A13BF1">
        <w:rPr>
          <w:rFonts w:asciiTheme="minorHAnsi" w:hAnsiTheme="minorHAnsi" w:cstheme="minorBidi" w:hint="eastAsia"/>
          <w:b w:val="0"/>
          <w:kern w:val="2"/>
          <w:sz w:val="21"/>
          <w:szCs w:val="22"/>
          <w:lang w:val="en-US" w:eastAsia="zh-CN"/>
        </w:rPr>
        <w:t>R4-1709987</w:t>
      </w:r>
      <w:r w:rsidR="00E45039">
        <w:rPr>
          <w:rFonts w:asciiTheme="minorHAnsi" w:hAnsiTheme="minorHAnsi" w:cstheme="minorBidi" w:hint="eastAsia"/>
          <w:b w:val="0"/>
          <w:kern w:val="2"/>
          <w:sz w:val="21"/>
          <w:szCs w:val="22"/>
          <w:lang w:val="en-US" w:eastAsia="zh-CN"/>
        </w:rPr>
        <w:t xml:space="preserve">, </w:t>
      </w:r>
      <w:r w:rsidR="00E45039" w:rsidRPr="00E45039">
        <w:rPr>
          <w:rFonts w:asciiTheme="minorHAnsi" w:hAnsiTheme="minorHAnsi" w:cstheme="minorBidi" w:hint="eastAsia"/>
          <w:b w:val="0"/>
          <w:kern w:val="2"/>
          <w:sz w:val="21"/>
          <w:szCs w:val="22"/>
          <w:lang w:val="en-US" w:eastAsia="zh-CN"/>
        </w:rPr>
        <w:t xml:space="preserve">Simulation assumptions of </w:t>
      </w:r>
      <w:r w:rsidR="00E45039" w:rsidRPr="00E45039">
        <w:rPr>
          <w:rFonts w:asciiTheme="minorHAnsi" w:hAnsiTheme="minorHAnsi" w:cstheme="minorBidi"/>
          <w:b w:val="0"/>
          <w:kern w:val="2"/>
          <w:sz w:val="21"/>
          <w:szCs w:val="22"/>
          <w:lang w:val="en-US" w:eastAsia="zh-CN"/>
        </w:rPr>
        <w:t xml:space="preserve">Co-existence </w:t>
      </w:r>
      <w:r w:rsidR="00E45039" w:rsidRPr="00E45039">
        <w:rPr>
          <w:rFonts w:asciiTheme="minorHAnsi" w:hAnsiTheme="minorHAnsi" w:cstheme="minorBidi" w:hint="eastAsia"/>
          <w:b w:val="0"/>
          <w:kern w:val="2"/>
          <w:sz w:val="21"/>
          <w:szCs w:val="22"/>
          <w:lang w:val="en-US" w:eastAsia="zh-CN"/>
        </w:rPr>
        <w:t xml:space="preserve">study </w:t>
      </w:r>
      <w:r w:rsidR="00E45039" w:rsidRPr="00E45039">
        <w:rPr>
          <w:rFonts w:asciiTheme="minorHAnsi" w:hAnsiTheme="minorHAnsi" w:cstheme="minorBidi"/>
          <w:b w:val="0"/>
          <w:kern w:val="2"/>
          <w:sz w:val="21"/>
          <w:szCs w:val="22"/>
          <w:lang w:val="en-US" w:eastAsia="zh-CN"/>
        </w:rPr>
        <w:t xml:space="preserve">for 55dBm CPE in </w:t>
      </w:r>
      <w:proofErr w:type="spellStart"/>
      <w:r w:rsidR="00E45039" w:rsidRPr="00E45039">
        <w:rPr>
          <w:rFonts w:asciiTheme="minorHAnsi" w:hAnsiTheme="minorHAnsi" w:cstheme="minorBidi"/>
          <w:b w:val="0"/>
          <w:kern w:val="2"/>
          <w:sz w:val="21"/>
          <w:szCs w:val="22"/>
          <w:lang w:val="en-US" w:eastAsia="zh-CN"/>
        </w:rPr>
        <w:t>mmWave</w:t>
      </w:r>
      <w:proofErr w:type="spellEnd"/>
      <w:r w:rsidR="00E45039" w:rsidRPr="00E45039">
        <w:rPr>
          <w:rFonts w:asciiTheme="minorHAnsi" w:hAnsiTheme="minorHAnsi" w:cstheme="minorBidi"/>
          <w:b w:val="0"/>
          <w:kern w:val="2"/>
          <w:sz w:val="21"/>
          <w:szCs w:val="22"/>
          <w:lang w:val="en-US" w:eastAsia="zh-CN"/>
        </w:rPr>
        <w:t xml:space="preserve"> spectrum</w:t>
      </w:r>
    </w:p>
    <w:sectPr w:rsidR="004914E1" w:rsidRPr="00230B99"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084" w:rsidRDefault="00D10084" w:rsidP="00FF76F4">
      <w:r>
        <w:separator/>
      </w:r>
    </w:p>
  </w:endnote>
  <w:endnote w:type="continuationSeparator" w:id="0">
    <w:p w:rsidR="00D10084" w:rsidRDefault="00D10084"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084" w:rsidRDefault="00D10084" w:rsidP="00FF76F4">
      <w:r>
        <w:separator/>
      </w:r>
    </w:p>
  </w:footnote>
  <w:footnote w:type="continuationSeparator" w:id="0">
    <w:p w:rsidR="00D10084" w:rsidRDefault="00D10084"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1">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12">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10"/>
  </w:num>
  <w:num w:numId="3">
    <w:abstractNumId w:val="4"/>
  </w:num>
  <w:num w:numId="4">
    <w:abstractNumId w:val="7"/>
  </w:num>
  <w:num w:numId="5">
    <w:abstractNumId w:val="12"/>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3"/>
  </w:num>
  <w:num w:numId="9">
    <w:abstractNumId w:val="1"/>
  </w:num>
  <w:num w:numId="10">
    <w:abstractNumId w:val="15"/>
  </w:num>
  <w:num w:numId="11">
    <w:abstractNumId w:val="8"/>
  </w:num>
  <w:num w:numId="12">
    <w:abstractNumId w:val="9"/>
  </w:num>
  <w:num w:numId="13">
    <w:abstractNumId w:val="3"/>
  </w:num>
  <w:num w:numId="14">
    <w:abstractNumId w:val="5"/>
  </w:num>
  <w:num w:numId="15">
    <w:abstractNumId w:val="2"/>
  </w:num>
  <w:num w:numId="1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4035"/>
    <w:rsid w:val="00015077"/>
    <w:rsid w:val="00017DE0"/>
    <w:rsid w:val="000213A5"/>
    <w:rsid w:val="000224CD"/>
    <w:rsid w:val="00022887"/>
    <w:rsid w:val="000316D6"/>
    <w:rsid w:val="00031A3E"/>
    <w:rsid w:val="00044194"/>
    <w:rsid w:val="00044671"/>
    <w:rsid w:val="000447E0"/>
    <w:rsid w:val="00045F80"/>
    <w:rsid w:val="0005598F"/>
    <w:rsid w:val="000608D0"/>
    <w:rsid w:val="000637ED"/>
    <w:rsid w:val="0006396D"/>
    <w:rsid w:val="000708E3"/>
    <w:rsid w:val="000718E9"/>
    <w:rsid w:val="000729C9"/>
    <w:rsid w:val="00073211"/>
    <w:rsid w:val="00081033"/>
    <w:rsid w:val="0008319D"/>
    <w:rsid w:val="00086E14"/>
    <w:rsid w:val="000A13E0"/>
    <w:rsid w:val="000A6D1A"/>
    <w:rsid w:val="000B2BC0"/>
    <w:rsid w:val="000C243C"/>
    <w:rsid w:val="000C5302"/>
    <w:rsid w:val="000E254F"/>
    <w:rsid w:val="000E269A"/>
    <w:rsid w:val="000E34BE"/>
    <w:rsid w:val="000E3ED7"/>
    <w:rsid w:val="000E5E68"/>
    <w:rsid w:val="000E6A3A"/>
    <w:rsid w:val="000F0286"/>
    <w:rsid w:val="000F4EB5"/>
    <w:rsid w:val="000F5165"/>
    <w:rsid w:val="00100301"/>
    <w:rsid w:val="00102A9E"/>
    <w:rsid w:val="001074A1"/>
    <w:rsid w:val="001118BE"/>
    <w:rsid w:val="00115241"/>
    <w:rsid w:val="001163EB"/>
    <w:rsid w:val="00121276"/>
    <w:rsid w:val="00131637"/>
    <w:rsid w:val="0013335E"/>
    <w:rsid w:val="00135DC0"/>
    <w:rsid w:val="00135E7C"/>
    <w:rsid w:val="0013726E"/>
    <w:rsid w:val="00143D1D"/>
    <w:rsid w:val="00162691"/>
    <w:rsid w:val="0017034F"/>
    <w:rsid w:val="00170B06"/>
    <w:rsid w:val="00173E9D"/>
    <w:rsid w:val="001754C2"/>
    <w:rsid w:val="0017557C"/>
    <w:rsid w:val="00175ACA"/>
    <w:rsid w:val="00182E67"/>
    <w:rsid w:val="00184E7E"/>
    <w:rsid w:val="001871AA"/>
    <w:rsid w:val="001876C0"/>
    <w:rsid w:val="00190331"/>
    <w:rsid w:val="00192BD8"/>
    <w:rsid w:val="00197EF8"/>
    <w:rsid w:val="001A24EE"/>
    <w:rsid w:val="001A5265"/>
    <w:rsid w:val="001A7ADC"/>
    <w:rsid w:val="001B3133"/>
    <w:rsid w:val="001B55E0"/>
    <w:rsid w:val="001B6ED9"/>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77E9"/>
    <w:rsid w:val="002301BF"/>
    <w:rsid w:val="00230B99"/>
    <w:rsid w:val="00247675"/>
    <w:rsid w:val="00251AA8"/>
    <w:rsid w:val="00252606"/>
    <w:rsid w:val="00257B53"/>
    <w:rsid w:val="00260E9E"/>
    <w:rsid w:val="002611BB"/>
    <w:rsid w:val="00261C0C"/>
    <w:rsid w:val="00262C6C"/>
    <w:rsid w:val="0026676E"/>
    <w:rsid w:val="00267AAF"/>
    <w:rsid w:val="00271B14"/>
    <w:rsid w:val="0027316B"/>
    <w:rsid w:val="00281E20"/>
    <w:rsid w:val="00286C6A"/>
    <w:rsid w:val="00294C44"/>
    <w:rsid w:val="00295175"/>
    <w:rsid w:val="00297965"/>
    <w:rsid w:val="002A5A60"/>
    <w:rsid w:val="002C2435"/>
    <w:rsid w:val="002D33BF"/>
    <w:rsid w:val="002D6806"/>
    <w:rsid w:val="002E0E33"/>
    <w:rsid w:val="002E4E27"/>
    <w:rsid w:val="002F0731"/>
    <w:rsid w:val="002F1435"/>
    <w:rsid w:val="002F4833"/>
    <w:rsid w:val="003029C2"/>
    <w:rsid w:val="00303031"/>
    <w:rsid w:val="00307F2F"/>
    <w:rsid w:val="00312862"/>
    <w:rsid w:val="00313FF8"/>
    <w:rsid w:val="0031560F"/>
    <w:rsid w:val="00315F15"/>
    <w:rsid w:val="003218D7"/>
    <w:rsid w:val="003252C5"/>
    <w:rsid w:val="00330D88"/>
    <w:rsid w:val="00330F3A"/>
    <w:rsid w:val="00333E6B"/>
    <w:rsid w:val="00334231"/>
    <w:rsid w:val="00336F41"/>
    <w:rsid w:val="003471B3"/>
    <w:rsid w:val="00347990"/>
    <w:rsid w:val="00352B38"/>
    <w:rsid w:val="00357940"/>
    <w:rsid w:val="003603A3"/>
    <w:rsid w:val="00360C89"/>
    <w:rsid w:val="00362264"/>
    <w:rsid w:val="003623DE"/>
    <w:rsid w:val="00362F87"/>
    <w:rsid w:val="00365680"/>
    <w:rsid w:val="00373C16"/>
    <w:rsid w:val="003933B7"/>
    <w:rsid w:val="00394462"/>
    <w:rsid w:val="00396A44"/>
    <w:rsid w:val="003A0F8B"/>
    <w:rsid w:val="003A3D0E"/>
    <w:rsid w:val="003A4B6D"/>
    <w:rsid w:val="003A4EAB"/>
    <w:rsid w:val="003B3155"/>
    <w:rsid w:val="003B7398"/>
    <w:rsid w:val="003B7523"/>
    <w:rsid w:val="003C1610"/>
    <w:rsid w:val="003C3FAE"/>
    <w:rsid w:val="003C4BC7"/>
    <w:rsid w:val="003C5997"/>
    <w:rsid w:val="003C5F2E"/>
    <w:rsid w:val="003C7B0C"/>
    <w:rsid w:val="003D3843"/>
    <w:rsid w:val="003D5CA7"/>
    <w:rsid w:val="003E53C0"/>
    <w:rsid w:val="003F6833"/>
    <w:rsid w:val="00402FB6"/>
    <w:rsid w:val="004049D7"/>
    <w:rsid w:val="0041486E"/>
    <w:rsid w:val="004154B5"/>
    <w:rsid w:val="0042000F"/>
    <w:rsid w:val="00420BBA"/>
    <w:rsid w:val="0042257B"/>
    <w:rsid w:val="00427457"/>
    <w:rsid w:val="0042771E"/>
    <w:rsid w:val="00430BBE"/>
    <w:rsid w:val="0044026E"/>
    <w:rsid w:val="00445269"/>
    <w:rsid w:val="00447E1F"/>
    <w:rsid w:val="0045116C"/>
    <w:rsid w:val="00452999"/>
    <w:rsid w:val="00456040"/>
    <w:rsid w:val="00457F78"/>
    <w:rsid w:val="00461C52"/>
    <w:rsid w:val="00463740"/>
    <w:rsid w:val="00464581"/>
    <w:rsid w:val="00471EE8"/>
    <w:rsid w:val="00475927"/>
    <w:rsid w:val="00486410"/>
    <w:rsid w:val="004870CC"/>
    <w:rsid w:val="00490806"/>
    <w:rsid w:val="004914E1"/>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4C5"/>
    <w:rsid w:val="004F0168"/>
    <w:rsid w:val="004F33BC"/>
    <w:rsid w:val="004F385E"/>
    <w:rsid w:val="004F6232"/>
    <w:rsid w:val="004F77CA"/>
    <w:rsid w:val="00503850"/>
    <w:rsid w:val="00505ACA"/>
    <w:rsid w:val="00506DB2"/>
    <w:rsid w:val="0051178B"/>
    <w:rsid w:val="00511D7F"/>
    <w:rsid w:val="005246CB"/>
    <w:rsid w:val="00531509"/>
    <w:rsid w:val="005359F4"/>
    <w:rsid w:val="00535B49"/>
    <w:rsid w:val="00536FFB"/>
    <w:rsid w:val="00537A2F"/>
    <w:rsid w:val="00552DB0"/>
    <w:rsid w:val="005542D3"/>
    <w:rsid w:val="005722AC"/>
    <w:rsid w:val="00577E33"/>
    <w:rsid w:val="00581D9D"/>
    <w:rsid w:val="00582F35"/>
    <w:rsid w:val="00586132"/>
    <w:rsid w:val="00593FEF"/>
    <w:rsid w:val="00594B4A"/>
    <w:rsid w:val="005A09F3"/>
    <w:rsid w:val="005A3410"/>
    <w:rsid w:val="005A770A"/>
    <w:rsid w:val="005B2965"/>
    <w:rsid w:val="005B49A1"/>
    <w:rsid w:val="005C5399"/>
    <w:rsid w:val="005D08C9"/>
    <w:rsid w:val="005D3BC1"/>
    <w:rsid w:val="005E2128"/>
    <w:rsid w:val="005E6211"/>
    <w:rsid w:val="005F3D83"/>
    <w:rsid w:val="00602538"/>
    <w:rsid w:val="0061075C"/>
    <w:rsid w:val="006126A1"/>
    <w:rsid w:val="0061298D"/>
    <w:rsid w:val="00614E6E"/>
    <w:rsid w:val="0061765F"/>
    <w:rsid w:val="00617A8C"/>
    <w:rsid w:val="00620683"/>
    <w:rsid w:val="00625531"/>
    <w:rsid w:val="00633715"/>
    <w:rsid w:val="00641DC3"/>
    <w:rsid w:val="00650803"/>
    <w:rsid w:val="006557EE"/>
    <w:rsid w:val="00655C68"/>
    <w:rsid w:val="00657398"/>
    <w:rsid w:val="00661789"/>
    <w:rsid w:val="00672ACC"/>
    <w:rsid w:val="00683FE1"/>
    <w:rsid w:val="00690C08"/>
    <w:rsid w:val="00691B0B"/>
    <w:rsid w:val="00693E39"/>
    <w:rsid w:val="00694C72"/>
    <w:rsid w:val="006A262E"/>
    <w:rsid w:val="006A3761"/>
    <w:rsid w:val="006A64AE"/>
    <w:rsid w:val="006B0979"/>
    <w:rsid w:val="006B1ECD"/>
    <w:rsid w:val="006B4DDE"/>
    <w:rsid w:val="006C03E8"/>
    <w:rsid w:val="006C0DD2"/>
    <w:rsid w:val="006C4F30"/>
    <w:rsid w:val="006C6C7A"/>
    <w:rsid w:val="006C7868"/>
    <w:rsid w:val="006E0081"/>
    <w:rsid w:val="006F1D96"/>
    <w:rsid w:val="006F2A8B"/>
    <w:rsid w:val="006F7042"/>
    <w:rsid w:val="00700908"/>
    <w:rsid w:val="00702395"/>
    <w:rsid w:val="00705546"/>
    <w:rsid w:val="007122B5"/>
    <w:rsid w:val="0071316C"/>
    <w:rsid w:val="0071351D"/>
    <w:rsid w:val="0072021A"/>
    <w:rsid w:val="0072746D"/>
    <w:rsid w:val="00731137"/>
    <w:rsid w:val="00733B09"/>
    <w:rsid w:val="00737D52"/>
    <w:rsid w:val="00737E37"/>
    <w:rsid w:val="0074702E"/>
    <w:rsid w:val="00753D40"/>
    <w:rsid w:val="00756A98"/>
    <w:rsid w:val="00760666"/>
    <w:rsid w:val="007737DD"/>
    <w:rsid w:val="00776713"/>
    <w:rsid w:val="00776AF8"/>
    <w:rsid w:val="00784737"/>
    <w:rsid w:val="007A15A2"/>
    <w:rsid w:val="007A4E3C"/>
    <w:rsid w:val="007B1FF5"/>
    <w:rsid w:val="007B2E04"/>
    <w:rsid w:val="007B5960"/>
    <w:rsid w:val="007B6C46"/>
    <w:rsid w:val="007C0B88"/>
    <w:rsid w:val="007C4353"/>
    <w:rsid w:val="007C6838"/>
    <w:rsid w:val="007D0AC1"/>
    <w:rsid w:val="007D21B4"/>
    <w:rsid w:val="007D30B5"/>
    <w:rsid w:val="007E3259"/>
    <w:rsid w:val="007E5A88"/>
    <w:rsid w:val="007E5B96"/>
    <w:rsid w:val="007F2337"/>
    <w:rsid w:val="007F313A"/>
    <w:rsid w:val="007F6627"/>
    <w:rsid w:val="00800E96"/>
    <w:rsid w:val="008018A3"/>
    <w:rsid w:val="008137E4"/>
    <w:rsid w:val="0081547C"/>
    <w:rsid w:val="008200CF"/>
    <w:rsid w:val="00831AB1"/>
    <w:rsid w:val="00834611"/>
    <w:rsid w:val="00836FD2"/>
    <w:rsid w:val="008412CA"/>
    <w:rsid w:val="00842028"/>
    <w:rsid w:val="008439C7"/>
    <w:rsid w:val="00845EDE"/>
    <w:rsid w:val="008508C0"/>
    <w:rsid w:val="00851583"/>
    <w:rsid w:val="00852054"/>
    <w:rsid w:val="00853F0A"/>
    <w:rsid w:val="00855466"/>
    <w:rsid w:val="00867017"/>
    <w:rsid w:val="00867372"/>
    <w:rsid w:val="00874064"/>
    <w:rsid w:val="00874312"/>
    <w:rsid w:val="00875009"/>
    <w:rsid w:val="008806B5"/>
    <w:rsid w:val="00891FEB"/>
    <w:rsid w:val="008A07DB"/>
    <w:rsid w:val="008A0CD1"/>
    <w:rsid w:val="008A2078"/>
    <w:rsid w:val="008B06DE"/>
    <w:rsid w:val="008B1AD2"/>
    <w:rsid w:val="008B1FEC"/>
    <w:rsid w:val="008B574D"/>
    <w:rsid w:val="008B5C2D"/>
    <w:rsid w:val="008B5CCF"/>
    <w:rsid w:val="008B7AB0"/>
    <w:rsid w:val="008C3FC6"/>
    <w:rsid w:val="008C63DB"/>
    <w:rsid w:val="008D0B7A"/>
    <w:rsid w:val="008D1031"/>
    <w:rsid w:val="008D3D9C"/>
    <w:rsid w:val="008D6D06"/>
    <w:rsid w:val="008D7A68"/>
    <w:rsid w:val="008E4926"/>
    <w:rsid w:val="008F2591"/>
    <w:rsid w:val="008F4B86"/>
    <w:rsid w:val="008F5965"/>
    <w:rsid w:val="008F72F8"/>
    <w:rsid w:val="008F761B"/>
    <w:rsid w:val="00904BC6"/>
    <w:rsid w:val="00910877"/>
    <w:rsid w:val="00912E5E"/>
    <w:rsid w:val="00922E06"/>
    <w:rsid w:val="00930F45"/>
    <w:rsid w:val="00936118"/>
    <w:rsid w:val="00936592"/>
    <w:rsid w:val="00942C77"/>
    <w:rsid w:val="00943A21"/>
    <w:rsid w:val="0094719C"/>
    <w:rsid w:val="00947C71"/>
    <w:rsid w:val="00951A8E"/>
    <w:rsid w:val="009527D5"/>
    <w:rsid w:val="00953116"/>
    <w:rsid w:val="009611CD"/>
    <w:rsid w:val="00963D5B"/>
    <w:rsid w:val="0096455B"/>
    <w:rsid w:val="00964F6C"/>
    <w:rsid w:val="00972056"/>
    <w:rsid w:val="00972967"/>
    <w:rsid w:val="00973B9C"/>
    <w:rsid w:val="00980ED1"/>
    <w:rsid w:val="00981226"/>
    <w:rsid w:val="0098357D"/>
    <w:rsid w:val="00983B68"/>
    <w:rsid w:val="0098779D"/>
    <w:rsid w:val="00994660"/>
    <w:rsid w:val="009A1FEC"/>
    <w:rsid w:val="009A215E"/>
    <w:rsid w:val="009A5C5C"/>
    <w:rsid w:val="009B343A"/>
    <w:rsid w:val="009B6604"/>
    <w:rsid w:val="009B6C57"/>
    <w:rsid w:val="009B6C6F"/>
    <w:rsid w:val="009B7A45"/>
    <w:rsid w:val="009C1095"/>
    <w:rsid w:val="009C61F9"/>
    <w:rsid w:val="009C7B08"/>
    <w:rsid w:val="009D0AF5"/>
    <w:rsid w:val="009D33E9"/>
    <w:rsid w:val="009D553B"/>
    <w:rsid w:val="009E0C4D"/>
    <w:rsid w:val="009E0E6E"/>
    <w:rsid w:val="009E6443"/>
    <w:rsid w:val="009E75BB"/>
    <w:rsid w:val="009F00BC"/>
    <w:rsid w:val="009F1642"/>
    <w:rsid w:val="009F4BE4"/>
    <w:rsid w:val="00A03A96"/>
    <w:rsid w:val="00A058CB"/>
    <w:rsid w:val="00A11879"/>
    <w:rsid w:val="00A134B1"/>
    <w:rsid w:val="00A13BF1"/>
    <w:rsid w:val="00A14EAE"/>
    <w:rsid w:val="00A15B9B"/>
    <w:rsid w:val="00A21FED"/>
    <w:rsid w:val="00A2408E"/>
    <w:rsid w:val="00A256E7"/>
    <w:rsid w:val="00A26A7B"/>
    <w:rsid w:val="00A50C05"/>
    <w:rsid w:val="00A54283"/>
    <w:rsid w:val="00A6034F"/>
    <w:rsid w:val="00A6184D"/>
    <w:rsid w:val="00A6191E"/>
    <w:rsid w:val="00A660EB"/>
    <w:rsid w:val="00A66FFF"/>
    <w:rsid w:val="00A71D64"/>
    <w:rsid w:val="00A75A40"/>
    <w:rsid w:val="00A8204E"/>
    <w:rsid w:val="00A82EDB"/>
    <w:rsid w:val="00A87E14"/>
    <w:rsid w:val="00A90B54"/>
    <w:rsid w:val="00A91F30"/>
    <w:rsid w:val="00A942F3"/>
    <w:rsid w:val="00A97A65"/>
    <w:rsid w:val="00AA3791"/>
    <w:rsid w:val="00AA4120"/>
    <w:rsid w:val="00AB114E"/>
    <w:rsid w:val="00AB23A3"/>
    <w:rsid w:val="00AB51C4"/>
    <w:rsid w:val="00AC1B3B"/>
    <w:rsid w:val="00AC5F26"/>
    <w:rsid w:val="00AD1745"/>
    <w:rsid w:val="00AD2262"/>
    <w:rsid w:val="00AD2DED"/>
    <w:rsid w:val="00AD4EDA"/>
    <w:rsid w:val="00AD798E"/>
    <w:rsid w:val="00AE0B9A"/>
    <w:rsid w:val="00AE1158"/>
    <w:rsid w:val="00AE2762"/>
    <w:rsid w:val="00AE2E76"/>
    <w:rsid w:val="00AE4B32"/>
    <w:rsid w:val="00AE4EAD"/>
    <w:rsid w:val="00AE5DF0"/>
    <w:rsid w:val="00AE6D64"/>
    <w:rsid w:val="00AF23B3"/>
    <w:rsid w:val="00AF476C"/>
    <w:rsid w:val="00AF70BE"/>
    <w:rsid w:val="00B24791"/>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05F8"/>
    <w:rsid w:val="00B91CDD"/>
    <w:rsid w:val="00B91F60"/>
    <w:rsid w:val="00B933A8"/>
    <w:rsid w:val="00B94130"/>
    <w:rsid w:val="00B95BE9"/>
    <w:rsid w:val="00BA1726"/>
    <w:rsid w:val="00BA46A7"/>
    <w:rsid w:val="00BB325B"/>
    <w:rsid w:val="00BB7649"/>
    <w:rsid w:val="00BB7AC5"/>
    <w:rsid w:val="00BB7FBA"/>
    <w:rsid w:val="00BC248D"/>
    <w:rsid w:val="00BC3552"/>
    <w:rsid w:val="00BC6DF8"/>
    <w:rsid w:val="00BC78F2"/>
    <w:rsid w:val="00BD0106"/>
    <w:rsid w:val="00BE2A39"/>
    <w:rsid w:val="00BE4F17"/>
    <w:rsid w:val="00BE5417"/>
    <w:rsid w:val="00C0177B"/>
    <w:rsid w:val="00C025C1"/>
    <w:rsid w:val="00C04D38"/>
    <w:rsid w:val="00C10BEA"/>
    <w:rsid w:val="00C143D4"/>
    <w:rsid w:val="00C14E08"/>
    <w:rsid w:val="00C210DA"/>
    <w:rsid w:val="00C3115C"/>
    <w:rsid w:val="00C32386"/>
    <w:rsid w:val="00C33332"/>
    <w:rsid w:val="00C4135D"/>
    <w:rsid w:val="00C42B4F"/>
    <w:rsid w:val="00C44DA8"/>
    <w:rsid w:val="00C47ADC"/>
    <w:rsid w:val="00C524E8"/>
    <w:rsid w:val="00C56B4F"/>
    <w:rsid w:val="00C61E34"/>
    <w:rsid w:val="00C633AC"/>
    <w:rsid w:val="00C65AD4"/>
    <w:rsid w:val="00C65C49"/>
    <w:rsid w:val="00C7085D"/>
    <w:rsid w:val="00C73542"/>
    <w:rsid w:val="00C80873"/>
    <w:rsid w:val="00C82508"/>
    <w:rsid w:val="00C82F63"/>
    <w:rsid w:val="00C863E2"/>
    <w:rsid w:val="00C90159"/>
    <w:rsid w:val="00C908A7"/>
    <w:rsid w:val="00CA3854"/>
    <w:rsid w:val="00CA77A1"/>
    <w:rsid w:val="00CB0BD7"/>
    <w:rsid w:val="00CB1ED4"/>
    <w:rsid w:val="00CB4C0B"/>
    <w:rsid w:val="00CC1786"/>
    <w:rsid w:val="00CC5B2A"/>
    <w:rsid w:val="00CC6475"/>
    <w:rsid w:val="00CD06BB"/>
    <w:rsid w:val="00CD2AB3"/>
    <w:rsid w:val="00CD2D7F"/>
    <w:rsid w:val="00CD4334"/>
    <w:rsid w:val="00CD7C43"/>
    <w:rsid w:val="00CE3F48"/>
    <w:rsid w:val="00CE6FB4"/>
    <w:rsid w:val="00CF146A"/>
    <w:rsid w:val="00CF2EBF"/>
    <w:rsid w:val="00CF3015"/>
    <w:rsid w:val="00CF7E1F"/>
    <w:rsid w:val="00D03468"/>
    <w:rsid w:val="00D03703"/>
    <w:rsid w:val="00D10084"/>
    <w:rsid w:val="00D13F1B"/>
    <w:rsid w:val="00D22054"/>
    <w:rsid w:val="00D22304"/>
    <w:rsid w:val="00D23654"/>
    <w:rsid w:val="00D264C9"/>
    <w:rsid w:val="00D30BB9"/>
    <w:rsid w:val="00D31285"/>
    <w:rsid w:val="00D32E23"/>
    <w:rsid w:val="00D35E3B"/>
    <w:rsid w:val="00D45E04"/>
    <w:rsid w:val="00D50534"/>
    <w:rsid w:val="00D5226F"/>
    <w:rsid w:val="00D5532C"/>
    <w:rsid w:val="00D579B5"/>
    <w:rsid w:val="00D61E20"/>
    <w:rsid w:val="00D62935"/>
    <w:rsid w:val="00D71CCC"/>
    <w:rsid w:val="00D71F89"/>
    <w:rsid w:val="00D72C28"/>
    <w:rsid w:val="00D73AA3"/>
    <w:rsid w:val="00D8198F"/>
    <w:rsid w:val="00D81E3A"/>
    <w:rsid w:val="00D862CE"/>
    <w:rsid w:val="00D86726"/>
    <w:rsid w:val="00DA0177"/>
    <w:rsid w:val="00DA02C0"/>
    <w:rsid w:val="00DB0087"/>
    <w:rsid w:val="00DB0397"/>
    <w:rsid w:val="00DB39FE"/>
    <w:rsid w:val="00DC2482"/>
    <w:rsid w:val="00DC5BDF"/>
    <w:rsid w:val="00DC723A"/>
    <w:rsid w:val="00DD146E"/>
    <w:rsid w:val="00DD1B74"/>
    <w:rsid w:val="00DD1C68"/>
    <w:rsid w:val="00DD2410"/>
    <w:rsid w:val="00DD3229"/>
    <w:rsid w:val="00DD5B6B"/>
    <w:rsid w:val="00DE42FB"/>
    <w:rsid w:val="00DE5895"/>
    <w:rsid w:val="00DE6934"/>
    <w:rsid w:val="00DF01B2"/>
    <w:rsid w:val="00DF0285"/>
    <w:rsid w:val="00DF130F"/>
    <w:rsid w:val="00DF4456"/>
    <w:rsid w:val="00E0185E"/>
    <w:rsid w:val="00E0252E"/>
    <w:rsid w:val="00E0745A"/>
    <w:rsid w:val="00E10AEF"/>
    <w:rsid w:val="00E10E03"/>
    <w:rsid w:val="00E12D07"/>
    <w:rsid w:val="00E14F20"/>
    <w:rsid w:val="00E214DE"/>
    <w:rsid w:val="00E2164B"/>
    <w:rsid w:val="00E257D2"/>
    <w:rsid w:val="00E26567"/>
    <w:rsid w:val="00E27507"/>
    <w:rsid w:val="00E306AD"/>
    <w:rsid w:val="00E3475A"/>
    <w:rsid w:val="00E36FCE"/>
    <w:rsid w:val="00E45039"/>
    <w:rsid w:val="00E55E87"/>
    <w:rsid w:val="00E57036"/>
    <w:rsid w:val="00E67657"/>
    <w:rsid w:val="00E7101D"/>
    <w:rsid w:val="00E71E6F"/>
    <w:rsid w:val="00E75A88"/>
    <w:rsid w:val="00E805E8"/>
    <w:rsid w:val="00E80666"/>
    <w:rsid w:val="00E8159E"/>
    <w:rsid w:val="00E8700C"/>
    <w:rsid w:val="00E91344"/>
    <w:rsid w:val="00E9380E"/>
    <w:rsid w:val="00EA34E5"/>
    <w:rsid w:val="00EA5770"/>
    <w:rsid w:val="00EA6377"/>
    <w:rsid w:val="00EB195F"/>
    <w:rsid w:val="00EB2368"/>
    <w:rsid w:val="00EC0AA6"/>
    <w:rsid w:val="00EC122F"/>
    <w:rsid w:val="00EC24AE"/>
    <w:rsid w:val="00ED0977"/>
    <w:rsid w:val="00ED16C6"/>
    <w:rsid w:val="00ED4907"/>
    <w:rsid w:val="00EE03AE"/>
    <w:rsid w:val="00EE06EC"/>
    <w:rsid w:val="00EE3D1A"/>
    <w:rsid w:val="00EF1343"/>
    <w:rsid w:val="00EF4439"/>
    <w:rsid w:val="00F008EF"/>
    <w:rsid w:val="00F02DC4"/>
    <w:rsid w:val="00F048FF"/>
    <w:rsid w:val="00F14735"/>
    <w:rsid w:val="00F15731"/>
    <w:rsid w:val="00F26C2D"/>
    <w:rsid w:val="00F311CC"/>
    <w:rsid w:val="00F32055"/>
    <w:rsid w:val="00F33EAC"/>
    <w:rsid w:val="00F374FD"/>
    <w:rsid w:val="00F435E2"/>
    <w:rsid w:val="00F44A88"/>
    <w:rsid w:val="00F46DC0"/>
    <w:rsid w:val="00F52891"/>
    <w:rsid w:val="00F52F3B"/>
    <w:rsid w:val="00F54D03"/>
    <w:rsid w:val="00F55C7F"/>
    <w:rsid w:val="00F56353"/>
    <w:rsid w:val="00F625E2"/>
    <w:rsid w:val="00F62AEC"/>
    <w:rsid w:val="00F64028"/>
    <w:rsid w:val="00F64543"/>
    <w:rsid w:val="00F66A7F"/>
    <w:rsid w:val="00F66B70"/>
    <w:rsid w:val="00F67B14"/>
    <w:rsid w:val="00F74756"/>
    <w:rsid w:val="00F7485F"/>
    <w:rsid w:val="00F761D2"/>
    <w:rsid w:val="00F7681A"/>
    <w:rsid w:val="00F8624F"/>
    <w:rsid w:val="00F94980"/>
    <w:rsid w:val="00F953F2"/>
    <w:rsid w:val="00F969A3"/>
    <w:rsid w:val="00F97CAD"/>
    <w:rsid w:val="00F97D27"/>
    <w:rsid w:val="00FA098F"/>
    <w:rsid w:val="00FA2623"/>
    <w:rsid w:val="00FA6681"/>
    <w:rsid w:val="00FA790B"/>
    <w:rsid w:val="00FB05F7"/>
    <w:rsid w:val="00FB06CE"/>
    <w:rsid w:val="00FB1755"/>
    <w:rsid w:val="00FB1F84"/>
    <w:rsid w:val="00FB2B6A"/>
    <w:rsid w:val="00FB2E42"/>
    <w:rsid w:val="00FB306B"/>
    <w:rsid w:val="00FB3C20"/>
    <w:rsid w:val="00FC5C68"/>
    <w:rsid w:val="00FC7C34"/>
    <w:rsid w:val="00FD0D77"/>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AL">
    <w:name w:val="TAL"/>
    <w:basedOn w:val="Normal"/>
    <w:link w:val="TALCar"/>
    <w:rsid w:val="00C908A7"/>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rsid w:val="00C908A7"/>
    <w:rPr>
      <w:rFonts w:ascii="Arial" w:eastAsia="Times New Roman" w:hAnsi="Arial" w:cs="Times New Roman"/>
      <w:kern w:val="0"/>
      <w:sz w:val="18"/>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AL">
    <w:name w:val="TAL"/>
    <w:basedOn w:val="Normal"/>
    <w:link w:val="TALCar"/>
    <w:rsid w:val="00C908A7"/>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rsid w:val="00C908A7"/>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B2832-3AF1-44B9-BF1D-841C516A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20</cp:revision>
  <cp:lastPrinted>2019-03-25T03:05:00Z</cp:lastPrinted>
  <dcterms:created xsi:type="dcterms:W3CDTF">2019-03-31T10:12:00Z</dcterms:created>
  <dcterms:modified xsi:type="dcterms:W3CDTF">2019-04-01T10:40:00Z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