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70A9" w:rsidRPr="00BE64AE" w:rsidRDefault="00A670A9" w:rsidP="00BE64AE">
      <w:pPr>
        <w:tabs>
          <w:tab w:val="right" w:pos="9216"/>
        </w:tabs>
        <w:spacing w:after="0"/>
        <w:jc w:val="left"/>
        <w:rPr>
          <w:b/>
        </w:rPr>
      </w:pPr>
      <w:r w:rsidRPr="00BE64AE">
        <w:rPr>
          <w:b/>
        </w:rPr>
        <w:t>3GPP TSG RAN WG4 Meeting #90Bis</w:t>
      </w:r>
      <w:r w:rsidRPr="00BE64AE">
        <w:rPr>
          <w:b/>
        </w:rPr>
        <w:tab/>
      </w:r>
      <w:r w:rsidR="00E454B0" w:rsidRPr="00E454B0">
        <w:rPr>
          <w:b/>
        </w:rPr>
        <w:t>R4-1904190</w:t>
      </w:r>
    </w:p>
    <w:p w:rsidR="00A670A9" w:rsidRPr="00BE64AE" w:rsidRDefault="00A670A9" w:rsidP="00BE64AE">
      <w:pPr>
        <w:jc w:val="left"/>
        <w:rPr>
          <w:b/>
        </w:rPr>
      </w:pPr>
      <w:r w:rsidRPr="00BE64AE">
        <w:rPr>
          <w:b/>
        </w:rPr>
        <w:t>Xi</w:t>
      </w:r>
      <w:r w:rsidR="00E454B0">
        <w:rPr>
          <w:b/>
        </w:rPr>
        <w:t>’</w:t>
      </w:r>
      <w:bookmarkStart w:id="0" w:name="_GoBack"/>
      <w:bookmarkEnd w:id="0"/>
      <w:r w:rsidRPr="00BE64AE">
        <w:rPr>
          <w:b/>
        </w:rPr>
        <w:t>an, China, April 8 –</w:t>
      </w:r>
      <w:r w:rsidR="00BE64AE">
        <w:rPr>
          <w:b/>
        </w:rPr>
        <w:t xml:space="preserve"> </w:t>
      </w:r>
      <w:r w:rsidRPr="00BE64AE">
        <w:rPr>
          <w:b/>
        </w:rPr>
        <w:t>12, 2019</w:t>
      </w:r>
    </w:p>
    <w:p w:rsidR="00A670A9" w:rsidRPr="00BE64AE" w:rsidRDefault="00A670A9" w:rsidP="00BE64AE">
      <w:pPr>
        <w:pBdr>
          <w:top w:val="single" w:sz="4" w:space="1" w:color="auto"/>
        </w:pBdr>
        <w:spacing w:after="0"/>
        <w:jc w:val="left"/>
        <w:rPr>
          <w:b/>
          <w:sz w:val="16"/>
        </w:rPr>
      </w:pPr>
    </w:p>
    <w:p w:rsidR="00A670A9" w:rsidRPr="00BE64AE" w:rsidRDefault="00A670A9" w:rsidP="00BE64AE">
      <w:pPr>
        <w:spacing w:after="60"/>
        <w:ind w:left="1555" w:hanging="1555"/>
        <w:jc w:val="left"/>
        <w:rPr>
          <w:b/>
        </w:rPr>
      </w:pPr>
      <w:r w:rsidRPr="00BE64AE">
        <w:rPr>
          <w:b/>
        </w:rPr>
        <w:t>Agenda Item:</w:t>
      </w:r>
      <w:r w:rsidRPr="00BE64AE">
        <w:rPr>
          <w:b/>
        </w:rPr>
        <w:tab/>
      </w:r>
      <w:r w:rsidR="007C260F">
        <w:rPr>
          <w:b/>
        </w:rPr>
        <w:t>8.4.1</w:t>
      </w:r>
    </w:p>
    <w:p w:rsidR="00A670A9" w:rsidRPr="00BE64AE" w:rsidRDefault="00A670A9" w:rsidP="00BE64AE">
      <w:pPr>
        <w:spacing w:after="60"/>
        <w:ind w:left="1555" w:hanging="1555"/>
        <w:jc w:val="left"/>
        <w:rPr>
          <w:b/>
        </w:rPr>
      </w:pPr>
      <w:r w:rsidRPr="00BE64AE">
        <w:rPr>
          <w:b/>
        </w:rPr>
        <w:t>Source:</w:t>
      </w:r>
      <w:r w:rsidRPr="00BE64AE">
        <w:rPr>
          <w:b/>
        </w:rPr>
        <w:tab/>
        <w:t>Huawei, HiSilicon</w:t>
      </w:r>
    </w:p>
    <w:p w:rsidR="00A670A9" w:rsidRPr="00BE64AE" w:rsidRDefault="00A670A9" w:rsidP="00BE64AE">
      <w:pPr>
        <w:spacing w:after="60"/>
        <w:ind w:left="1555" w:hanging="1555"/>
        <w:jc w:val="left"/>
        <w:rPr>
          <w:b/>
        </w:rPr>
      </w:pPr>
      <w:r w:rsidRPr="00BE64AE">
        <w:rPr>
          <w:b/>
        </w:rPr>
        <w:t>Title:</w:t>
      </w:r>
      <w:r w:rsidRPr="00BE64AE">
        <w:rPr>
          <w:b/>
        </w:rPr>
        <w:tab/>
      </w:r>
      <w:r w:rsidR="007C260F">
        <w:rPr>
          <w:b/>
        </w:rPr>
        <w:t>AGC settling time analysis</w:t>
      </w:r>
    </w:p>
    <w:p w:rsidR="00A670A9" w:rsidRPr="00BE64AE" w:rsidRDefault="00A670A9" w:rsidP="00BE64AE">
      <w:pPr>
        <w:spacing w:after="60"/>
        <w:ind w:left="1555" w:hanging="1555"/>
        <w:jc w:val="left"/>
        <w:rPr>
          <w:b/>
        </w:rPr>
      </w:pPr>
      <w:r w:rsidRPr="00BE64AE">
        <w:rPr>
          <w:b/>
        </w:rPr>
        <w:t>Document for:</w:t>
      </w:r>
      <w:r w:rsidRPr="00BE64AE">
        <w:rPr>
          <w:b/>
        </w:rPr>
        <w:tab/>
        <w:t>Approval</w:t>
      </w:r>
    </w:p>
    <w:p w:rsidR="00A670A9" w:rsidRPr="00BE64AE" w:rsidRDefault="00A670A9" w:rsidP="00BE64AE">
      <w:pPr>
        <w:pBdr>
          <w:bottom w:val="single" w:sz="4" w:space="1" w:color="auto"/>
        </w:pBdr>
        <w:spacing w:after="0"/>
        <w:jc w:val="left"/>
        <w:rPr>
          <w:b/>
          <w:sz w:val="16"/>
        </w:rPr>
      </w:pPr>
    </w:p>
    <w:p w:rsidR="00A670A9" w:rsidRPr="009B7A86" w:rsidRDefault="00A670A9" w:rsidP="00A670A9"/>
    <w:p w:rsidR="00BD44F8" w:rsidRPr="009B7A86" w:rsidRDefault="00B56A66" w:rsidP="00B56A66">
      <w:pPr>
        <w:pStyle w:val="Heading1"/>
      </w:pPr>
      <w:r w:rsidRPr="009B7A86">
        <w:t>Introduction</w:t>
      </w:r>
    </w:p>
    <w:p w:rsidR="00BE64AE" w:rsidRPr="00DE1AA1" w:rsidRDefault="00BE64AE" w:rsidP="00BE64AE">
      <w:r w:rsidRPr="00DE1AA1">
        <w:t xml:space="preserve">During the </w:t>
      </w:r>
      <w:r w:rsidR="00A872A3" w:rsidRPr="00DE1AA1">
        <w:t xml:space="preserve">RAN4#90 </w:t>
      </w:r>
      <w:r w:rsidRPr="00DE1AA1">
        <w:t>meeting, discussions about AGC settling time focused on simulation conditions. After examining the technical reports</w:t>
      </w:r>
      <w:r w:rsidR="00A872A3" w:rsidRPr="00DE1AA1">
        <w:t xml:space="preserve"> </w:t>
      </w:r>
      <w:r w:rsidR="00DE1AA1">
        <w:fldChar w:fldCharType="begin"/>
      </w:r>
      <w:r w:rsidR="00DE1AA1">
        <w:instrText xml:space="preserve"> REF _Ref4061916 \r \h </w:instrText>
      </w:r>
      <w:r w:rsidR="00DE1AA1">
        <w:fldChar w:fldCharType="separate"/>
      </w:r>
      <w:r w:rsidR="00DE1AA1">
        <w:t>[2]</w:t>
      </w:r>
      <w:r w:rsidR="00DE1AA1">
        <w:fldChar w:fldCharType="end"/>
      </w:r>
      <w:r w:rsidR="00DE1AA1">
        <w:t xml:space="preserve"> </w:t>
      </w:r>
      <w:r w:rsidR="00DE1AA1">
        <w:fldChar w:fldCharType="begin"/>
      </w:r>
      <w:r w:rsidR="00DE1AA1">
        <w:instrText xml:space="preserve"> REF _Ref4486133 \r \h </w:instrText>
      </w:r>
      <w:r w:rsidR="00DE1AA1">
        <w:fldChar w:fldCharType="separate"/>
      </w:r>
      <w:r w:rsidR="00DE1AA1">
        <w:t>[4]</w:t>
      </w:r>
      <w:r w:rsidR="00DE1AA1">
        <w:fldChar w:fldCharType="end"/>
      </w:r>
      <w:r w:rsidRPr="00DE1AA1">
        <w:t xml:space="preserve">, </w:t>
      </w:r>
      <w:r w:rsidR="00DE1AA1">
        <w:t xml:space="preserve">some estimates for possible values are provided as well as </w:t>
      </w:r>
      <w:r w:rsidRPr="00DE1AA1">
        <w:t xml:space="preserve">what </w:t>
      </w:r>
      <w:r w:rsidR="00DE1AA1">
        <w:t>conditions to examine</w:t>
      </w:r>
      <w:r w:rsidRPr="00DE1AA1">
        <w:t xml:space="preserve">. </w:t>
      </w:r>
    </w:p>
    <w:p w:rsidR="004E7999" w:rsidRPr="009B7A86" w:rsidRDefault="008B1CB2" w:rsidP="00B56A66">
      <w:pPr>
        <w:pStyle w:val="Heading1"/>
      </w:pPr>
      <w:r w:rsidRPr="009B7A86">
        <w:t>Background</w:t>
      </w:r>
    </w:p>
    <w:p w:rsidR="00EE7989" w:rsidRPr="009B7A86" w:rsidRDefault="00EE7989" w:rsidP="00EE7989">
      <w:pPr>
        <w:pStyle w:val="Heading2"/>
      </w:pPr>
      <w:r w:rsidRPr="009B7A86">
        <w:t>Study item</w:t>
      </w:r>
    </w:p>
    <w:p w:rsidR="00EE7989" w:rsidRDefault="00EE7989" w:rsidP="00EE7989">
      <w:r>
        <w:t xml:space="preserve">With the completion of the NR V2X study item, the TR </w:t>
      </w:r>
      <w:r>
        <w:fldChar w:fldCharType="begin"/>
      </w:r>
      <w:r>
        <w:instrText xml:space="preserve"> REF _Ref4061916 \r \h </w:instrText>
      </w:r>
      <w:r>
        <w:fldChar w:fldCharType="separate"/>
      </w:r>
      <w:r w:rsidR="00B70999">
        <w:t>[2]</w:t>
      </w:r>
      <w:r>
        <w:fldChar w:fldCharType="end"/>
      </w:r>
      <w:r>
        <w:t xml:space="preserve"> provides additional guidelines in the design of the sidelink which may impact AGC considerations.</w:t>
      </w:r>
    </w:p>
    <w:p w:rsidR="00EE7989" w:rsidRDefault="00EE7989" w:rsidP="00EE7989">
      <w:pPr>
        <w:numPr>
          <w:ilvl w:val="0"/>
          <w:numId w:val="3"/>
        </w:numPr>
      </w:pPr>
      <w:r>
        <w:t>For SCS spacing:</w:t>
      </w:r>
    </w:p>
    <w:p w:rsidR="00EE7989" w:rsidRDefault="00EE7989" w:rsidP="00EE7989">
      <w:pPr>
        <w:numPr>
          <w:ilvl w:val="1"/>
          <w:numId w:val="3"/>
        </w:numPr>
      </w:pPr>
      <w:r>
        <w:t xml:space="preserve">(FR1) </w:t>
      </w:r>
      <w:r w:rsidRPr="009B7A86">
        <w:t>15 kHz, 30 kHz and 60 kHz are supported with normal CP, and 60 kHz SCS with extended CP</w:t>
      </w:r>
    </w:p>
    <w:p w:rsidR="00EE7989" w:rsidRDefault="00EE7989" w:rsidP="00EE7989">
      <w:pPr>
        <w:numPr>
          <w:ilvl w:val="1"/>
          <w:numId w:val="3"/>
        </w:numPr>
      </w:pPr>
      <w:r>
        <w:t xml:space="preserve">(FR2) </w:t>
      </w:r>
      <w:r w:rsidRPr="009B7A86">
        <w:t>60 kHz and 120 kHz SCS are supported with normal CP, and 60 kHz SCS with extended CP</w:t>
      </w:r>
    </w:p>
    <w:p w:rsidR="00EE7989" w:rsidRDefault="00EE7989" w:rsidP="00EE7989">
      <w:pPr>
        <w:numPr>
          <w:ilvl w:val="0"/>
          <w:numId w:val="3"/>
        </w:numPr>
      </w:pPr>
      <w:r>
        <w:t xml:space="preserve">Possibility of </w:t>
      </w:r>
      <w:r w:rsidRPr="009B7A86">
        <w:t>AGC training signal</w:t>
      </w:r>
    </w:p>
    <w:p w:rsidR="00EE7989" w:rsidRDefault="00EE7989" w:rsidP="00EE7989">
      <w:pPr>
        <w:numPr>
          <w:ilvl w:val="0"/>
          <w:numId w:val="3"/>
        </w:numPr>
      </w:pPr>
      <w:r w:rsidRPr="009B7A86">
        <w:t>Open-loop power control procedures</w:t>
      </w:r>
    </w:p>
    <w:p w:rsidR="00EE7989" w:rsidRPr="009B7A86" w:rsidRDefault="00EE7989" w:rsidP="00EE7989">
      <w:r>
        <w:t xml:space="preserve">In addition, the simulations studies parameters such as an AGC settling time of 1 symbol for FR1 and FR2 (table A.2-1 in </w:t>
      </w:r>
      <w:r>
        <w:fldChar w:fldCharType="begin"/>
      </w:r>
      <w:r>
        <w:instrText xml:space="preserve"> REF _Ref4061916 \r \h </w:instrText>
      </w:r>
      <w:r>
        <w:fldChar w:fldCharType="separate"/>
      </w:r>
      <w:r w:rsidR="00B70999">
        <w:t>[2]</w:t>
      </w:r>
      <w:r>
        <w:fldChar w:fldCharType="end"/>
      </w:r>
      <w:r>
        <w:t>).</w:t>
      </w:r>
    </w:p>
    <w:p w:rsidR="00EE7989" w:rsidRPr="009B7A86" w:rsidRDefault="00EE7989" w:rsidP="00EE7989">
      <w:pPr>
        <w:pStyle w:val="Heading2"/>
      </w:pPr>
      <w:r w:rsidRPr="009B7A86">
        <w:t>Way forward</w:t>
      </w:r>
      <w:r>
        <w:t xml:space="preserve"> discussion</w:t>
      </w:r>
    </w:p>
    <w:p w:rsidR="00EE7989" w:rsidRDefault="00EE7989" w:rsidP="00EE7989">
      <w:r w:rsidRPr="009B7A86">
        <w:t xml:space="preserve">In </w:t>
      </w:r>
      <w:r>
        <w:fldChar w:fldCharType="begin"/>
      </w:r>
      <w:r>
        <w:instrText xml:space="preserve"> REF _Ref4136200 \r \h </w:instrText>
      </w:r>
      <w:r>
        <w:fldChar w:fldCharType="separate"/>
      </w:r>
      <w:r w:rsidR="00B70999">
        <w:t>[1]</w:t>
      </w:r>
      <w:r>
        <w:fldChar w:fldCharType="end"/>
      </w:r>
      <w:r>
        <w:t>, the WF describes the factors for the AGC settling time:</w:t>
      </w:r>
    </w:p>
    <w:p w:rsidR="00EE7989" w:rsidRPr="00F87F14" w:rsidRDefault="00EE7989" w:rsidP="00EE7989">
      <w:pPr>
        <w:numPr>
          <w:ilvl w:val="0"/>
          <w:numId w:val="4"/>
        </w:numPr>
        <w:rPr>
          <w:i/>
          <w:sz w:val="20"/>
        </w:rPr>
      </w:pPr>
      <w:r w:rsidRPr="00F87F14">
        <w:rPr>
          <w:i/>
          <w:sz w:val="20"/>
        </w:rPr>
        <w:t>AGC settling time includes the following components (AGC setting time =a+b+c+d)</w:t>
      </w:r>
    </w:p>
    <w:p w:rsidR="00EE7989" w:rsidRPr="00F87F14" w:rsidRDefault="00EE7989" w:rsidP="00EE7989">
      <w:pPr>
        <w:numPr>
          <w:ilvl w:val="1"/>
          <w:numId w:val="4"/>
        </w:numPr>
        <w:rPr>
          <w:i/>
          <w:sz w:val="20"/>
        </w:rPr>
      </w:pPr>
      <w:r w:rsidRPr="00F87F14">
        <w:rPr>
          <w:i/>
          <w:sz w:val="20"/>
          <w:lang w:val="en-GB"/>
        </w:rPr>
        <w:t xml:space="preserve">(a) time offset from the start of the OFDM symbol to account for maximum signal propagation delay from different UEs </w:t>
      </w:r>
    </w:p>
    <w:p w:rsidR="00EE7989" w:rsidRPr="00F87F14" w:rsidRDefault="00EE7989" w:rsidP="00EE7989">
      <w:pPr>
        <w:numPr>
          <w:ilvl w:val="1"/>
          <w:numId w:val="4"/>
        </w:numPr>
        <w:rPr>
          <w:i/>
          <w:sz w:val="20"/>
        </w:rPr>
      </w:pPr>
      <w:r w:rsidRPr="00F87F14">
        <w:rPr>
          <w:i/>
          <w:sz w:val="20"/>
          <w:lang w:val="en-GB"/>
        </w:rPr>
        <w:t>(b) time to receive the window of samples used for estimating the gain/power</w:t>
      </w:r>
    </w:p>
    <w:p w:rsidR="00EE7989" w:rsidRPr="00F87F14" w:rsidRDefault="00EE7989" w:rsidP="00EE7989">
      <w:pPr>
        <w:numPr>
          <w:ilvl w:val="1"/>
          <w:numId w:val="4"/>
        </w:numPr>
        <w:rPr>
          <w:i/>
          <w:sz w:val="20"/>
        </w:rPr>
      </w:pPr>
      <w:r w:rsidRPr="00F87F14">
        <w:rPr>
          <w:i/>
          <w:sz w:val="20"/>
          <w:lang w:val="en-GB"/>
        </w:rPr>
        <w:t xml:space="preserve">(c) time for estimating and programming the desired gain setting </w:t>
      </w:r>
    </w:p>
    <w:p w:rsidR="00EE7989" w:rsidRPr="00F87F14" w:rsidRDefault="00EE7989" w:rsidP="00EE7989">
      <w:pPr>
        <w:numPr>
          <w:ilvl w:val="1"/>
          <w:numId w:val="4"/>
        </w:numPr>
        <w:rPr>
          <w:i/>
          <w:sz w:val="20"/>
        </w:rPr>
      </w:pPr>
      <w:r w:rsidRPr="00F87F14">
        <w:rPr>
          <w:i/>
          <w:sz w:val="20"/>
          <w:lang w:val="en-GB"/>
        </w:rPr>
        <w:t xml:space="preserve">(d) time for the gain setting taking into effect </w:t>
      </w:r>
    </w:p>
    <w:p w:rsidR="00EE7989" w:rsidRPr="00F87F14" w:rsidRDefault="00EE7989" w:rsidP="00EE7989">
      <w:r>
        <w:t>Some issues to be discussed are</w:t>
      </w:r>
    </w:p>
    <w:p w:rsidR="00EE7989" w:rsidRPr="00EE7989" w:rsidRDefault="00EE7989" w:rsidP="00EE7989">
      <w:pPr>
        <w:numPr>
          <w:ilvl w:val="0"/>
          <w:numId w:val="4"/>
        </w:numPr>
        <w:rPr>
          <w:i/>
          <w:sz w:val="20"/>
        </w:rPr>
      </w:pPr>
      <w:r w:rsidRPr="00EE7989">
        <w:rPr>
          <w:i/>
          <w:sz w:val="20"/>
        </w:rPr>
        <w:t>FFS for AGC settling time considering the different waveform design for AGC symbols in RAN1</w:t>
      </w:r>
    </w:p>
    <w:p w:rsidR="00EE7989" w:rsidRPr="00EE7989" w:rsidRDefault="00EE7989" w:rsidP="00EE7989">
      <w:pPr>
        <w:numPr>
          <w:ilvl w:val="1"/>
          <w:numId w:val="4"/>
        </w:numPr>
        <w:rPr>
          <w:i/>
          <w:sz w:val="20"/>
        </w:rPr>
      </w:pPr>
      <w:r w:rsidRPr="00EE7989">
        <w:rPr>
          <w:i/>
          <w:sz w:val="20"/>
        </w:rPr>
        <w:t>At least, CP-OFDM will be considered</w:t>
      </w:r>
    </w:p>
    <w:p w:rsidR="00EE7989" w:rsidRPr="00EE7989" w:rsidRDefault="00EE7989" w:rsidP="00EE7989">
      <w:pPr>
        <w:numPr>
          <w:ilvl w:val="0"/>
          <w:numId w:val="4"/>
        </w:numPr>
        <w:rPr>
          <w:i/>
          <w:sz w:val="20"/>
        </w:rPr>
      </w:pPr>
      <w:r w:rsidRPr="00EE7989">
        <w:rPr>
          <w:i/>
          <w:sz w:val="20"/>
        </w:rPr>
        <w:t xml:space="preserve">FFS if same or different AGC settling time shall be applied for different SCS </w:t>
      </w:r>
    </w:p>
    <w:p w:rsidR="00EE7989" w:rsidRPr="00EE7989" w:rsidRDefault="00EE7989" w:rsidP="00EE7989">
      <w:pPr>
        <w:numPr>
          <w:ilvl w:val="0"/>
          <w:numId w:val="4"/>
        </w:numPr>
        <w:rPr>
          <w:i/>
          <w:sz w:val="20"/>
        </w:rPr>
      </w:pPr>
      <w:r w:rsidRPr="00EE7989">
        <w:rPr>
          <w:i/>
          <w:sz w:val="20"/>
        </w:rPr>
        <w:t xml:space="preserve">AGC settling time will be derived under assumption of below two options of RBs size restrictions: </w:t>
      </w:r>
    </w:p>
    <w:p w:rsidR="00EE7989" w:rsidRPr="00EE7989" w:rsidRDefault="00EE7989" w:rsidP="00EE7989">
      <w:pPr>
        <w:numPr>
          <w:ilvl w:val="1"/>
          <w:numId w:val="4"/>
        </w:numPr>
        <w:rPr>
          <w:i/>
          <w:sz w:val="20"/>
        </w:rPr>
      </w:pPr>
      <w:r w:rsidRPr="00EE7989">
        <w:rPr>
          <w:i/>
          <w:sz w:val="20"/>
        </w:rPr>
        <w:lastRenderedPageBreak/>
        <w:t>Option</w:t>
      </w:r>
      <w:r w:rsidR="00940171">
        <w:rPr>
          <w:i/>
          <w:sz w:val="20"/>
        </w:rPr>
        <w:t xml:space="preserve"> </w:t>
      </w:r>
      <w:r w:rsidRPr="00EE7989">
        <w:rPr>
          <w:i/>
          <w:sz w:val="20"/>
        </w:rPr>
        <w:t>1</w:t>
      </w:r>
    </w:p>
    <w:p w:rsidR="00EE7989" w:rsidRPr="00EE7989" w:rsidRDefault="00EE7989" w:rsidP="00EE7989">
      <w:pPr>
        <w:numPr>
          <w:ilvl w:val="2"/>
          <w:numId w:val="4"/>
        </w:numPr>
        <w:rPr>
          <w:i/>
          <w:sz w:val="20"/>
        </w:rPr>
      </w:pPr>
      <w:r w:rsidRPr="00EE7989">
        <w:rPr>
          <w:i/>
          <w:sz w:val="20"/>
        </w:rPr>
        <w:t>At least 10RBs for 15kHz</w:t>
      </w:r>
    </w:p>
    <w:p w:rsidR="00EE7989" w:rsidRPr="00EE7989" w:rsidRDefault="00EE7989" w:rsidP="00EE7989">
      <w:pPr>
        <w:numPr>
          <w:ilvl w:val="2"/>
          <w:numId w:val="4"/>
        </w:numPr>
        <w:rPr>
          <w:i/>
          <w:sz w:val="20"/>
        </w:rPr>
      </w:pPr>
      <w:r w:rsidRPr="00EE7989">
        <w:rPr>
          <w:i/>
          <w:sz w:val="20"/>
        </w:rPr>
        <w:t>At least 5 RBs for 30kHz</w:t>
      </w:r>
    </w:p>
    <w:p w:rsidR="00EE7989" w:rsidRPr="00EE7989" w:rsidRDefault="00EE7989" w:rsidP="00EE7989">
      <w:pPr>
        <w:numPr>
          <w:ilvl w:val="2"/>
          <w:numId w:val="4"/>
        </w:numPr>
        <w:rPr>
          <w:i/>
          <w:sz w:val="20"/>
        </w:rPr>
      </w:pPr>
      <w:r w:rsidRPr="00EE7989">
        <w:rPr>
          <w:i/>
          <w:sz w:val="20"/>
        </w:rPr>
        <w:t>At least 3 RBs for 60kHz</w:t>
      </w:r>
    </w:p>
    <w:p w:rsidR="00EE7989" w:rsidRPr="00EE7989" w:rsidRDefault="00EE7989" w:rsidP="00EE7989">
      <w:pPr>
        <w:numPr>
          <w:ilvl w:val="1"/>
          <w:numId w:val="4"/>
        </w:numPr>
        <w:rPr>
          <w:i/>
          <w:sz w:val="20"/>
        </w:rPr>
      </w:pPr>
      <w:r w:rsidRPr="00EE7989">
        <w:rPr>
          <w:i/>
          <w:sz w:val="20"/>
        </w:rPr>
        <w:t>Option</w:t>
      </w:r>
      <w:r w:rsidR="00940171">
        <w:rPr>
          <w:i/>
          <w:sz w:val="20"/>
        </w:rPr>
        <w:t xml:space="preserve"> </w:t>
      </w:r>
      <w:r w:rsidRPr="00EE7989">
        <w:rPr>
          <w:i/>
          <w:sz w:val="20"/>
        </w:rPr>
        <w:t>2</w:t>
      </w:r>
    </w:p>
    <w:p w:rsidR="00EE7989" w:rsidRPr="00EE7989" w:rsidRDefault="00EE7989" w:rsidP="00EE7989">
      <w:pPr>
        <w:numPr>
          <w:ilvl w:val="2"/>
          <w:numId w:val="4"/>
        </w:numPr>
        <w:rPr>
          <w:i/>
          <w:sz w:val="20"/>
        </w:rPr>
      </w:pPr>
      <w:r w:rsidRPr="00EE7989">
        <w:rPr>
          <w:i/>
          <w:sz w:val="20"/>
        </w:rPr>
        <w:t>At least 10RBs for all SCSs</w:t>
      </w:r>
    </w:p>
    <w:p w:rsidR="00EE7989" w:rsidRPr="00EE7989" w:rsidRDefault="00EE7989" w:rsidP="00EE7989">
      <w:pPr>
        <w:numPr>
          <w:ilvl w:val="0"/>
          <w:numId w:val="4"/>
        </w:numPr>
        <w:rPr>
          <w:i/>
          <w:sz w:val="20"/>
        </w:rPr>
      </w:pPr>
      <w:r w:rsidRPr="00EE7989">
        <w:rPr>
          <w:i/>
          <w:sz w:val="20"/>
        </w:rPr>
        <w:t>Further study feasible AGC settling time for FR1</w:t>
      </w:r>
    </w:p>
    <w:p w:rsidR="00EE7989" w:rsidRPr="00EE7989" w:rsidRDefault="00EE7989" w:rsidP="00EE7989">
      <w:pPr>
        <w:numPr>
          <w:ilvl w:val="0"/>
          <w:numId w:val="4"/>
        </w:numPr>
        <w:rPr>
          <w:i/>
          <w:sz w:val="20"/>
        </w:rPr>
      </w:pPr>
      <w:r w:rsidRPr="00EE7989">
        <w:rPr>
          <w:i/>
          <w:sz w:val="20"/>
        </w:rPr>
        <w:t xml:space="preserve">Companies are encouraged to bring analysis on </w:t>
      </w:r>
    </w:p>
    <w:p w:rsidR="00EE7989" w:rsidRPr="00EE7989" w:rsidRDefault="00EE7989" w:rsidP="00EE7989">
      <w:pPr>
        <w:numPr>
          <w:ilvl w:val="1"/>
          <w:numId w:val="4"/>
        </w:numPr>
        <w:rPr>
          <w:i/>
          <w:sz w:val="20"/>
        </w:rPr>
      </w:pPr>
      <w:r w:rsidRPr="00EE7989">
        <w:rPr>
          <w:i/>
          <w:sz w:val="20"/>
        </w:rPr>
        <w:t>AGC accuracy and RX power estimation duration depending on the CBW, V2X signal RB size, SCS</w:t>
      </w:r>
    </w:p>
    <w:p w:rsidR="00EE7989" w:rsidRPr="00EE7989" w:rsidRDefault="00EE7989" w:rsidP="00EE7989">
      <w:pPr>
        <w:numPr>
          <w:ilvl w:val="1"/>
          <w:numId w:val="4"/>
        </w:numPr>
        <w:rPr>
          <w:i/>
          <w:sz w:val="20"/>
        </w:rPr>
      </w:pPr>
      <w:r w:rsidRPr="00EE7989">
        <w:rPr>
          <w:i/>
          <w:sz w:val="20"/>
        </w:rPr>
        <w:t>AGC settling time duration dependency on the number of V2X CCs and RX chains</w:t>
      </w:r>
    </w:p>
    <w:p w:rsidR="00EE7989" w:rsidRPr="00EE7989" w:rsidRDefault="00EE7989" w:rsidP="00EE7989">
      <w:pPr>
        <w:numPr>
          <w:ilvl w:val="0"/>
          <w:numId w:val="4"/>
        </w:numPr>
        <w:rPr>
          <w:i/>
          <w:sz w:val="20"/>
        </w:rPr>
      </w:pPr>
      <w:r w:rsidRPr="00EE7989">
        <w:rPr>
          <w:i/>
          <w:sz w:val="20"/>
        </w:rPr>
        <w:t>Aim to send LS with final AGC settling time value to RAN1 in RAN4 #90bis</w:t>
      </w:r>
    </w:p>
    <w:p w:rsidR="008E7C43" w:rsidRDefault="008E7C43" w:rsidP="00EE7989">
      <w:r>
        <w:t>For the AGC settling time, it may be difficult to provide a breakdown along the terms (a) to (d), especially since AGC design is implementation specific. However, some back of the envelope calculations can ensure the values are realistic.</w:t>
      </w:r>
    </w:p>
    <w:p w:rsidR="008E7C43" w:rsidRDefault="008E7C43" w:rsidP="008E7C43">
      <w:pPr>
        <w:pStyle w:val="Heading1"/>
      </w:pPr>
      <w:r>
        <w:t>Discussion</w:t>
      </w:r>
    </w:p>
    <w:p w:rsidR="008E7C43" w:rsidRDefault="008E7C43" w:rsidP="008E7C43">
      <w:r>
        <w:t xml:space="preserve">For the AGC settling time, it may be difficult to provide a breakdown along the terms (a) to (d), especially since AGC design is implementation specific. However, some </w:t>
      </w:r>
      <w:r w:rsidR="006A5914">
        <w:t xml:space="preserve"> theoretical</w:t>
      </w:r>
      <w:r>
        <w:t xml:space="preserve"> calculations can ensure the values are </w:t>
      </w:r>
      <w:r w:rsidR="006A5914">
        <w:t>within the range</w:t>
      </w:r>
      <w:r>
        <w:t>.</w:t>
      </w:r>
    </w:p>
    <w:p w:rsidR="008E7C43" w:rsidRDefault="008E7C43" w:rsidP="008E7C43">
      <w:pPr>
        <w:pStyle w:val="Heading2"/>
      </w:pPr>
      <w:r>
        <w:t>(a) time offset</w:t>
      </w:r>
    </w:p>
    <w:p w:rsidR="008E7C43" w:rsidRPr="008E7C43" w:rsidRDefault="008E7C43" w:rsidP="008E7C43">
      <w:r>
        <w:t>The time offset is a function of the distance between the transmitter and receiver, the type of channel observed, the transmitted power, and receiver characteristics.</w:t>
      </w:r>
    </w:p>
    <w:p w:rsidR="008E7C43" w:rsidRDefault="008E7C43" w:rsidP="008E7C43">
      <w:r w:rsidRPr="00443536">
        <w:t xml:space="preserve">The simulation studies for V2V considered a number of scenarios in </w:t>
      </w:r>
      <w:r>
        <w:fldChar w:fldCharType="begin"/>
      </w:r>
      <w:r>
        <w:instrText xml:space="preserve"> REF _Ref4486133 \r \h </w:instrText>
      </w:r>
      <w:r>
        <w:fldChar w:fldCharType="separate"/>
      </w:r>
      <w:r w:rsidR="00B70999">
        <w:t>[4]</w:t>
      </w:r>
      <w:r>
        <w:fldChar w:fldCharType="end"/>
      </w:r>
      <w:r w:rsidRPr="00443536">
        <w:t>. For discussion purposes, consider the highway model and line-of-sight (LOS) conditions for simplicity. In addition, assume the transmit power is either 23 dBm or 33 dBm, the bandwidth is 20 MHz (40 MHz), and receiver noise figure is 9 dB.</w:t>
      </w:r>
      <w:r>
        <w:t xml:space="preserve"> In addition, the type of channel is </w:t>
      </w:r>
      <w:r w:rsidR="00EF0607">
        <w:t>specified as LOS (with probability as a function of distance) and NLOS (complement of LOS probability). The NLOS includes additional losses due to vehicle heights.</w:t>
      </w:r>
      <w:r>
        <w:t xml:space="preserve"> </w:t>
      </w:r>
    </w:p>
    <w:p w:rsidR="00AD5EC9" w:rsidRPr="00443536" w:rsidRDefault="00E454B0" w:rsidP="008E7C43">
      <m:oMathPara>
        <m:oMath>
          <m:sSub>
            <m:sSubPr>
              <m:ctrlPr>
                <w:rPr>
                  <w:rFonts w:ascii="Cambria Math" w:hAnsi="Cambria Math"/>
                  <w:i/>
                </w:rPr>
              </m:ctrlPr>
            </m:sSubPr>
            <m:e>
              <m:r>
                <w:rPr>
                  <w:rFonts w:ascii="Cambria Math" w:hAnsi="Cambria Math"/>
                </w:rPr>
                <m:t>p</m:t>
              </m:r>
            </m:e>
            <m:sub>
              <m:r>
                <w:rPr>
                  <w:rFonts w:ascii="Cambria Math" w:hAnsi="Cambria Math"/>
                </w:rPr>
                <m:t>LOS</m:t>
              </m:r>
            </m:sub>
          </m:sSub>
          <m:d>
            <m:dPr>
              <m:ctrlPr>
                <w:rPr>
                  <w:rFonts w:ascii="Cambria Math" w:hAnsi="Cambria Math"/>
                  <w:i/>
                </w:rPr>
              </m:ctrlPr>
            </m:dPr>
            <m:e>
              <m:r>
                <w:rPr>
                  <w:rFonts w:ascii="Cambria Math" w:hAnsi="Cambria Math"/>
                </w:rPr>
                <m:t>d</m:t>
              </m:r>
            </m:e>
          </m:d>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min</m:t>
                          </m:r>
                        </m:e>
                        <m:lim/>
                      </m:limLow>
                    </m:fName>
                    <m:e>
                      <m:d>
                        <m:dPr>
                          <m:ctrlPr>
                            <w:rPr>
                              <w:rFonts w:ascii="Cambria Math" w:hAnsi="Cambria Math"/>
                              <w:i/>
                            </w:rPr>
                          </m:ctrlPr>
                        </m:dPr>
                        <m:e>
                          <m:r>
                            <w:rPr>
                              <w:rFonts w:ascii="Cambria Math" w:hAnsi="Cambria Math"/>
                            </w:rPr>
                            <m:t>1,</m:t>
                          </m:r>
                          <m:r>
                            <m:rPr>
                              <m:sty m:val="p"/>
                            </m:rPr>
                            <w:rPr>
                              <w:rFonts w:ascii="Cambria Math" w:hAnsi="Cambria Math"/>
                              <w:lang w:eastAsia="ko-KR"/>
                            </w:rPr>
                            <m:t>2.1013×</m:t>
                          </m:r>
                          <m:sSup>
                            <m:sSupPr>
                              <m:ctrlPr>
                                <w:rPr>
                                  <w:rFonts w:ascii="Cambria Math" w:hAnsi="Cambria Math"/>
                                  <w:lang w:eastAsia="ko-KR"/>
                                </w:rPr>
                              </m:ctrlPr>
                            </m:sSupPr>
                            <m:e>
                              <m:r>
                                <w:rPr>
                                  <w:rFonts w:ascii="Cambria Math" w:hAnsi="Cambria Math"/>
                                  <w:lang w:eastAsia="ko-KR"/>
                                </w:rPr>
                                <m:t>10</m:t>
                              </m:r>
                            </m:e>
                            <m:sup>
                              <m:r>
                                <w:rPr>
                                  <w:rFonts w:ascii="Cambria Math" w:hAnsi="Cambria Math"/>
                                  <w:lang w:eastAsia="ko-KR"/>
                                </w:rPr>
                                <m:t>-6</m:t>
                              </m:r>
                            </m:sup>
                          </m:sSup>
                          <m:sSup>
                            <m:sSupPr>
                              <m:ctrlPr>
                                <w:rPr>
                                  <w:rFonts w:ascii="Cambria Math" w:hAnsi="Cambria Math"/>
                                  <w:i/>
                                  <w:lang w:eastAsia="ko-KR"/>
                                </w:rPr>
                              </m:ctrlPr>
                            </m:sSupPr>
                            <m:e>
                              <m:r>
                                <w:rPr>
                                  <w:rFonts w:ascii="Cambria Math" w:hAnsi="Cambria Math"/>
                                  <w:lang w:eastAsia="ko-KR"/>
                                </w:rPr>
                                <m:t>d</m:t>
                              </m:r>
                            </m:e>
                            <m:sup>
                              <m:r>
                                <w:rPr>
                                  <w:rFonts w:ascii="Cambria Math" w:hAnsi="Cambria Math"/>
                                  <w:lang w:eastAsia="ko-KR"/>
                                </w:rPr>
                                <m:t>2</m:t>
                              </m:r>
                            </m:sup>
                          </m:sSup>
                          <m:r>
                            <w:rPr>
                              <w:rFonts w:ascii="Cambria Math" w:hAnsi="Cambria Math"/>
                              <w:lang w:eastAsia="ko-KR"/>
                            </w:rPr>
                            <m:t>-0.002d+1.0193</m:t>
                          </m:r>
                        </m:e>
                      </m:d>
                    </m:e>
                  </m:func>
                  <m:r>
                    <w:rPr>
                      <w:rFonts w:ascii="Cambria Math" w:hAnsi="Cambria Math"/>
                    </w:rPr>
                    <m:t>,  &amp;d≤450</m:t>
                  </m:r>
                </m:e>
                <m:e>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limLow>
                    </m:fName>
                    <m:e>
                      <m:d>
                        <m:dPr>
                          <m:ctrlPr>
                            <w:rPr>
                              <w:rFonts w:ascii="Cambria Math" w:hAnsi="Cambria Math"/>
                              <w:i/>
                            </w:rPr>
                          </m:ctrlPr>
                        </m:dPr>
                        <m:e>
                          <m:r>
                            <w:rPr>
                              <w:rFonts w:ascii="Cambria Math" w:hAnsi="Cambria Math"/>
                            </w:rPr>
                            <m:t>0,0.54-0.001</m:t>
                          </m:r>
                          <m:d>
                            <m:dPr>
                              <m:ctrlPr>
                                <w:rPr>
                                  <w:rFonts w:ascii="Cambria Math" w:hAnsi="Cambria Math"/>
                                  <w:i/>
                                </w:rPr>
                              </m:ctrlPr>
                            </m:dPr>
                            <m:e>
                              <m:r>
                                <w:rPr>
                                  <w:rFonts w:ascii="Cambria Math" w:hAnsi="Cambria Math"/>
                                </w:rPr>
                                <m:t>d-475</m:t>
                              </m:r>
                            </m:e>
                          </m:d>
                        </m:e>
                      </m:d>
                    </m:e>
                  </m:func>
                  <m:r>
                    <w:rPr>
                      <w:rFonts w:ascii="Cambria Math" w:hAnsi="Cambria Math"/>
                    </w:rPr>
                    <m:t>,  &amp;d&gt;450</m:t>
                  </m:r>
                </m:e>
              </m:eqArr>
            </m:e>
          </m:d>
        </m:oMath>
      </m:oMathPara>
    </w:p>
    <w:p w:rsidR="00AD5EC9" w:rsidRDefault="00AD5EC9" w:rsidP="00EF0607">
      <w:r>
        <w:t xml:space="preserve">The </w:t>
      </w:r>
      <w:r w:rsidR="00803C8B">
        <w:t>4</w:t>
      </w:r>
      <w:r>
        <w:t xml:space="preserve">0% </w:t>
      </w:r>
      <w:r w:rsidR="00803C8B">
        <w:t xml:space="preserve">LOS </w:t>
      </w:r>
      <w:r>
        <w:t xml:space="preserve">distance is </w:t>
      </w:r>
      <w:r w:rsidR="00803C8B">
        <w:t>6</w:t>
      </w:r>
      <w:r>
        <w:t>15 m</w:t>
      </w:r>
      <w:r w:rsidR="00803C8B">
        <w:t xml:space="preserve"> for the highway model</w:t>
      </w:r>
      <w:r>
        <w:t>.</w:t>
      </w:r>
    </w:p>
    <w:p w:rsidR="00EF0607" w:rsidRPr="00443536" w:rsidRDefault="00EF0607" w:rsidP="00EF0607">
      <w:r w:rsidRPr="00443536">
        <w:t xml:space="preserve">The pathloss model for LOS conditions is given by table 6.2.1-1 in </w:t>
      </w:r>
      <w:r w:rsidRPr="00443536">
        <w:fldChar w:fldCharType="begin"/>
      </w:r>
      <w:r w:rsidRPr="00443536">
        <w:instrText xml:space="preserve"> REF _Ref4486133 \r \h </w:instrText>
      </w:r>
      <w:r w:rsidRPr="00443536">
        <w:fldChar w:fldCharType="separate"/>
      </w:r>
      <w:r w:rsidR="00B70999">
        <w:t>[4]</w:t>
      </w:r>
      <w:r w:rsidRPr="00443536">
        <w:fldChar w:fldCharType="end"/>
      </w:r>
      <w:r w:rsidRPr="00443536">
        <w:t xml:space="preserve"> for a distance </w:t>
      </w:r>
      <w:r w:rsidRPr="00443536">
        <w:rPr>
          <w:i/>
        </w:rPr>
        <w:t>d</w:t>
      </w:r>
      <w:r w:rsidRPr="00443536">
        <w:t xml:space="preserve"> in meters and frequency </w:t>
      </w:r>
      <w:r w:rsidRPr="00443536">
        <w:rPr>
          <w:i/>
        </w:rPr>
        <w:t xml:space="preserve">f </w:t>
      </w:r>
      <w:r w:rsidRPr="00443536">
        <w:t>in GHz is</w:t>
      </w:r>
    </w:p>
    <w:p w:rsidR="00EF0607" w:rsidRPr="00443536" w:rsidRDefault="00EF0607" w:rsidP="00EF0607">
      <w:pPr>
        <w:rPr>
          <w:rFonts w:eastAsiaTheme="minorEastAsia"/>
        </w:rPr>
      </w:pPr>
      <m:oMathPara>
        <m:oMath>
          <m:r>
            <w:rPr>
              <w:rFonts w:ascii="Cambria Math" w:hAnsi="Cambria Math"/>
            </w:rPr>
            <m:t>PL=32.4+20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r>
                <w:rPr>
                  <w:rFonts w:ascii="Cambria Math" w:hAnsi="Cambria Math"/>
                </w:rPr>
                <m:t>d</m:t>
              </m:r>
            </m:e>
          </m:func>
          <m:r>
            <w:rPr>
              <w:rFonts w:ascii="Cambria Math" w:hAnsi="Cambria Math"/>
            </w:rPr>
            <m:t>+20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r>
                <w:rPr>
                  <w:rFonts w:ascii="Cambria Math" w:hAnsi="Cambria Math"/>
                </w:rPr>
                <m:t>f</m:t>
              </m:r>
            </m:e>
          </m:func>
        </m:oMath>
      </m:oMathPara>
    </w:p>
    <w:p w:rsidR="00803C8B" w:rsidRPr="00443536" w:rsidRDefault="00803C8B" w:rsidP="00803C8B">
      <w:r w:rsidRPr="00443536">
        <w:t xml:space="preserve">Using the two transmit powers of 23 and 33 dBm, the received power is the transmit power minus the pathloss, as shown in </w:t>
      </w:r>
      <w:r w:rsidRPr="00443536">
        <w:fldChar w:fldCharType="begin"/>
      </w:r>
      <w:r w:rsidRPr="00443536">
        <w:instrText xml:space="preserve"> REF _Ref4489772 \h </w:instrText>
      </w:r>
      <w:r w:rsidRPr="00443536">
        <w:fldChar w:fldCharType="separate"/>
      </w:r>
      <w:r w:rsidR="00B70999" w:rsidRPr="00443536">
        <w:t xml:space="preserve">Figure </w:t>
      </w:r>
      <w:r w:rsidR="00B70999">
        <w:rPr>
          <w:noProof/>
        </w:rPr>
        <w:t>1</w:t>
      </w:r>
      <w:r w:rsidRPr="00443536">
        <w:fldChar w:fldCharType="end"/>
      </w:r>
      <w:r>
        <w:t xml:space="preserve"> for the 5.9 GHz carrier assuming LOS.</w:t>
      </w:r>
      <w:r w:rsidRPr="00803C8B">
        <w:t xml:space="preserve"> </w:t>
      </w:r>
      <w:r>
        <w:t xml:space="preserve">For 20 MHz BW, the noise floor is </w:t>
      </w:r>
      <w:r w:rsidR="00A029FF">
        <w:noBreakHyphen/>
      </w:r>
      <w:r>
        <w:t>173+10</w:t>
      </w:r>
      <w:r>
        <w:sym w:font="Symbol" w:char="F0B4"/>
      </w:r>
      <w:r>
        <w:t>log</w:t>
      </w:r>
      <w:r w:rsidRPr="00EF0607">
        <w:rPr>
          <w:vertAlign w:val="subscript"/>
        </w:rPr>
        <w:t>10</w:t>
      </w:r>
      <w:r>
        <w:t xml:space="preserve">(20 MHz) + NF = </w:t>
      </w:r>
      <w:r w:rsidR="00A029FF">
        <w:noBreakHyphen/>
      </w:r>
      <w:r>
        <w:t>91 dBm.</w:t>
      </w:r>
    </w:p>
    <w:p w:rsidR="00803C8B" w:rsidRPr="00443536" w:rsidRDefault="00803C8B" w:rsidP="00803C8B">
      <w:pPr>
        <w:keepNext/>
        <w:jc w:val="center"/>
      </w:pPr>
      <w:r>
        <w:rPr>
          <w:noProof/>
        </w:rPr>
        <w:lastRenderedPageBreak/>
        <w:drawing>
          <wp:inline distT="0" distB="0" distL="0" distR="0" wp14:anchorId="4A0D13AC" wp14:editId="72B88D77">
            <wp:extent cx="3657600" cy="2194560"/>
            <wp:effectExtent l="0" t="0" r="0" b="0"/>
            <wp:docPr id="214" name="Picture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657600" cy="2194560"/>
                    </a:xfrm>
                    <a:prstGeom prst="rect">
                      <a:avLst/>
                    </a:prstGeom>
                    <a:noFill/>
                  </pic:spPr>
                </pic:pic>
              </a:graphicData>
            </a:graphic>
          </wp:inline>
        </w:drawing>
      </w:r>
    </w:p>
    <w:p w:rsidR="00803C8B" w:rsidRPr="00443536" w:rsidRDefault="00803C8B" w:rsidP="00803C8B">
      <w:pPr>
        <w:pStyle w:val="Caption"/>
      </w:pPr>
      <w:bookmarkStart w:id="1" w:name="_Ref4489772"/>
      <w:r w:rsidRPr="00443536">
        <w:t xml:space="preserve">Figure </w:t>
      </w:r>
      <w:r>
        <w:rPr>
          <w:noProof/>
        </w:rPr>
        <w:fldChar w:fldCharType="begin"/>
      </w:r>
      <w:r>
        <w:rPr>
          <w:noProof/>
        </w:rPr>
        <w:instrText xml:space="preserve"> SEQ Figure \* ARABIC </w:instrText>
      </w:r>
      <w:r>
        <w:rPr>
          <w:noProof/>
        </w:rPr>
        <w:fldChar w:fldCharType="separate"/>
      </w:r>
      <w:r w:rsidR="00B70999">
        <w:rPr>
          <w:noProof/>
        </w:rPr>
        <w:t>1</w:t>
      </w:r>
      <w:r>
        <w:rPr>
          <w:noProof/>
        </w:rPr>
        <w:fldChar w:fldCharType="end"/>
      </w:r>
      <w:bookmarkEnd w:id="1"/>
      <w:r w:rsidRPr="00443536">
        <w:t>. Received power</w:t>
      </w:r>
    </w:p>
    <w:p w:rsidR="00A029FF" w:rsidRDefault="00803C8B" w:rsidP="00EE7989">
      <w:r>
        <w:t>For instance at 600 m</w:t>
      </w:r>
      <w:r w:rsidR="00A029FF">
        <w:t xml:space="preserve"> (~41% LOS)</w:t>
      </w:r>
      <w:r>
        <w:t xml:space="preserve">, the </w:t>
      </w:r>
      <w:r w:rsidR="00A029FF">
        <w:t xml:space="preserve">received signal is -81 dBm, which is 10 dB above the noise floor. Once fading margin is included as well as the probability of LOS, 600 m may be a reasonable limit. Using a propagation delay of </w:t>
      </w:r>
      <w:r w:rsidR="00A029FF" w:rsidRPr="00A029FF">
        <w:rPr>
          <w:i/>
        </w:rPr>
        <w:t>d</w:t>
      </w:r>
      <w:r w:rsidR="00A029FF">
        <w:t>/</w:t>
      </w:r>
      <w:r w:rsidR="00A029FF" w:rsidRPr="00A029FF">
        <w:rPr>
          <w:i/>
        </w:rPr>
        <w:t>c</w:t>
      </w:r>
      <w:r w:rsidR="00A029FF">
        <w:t>, 600 m corresponds to 2µs. and assumes LOS. If any value is assumed for the time offset, it should not exceed 2µs.</w:t>
      </w:r>
    </w:p>
    <w:p w:rsidR="00A029FF" w:rsidRPr="00F87F14" w:rsidRDefault="00A029FF" w:rsidP="00A029FF">
      <w:pPr>
        <w:pStyle w:val="Heading2"/>
      </w:pPr>
      <w:r>
        <w:rPr>
          <w:lang w:val="en-GB"/>
        </w:rPr>
        <w:t xml:space="preserve">(b) </w:t>
      </w:r>
      <w:r w:rsidRPr="00F87F14">
        <w:rPr>
          <w:lang w:val="en-GB"/>
        </w:rPr>
        <w:t>estimating the gain/power</w:t>
      </w:r>
    </w:p>
    <w:p w:rsidR="008F1B61" w:rsidRDefault="00A029FF" w:rsidP="00EE7989">
      <w:r>
        <w:t xml:space="preserve">The process of estimating the power/gain is implementation specific. </w:t>
      </w:r>
      <w:r w:rsidR="00422028">
        <w:t xml:space="preserve">In general, the accumulated power over a </w:t>
      </w:r>
      <w:r w:rsidR="00DE1AA1">
        <w:t>simple transceiver architecture</w:t>
      </w:r>
      <w:r w:rsidR="00E32141">
        <w:t>)</w:t>
      </w:r>
      <w:r w:rsidR="00422028">
        <w:t xml:space="preserve">. </w:t>
      </w:r>
      <w:r w:rsidR="00E32141">
        <w:t>Assuming</w:t>
      </w:r>
      <w:r w:rsidR="008F1B61">
        <w:t xml:space="preserve"> the power is linearly distributed over the duration of the signal</w:t>
      </w:r>
      <w:r w:rsidR="0059671A">
        <w:t>,</w:t>
      </w:r>
      <w:r w:rsidR="008F1B61">
        <w:t xml:space="preserve"> </w:t>
      </w:r>
      <w:r w:rsidR="0059671A">
        <w:t>t</w:t>
      </w:r>
      <w:r w:rsidR="008F1B61">
        <w:t xml:space="preserve">hus ¼ of a symbol should </w:t>
      </w:r>
      <w:r w:rsidR="00E32141">
        <w:t>contain</w:t>
      </w:r>
      <w:r w:rsidR="008F1B61">
        <w:t xml:space="preserve"> ¼ the power of the symb</w:t>
      </w:r>
      <w:r w:rsidR="00162AE6">
        <w:t>ol.</w:t>
      </w:r>
      <w:r w:rsidR="0059671A">
        <w:t xml:space="preserve"> The duration needed for estimation is implementation specific.</w:t>
      </w:r>
    </w:p>
    <w:p w:rsidR="00E32141" w:rsidRPr="00443536" w:rsidRDefault="00E32141" w:rsidP="00E32141">
      <w:pPr>
        <w:keepNext/>
        <w:jc w:val="center"/>
      </w:pPr>
      <w:r w:rsidRPr="00443536">
        <w:rPr>
          <w:noProof/>
        </w:rPr>
        <mc:AlternateContent>
          <mc:Choice Requires="wpc">
            <w:drawing>
              <wp:inline distT="0" distB="0" distL="0" distR="0" wp14:anchorId="2D180239" wp14:editId="0D19FF14">
                <wp:extent cx="4800600" cy="1328763"/>
                <wp:effectExtent l="0" t="0" r="0" b="0"/>
                <wp:docPr id="245" name="Canvas 24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20" name="Straight Arrow Connector 220"/>
                        <wps:cNvCnPr>
                          <a:stCxn id="229" idx="3"/>
                          <a:endCxn id="150" idx="1"/>
                        </wps:cNvCnPr>
                        <wps:spPr>
                          <a:xfrm>
                            <a:off x="1071762" y="634228"/>
                            <a:ext cx="359680" cy="27"/>
                          </a:xfrm>
                          <a:prstGeom prst="straightConnector1">
                            <a:avLst/>
                          </a:prstGeom>
                          <a:ln w="9525">
                            <a:solidFill>
                              <a:schemeClr val="tx1"/>
                            </a:solidFill>
                            <a:headEnd type="none"/>
                            <a:tailEnd type="stealth"/>
                          </a:ln>
                        </wps:spPr>
                        <wps:style>
                          <a:lnRef idx="1">
                            <a:schemeClr val="accent1"/>
                          </a:lnRef>
                          <a:fillRef idx="0">
                            <a:schemeClr val="accent1"/>
                          </a:fillRef>
                          <a:effectRef idx="0">
                            <a:schemeClr val="accent1"/>
                          </a:effectRef>
                          <a:fontRef idx="minor">
                            <a:schemeClr val="tx1"/>
                          </a:fontRef>
                        </wps:style>
                        <wps:bodyPr/>
                      </wps:wsp>
                      <wps:wsp>
                        <wps:cNvPr id="221" name="Text Box 22"/>
                        <wps:cNvSpPr txBox="1"/>
                        <wps:spPr>
                          <a:xfrm>
                            <a:off x="2345842" y="1090871"/>
                            <a:ext cx="671678" cy="186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E32141" w:rsidRDefault="00DE1AA1" w:rsidP="00E32141">
                              <w:pPr>
                                <w:pStyle w:val="NormalWeb"/>
                                <w:spacing w:before="0" w:beforeAutospacing="0" w:after="0" w:afterAutospacing="0"/>
                              </w:pPr>
                              <w:r>
                                <w:rPr>
                                  <w:rFonts w:eastAsia="Calibri"/>
                                  <w:sz w:val="20"/>
                                  <w:szCs w:val="20"/>
                                </w:rPr>
                                <w:t>N</w:t>
                              </w:r>
                              <w:r w:rsidR="00E32141">
                                <w:rPr>
                                  <w:rFonts w:eastAsia="Calibri"/>
                                  <w:sz w:val="20"/>
                                  <w:szCs w:val="20"/>
                                </w:rPr>
                                <w:t>oise</w:t>
                              </w:r>
                              <w:r>
                                <w:rPr>
                                  <w:rFonts w:eastAsia="Calibri"/>
                                  <w:sz w:val="20"/>
                                  <w:szCs w:val="20"/>
                                </w:rPr>
                                <w:t xml:space="preserve"> n(t)</w:t>
                              </w:r>
                            </w:p>
                          </w:txbxContent>
                        </wps:txbx>
                        <wps:bodyPr rot="0" spcFirstLastPara="0" vert="horz" wrap="square" lIns="45720" tIns="0" rIns="45720" bIns="0" numCol="1" spcCol="0" rtlCol="0" fromWordArt="0" anchor="ctr" anchorCtr="0" forceAA="0" compatLnSpc="1">
                          <a:prstTxWarp prst="textNoShape">
                            <a:avLst/>
                          </a:prstTxWarp>
                          <a:noAutofit/>
                        </wps:bodyPr>
                      </wps:wsp>
                      <wps:wsp>
                        <wps:cNvPr id="229" name="Rectangle 229"/>
                        <wps:cNvSpPr/>
                        <wps:spPr>
                          <a:xfrm>
                            <a:off x="157362" y="474297"/>
                            <a:ext cx="914400" cy="319862"/>
                          </a:xfrm>
                          <a:prstGeom prst="rect">
                            <a:avLst/>
                          </a:prstGeom>
                          <a:solidFill>
                            <a:schemeClr val="accent4">
                              <a:lumMod val="20000"/>
                              <a:lumOff val="80000"/>
                            </a:schemeClr>
                          </a:solidFill>
                          <a:ln w="9525"/>
                        </wps:spPr>
                        <wps:style>
                          <a:lnRef idx="2">
                            <a:schemeClr val="dk1"/>
                          </a:lnRef>
                          <a:fillRef idx="1">
                            <a:schemeClr val="lt1"/>
                          </a:fillRef>
                          <a:effectRef idx="0">
                            <a:schemeClr val="dk1"/>
                          </a:effectRef>
                          <a:fontRef idx="minor">
                            <a:schemeClr val="dk1"/>
                          </a:fontRef>
                        </wps:style>
                        <wps:txbx>
                          <w:txbxContent>
                            <w:p w:rsidR="00E32141" w:rsidRPr="002F6903" w:rsidRDefault="00E32141" w:rsidP="00E32141">
                              <w:pPr>
                                <w:jc w:val="center"/>
                                <w:rPr>
                                  <w:sz w:val="20"/>
                                </w:rPr>
                              </w:pPr>
                              <w:r w:rsidRPr="002F6903">
                                <w:rPr>
                                  <w:sz w:val="20"/>
                                </w:rPr>
                                <w:t>Transmitter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0" name="Rectangle 150"/>
                        <wps:cNvSpPr/>
                        <wps:spPr>
                          <a:xfrm>
                            <a:off x="1431442" y="474297"/>
                            <a:ext cx="914400" cy="319915"/>
                          </a:xfrm>
                          <a:prstGeom prst="rect">
                            <a:avLst/>
                          </a:prstGeom>
                          <a:solidFill>
                            <a:srgbClr val="FFC000"/>
                          </a:solidFill>
                          <a:ln w="9525"/>
                        </wps:spPr>
                        <wps:style>
                          <a:lnRef idx="2">
                            <a:schemeClr val="dk1"/>
                          </a:lnRef>
                          <a:fillRef idx="1">
                            <a:schemeClr val="lt1"/>
                          </a:fillRef>
                          <a:effectRef idx="0">
                            <a:schemeClr val="dk1"/>
                          </a:effectRef>
                          <a:fontRef idx="minor">
                            <a:schemeClr val="dk1"/>
                          </a:fontRef>
                        </wps:style>
                        <wps:txbx>
                          <w:txbxContent>
                            <w:p w:rsidR="00E32141" w:rsidRPr="002F6903" w:rsidRDefault="00DE1AA1" w:rsidP="00E32141">
                              <w:pPr>
                                <w:jc w:val="center"/>
                                <w:rPr>
                                  <w:sz w:val="20"/>
                                </w:rPr>
                              </w:pPr>
                              <w:r w:rsidRPr="002F6903">
                                <w:rPr>
                                  <w:sz w:val="20"/>
                                </w:rPr>
                                <w:t>C</w:t>
                              </w:r>
                              <w:r w:rsidR="00E32141" w:rsidRPr="002F6903">
                                <w:rPr>
                                  <w:sz w:val="20"/>
                                </w:rPr>
                                <w:t>hannel</w:t>
                              </w:r>
                              <w:r>
                                <w:rPr>
                                  <w:sz w:val="20"/>
                                </w:rPr>
                                <w:t>, h(t)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 name="Rectangle 151"/>
                        <wps:cNvSpPr/>
                        <wps:spPr>
                          <a:xfrm>
                            <a:off x="3313464" y="88624"/>
                            <a:ext cx="914400" cy="319915"/>
                          </a:xfrm>
                          <a:prstGeom prst="rect">
                            <a:avLst/>
                          </a:prstGeom>
                          <a:solidFill>
                            <a:schemeClr val="accent6">
                              <a:lumMod val="20000"/>
                              <a:lumOff val="80000"/>
                            </a:schemeClr>
                          </a:solidFill>
                          <a:ln w="9525"/>
                        </wps:spPr>
                        <wps:style>
                          <a:lnRef idx="2">
                            <a:schemeClr val="dk1"/>
                          </a:lnRef>
                          <a:fillRef idx="1">
                            <a:schemeClr val="lt1"/>
                          </a:fillRef>
                          <a:effectRef idx="0">
                            <a:schemeClr val="dk1"/>
                          </a:effectRef>
                          <a:fontRef idx="minor">
                            <a:schemeClr val="dk1"/>
                          </a:fontRef>
                        </wps:style>
                        <wps:txbx>
                          <w:txbxContent>
                            <w:p w:rsidR="00E32141" w:rsidRPr="002F6903" w:rsidRDefault="00E32141" w:rsidP="00E32141">
                              <w:pPr>
                                <w:jc w:val="center"/>
                                <w:rPr>
                                  <w:sz w:val="20"/>
                                </w:rPr>
                              </w:pPr>
                              <w:r>
                                <w:rPr>
                                  <w:sz w:val="20"/>
                                </w:rPr>
                                <w:t>Estimator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2" name="Rectangle 152"/>
                        <wps:cNvSpPr/>
                        <wps:spPr>
                          <a:xfrm>
                            <a:off x="3313464" y="856555"/>
                            <a:ext cx="914400" cy="319915"/>
                          </a:xfrm>
                          <a:prstGeom prst="rect">
                            <a:avLst/>
                          </a:prstGeom>
                          <a:solidFill>
                            <a:schemeClr val="accent1">
                              <a:lumMod val="20000"/>
                              <a:lumOff val="80000"/>
                            </a:schemeClr>
                          </a:solidFill>
                          <a:ln w="9525"/>
                        </wps:spPr>
                        <wps:style>
                          <a:lnRef idx="2">
                            <a:schemeClr val="dk1"/>
                          </a:lnRef>
                          <a:fillRef idx="1">
                            <a:schemeClr val="lt1"/>
                          </a:fillRef>
                          <a:effectRef idx="0">
                            <a:schemeClr val="dk1"/>
                          </a:effectRef>
                          <a:fontRef idx="minor">
                            <a:schemeClr val="dk1"/>
                          </a:fontRef>
                        </wps:style>
                        <wps:txbx>
                          <w:txbxContent>
                            <w:p w:rsidR="00E32141" w:rsidRPr="002F6903" w:rsidRDefault="00E32141" w:rsidP="00E32141">
                              <w:pPr>
                                <w:jc w:val="center"/>
                                <w:rPr>
                                  <w:sz w:val="20"/>
                                </w:rPr>
                              </w:pPr>
                              <w:r>
                                <w:rPr>
                                  <w:sz w:val="20"/>
                                </w:rPr>
                                <w:t>Receiver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6" name="Flowchart: Or 246"/>
                        <wps:cNvSpPr/>
                        <wps:spPr>
                          <a:xfrm>
                            <a:off x="2586269" y="539990"/>
                            <a:ext cx="182880" cy="182880"/>
                          </a:xfrm>
                          <a:prstGeom prst="flowChartOr">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4" name="Straight Arrow Connector 154"/>
                        <wps:cNvCnPr>
                          <a:stCxn id="150" idx="3"/>
                          <a:endCxn id="246" idx="2"/>
                        </wps:cNvCnPr>
                        <wps:spPr>
                          <a:xfrm flipV="1">
                            <a:off x="2345842" y="631430"/>
                            <a:ext cx="240427" cy="2825"/>
                          </a:xfrm>
                          <a:prstGeom prst="straightConnector1">
                            <a:avLst/>
                          </a:prstGeom>
                          <a:ln w="9525">
                            <a:solidFill>
                              <a:schemeClr val="tx1"/>
                            </a:solidFill>
                            <a:headEnd type="none"/>
                            <a:tailEnd type="stealth"/>
                          </a:ln>
                        </wps:spPr>
                        <wps:style>
                          <a:lnRef idx="1">
                            <a:schemeClr val="accent1"/>
                          </a:lnRef>
                          <a:fillRef idx="0">
                            <a:schemeClr val="accent1"/>
                          </a:fillRef>
                          <a:effectRef idx="0">
                            <a:schemeClr val="accent1"/>
                          </a:effectRef>
                          <a:fontRef idx="minor">
                            <a:schemeClr val="tx1"/>
                          </a:fontRef>
                        </wps:style>
                        <wps:bodyPr/>
                      </wps:wsp>
                      <wps:wsp>
                        <wps:cNvPr id="254" name="Elbow Connector 254"/>
                        <wps:cNvCnPr>
                          <a:stCxn id="246" idx="6"/>
                          <a:endCxn id="152" idx="1"/>
                        </wps:cNvCnPr>
                        <wps:spPr>
                          <a:xfrm>
                            <a:off x="2769149" y="631430"/>
                            <a:ext cx="544315" cy="385083"/>
                          </a:xfrm>
                          <a:prstGeom prst="bentConnector3">
                            <a:avLst>
                              <a:gd name="adj1" fmla="val 50000"/>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58" name="Elbow Connector 158"/>
                        <wps:cNvCnPr>
                          <a:stCxn id="246" idx="6"/>
                          <a:endCxn id="151" idx="1"/>
                        </wps:cNvCnPr>
                        <wps:spPr>
                          <a:xfrm flipV="1">
                            <a:off x="2769149" y="248582"/>
                            <a:ext cx="544315" cy="382848"/>
                          </a:xfrm>
                          <a:prstGeom prst="bentConnector3">
                            <a:avLst>
                              <a:gd name="adj1" fmla="val 50000"/>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59" name="Straight Arrow Connector 159"/>
                        <wps:cNvCnPr>
                          <a:stCxn id="221" idx="0"/>
                          <a:endCxn id="246" idx="4"/>
                        </wps:cNvCnPr>
                        <wps:spPr>
                          <a:xfrm flipH="1" flipV="1">
                            <a:off x="2677709" y="722870"/>
                            <a:ext cx="3972" cy="368001"/>
                          </a:xfrm>
                          <a:prstGeom prst="straightConnector1">
                            <a:avLst/>
                          </a:prstGeom>
                          <a:ln w="9525">
                            <a:solidFill>
                              <a:schemeClr val="tx1"/>
                            </a:solidFill>
                            <a:headEnd type="none"/>
                            <a:tailEnd type="stealth"/>
                          </a:ln>
                        </wps:spPr>
                        <wps:style>
                          <a:lnRef idx="1">
                            <a:schemeClr val="accent1"/>
                          </a:lnRef>
                          <a:fillRef idx="0">
                            <a:schemeClr val="accent1"/>
                          </a:fillRef>
                          <a:effectRef idx="0">
                            <a:schemeClr val="accent1"/>
                          </a:effectRef>
                          <a:fontRef idx="minor">
                            <a:schemeClr val="tx1"/>
                          </a:fontRef>
                        </wps:style>
                        <wps:bodyPr/>
                      </wps:wsp>
                      <wps:wsp>
                        <wps:cNvPr id="14" name="Text Box 22"/>
                        <wps:cNvSpPr txBox="1"/>
                        <wps:spPr>
                          <a:xfrm>
                            <a:off x="1071762" y="288389"/>
                            <a:ext cx="446064" cy="186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E1AA1" w:rsidRDefault="00DE1AA1" w:rsidP="00E32141">
                              <w:pPr>
                                <w:pStyle w:val="NormalWeb"/>
                                <w:spacing w:before="0" w:beforeAutospacing="0" w:after="0" w:afterAutospacing="0"/>
                              </w:pPr>
                              <w:r>
                                <w:rPr>
                                  <w:rFonts w:eastAsia="Calibri"/>
                                  <w:sz w:val="20"/>
                                  <w:szCs w:val="20"/>
                                </w:rPr>
                                <w:t>x(t)</w:t>
                              </w:r>
                            </w:p>
                          </w:txbxContent>
                        </wps:txbx>
                        <wps:bodyPr rot="0" spcFirstLastPara="0" vert="horz" wrap="square" lIns="45720" tIns="0" rIns="45720" bIns="0" numCol="1" spcCol="0" rtlCol="0" fromWordArt="0" anchor="ctr" anchorCtr="0" forceAA="0" compatLnSpc="1">
                          <a:prstTxWarp prst="textNoShape">
                            <a:avLst/>
                          </a:prstTxWarp>
                          <a:noAutofit/>
                        </wps:bodyPr>
                      </wps:wsp>
                      <wps:wsp>
                        <wps:cNvPr id="15" name="Text Box 22"/>
                        <wps:cNvSpPr txBox="1"/>
                        <wps:spPr>
                          <a:xfrm>
                            <a:off x="3088498" y="536790"/>
                            <a:ext cx="446064" cy="186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E1AA1" w:rsidRDefault="00DE1AA1" w:rsidP="00E32141">
                              <w:pPr>
                                <w:pStyle w:val="NormalWeb"/>
                                <w:spacing w:before="0" w:beforeAutospacing="0" w:after="0" w:afterAutospacing="0"/>
                              </w:pPr>
                              <w:r>
                                <w:rPr>
                                  <w:rFonts w:eastAsia="Calibri"/>
                                  <w:sz w:val="20"/>
                                  <w:szCs w:val="20"/>
                                </w:rPr>
                                <w:t>y(t)</w:t>
                              </w:r>
                            </w:p>
                          </w:txbxContent>
                        </wps:txbx>
                        <wps:bodyPr rot="0" spcFirstLastPara="0" vert="horz" wrap="square" lIns="45720" tIns="0" rIns="45720" bIns="0" numCol="1" spcCol="0" rtlCol="0" fromWordArt="0" anchor="ctr" anchorCtr="0" forceAA="0" compatLnSpc="1">
                          <a:prstTxWarp prst="textNoShape">
                            <a:avLst/>
                          </a:prstTxWarp>
                          <a:noAutofit/>
                        </wps:bodyPr>
                      </wps:wsp>
                    </wpc:wpc>
                  </a:graphicData>
                </a:graphic>
              </wp:inline>
            </w:drawing>
          </mc:Choice>
          <mc:Fallback>
            <w:pict>
              <v:group w14:anchorId="2D180239" id="Canvas 245" o:spid="_x0000_s1026" editas="canvas" style="width:378pt;height:104.65pt;mso-position-horizontal-relative:char;mso-position-vertical-relative:line" coordsize="48006,132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8006;height:13284;visibility:visible;mso-wrap-style:square">
                  <v:fill o:detectmouseclick="t"/>
                  <v:path o:connecttype="none"/>
                </v:shape>
                <v:shapetype id="_x0000_t32" coordsize="21600,21600" o:spt="32" o:oned="t" path="m,l21600,21600e" filled="f">
                  <v:path arrowok="t" fillok="f" o:connecttype="none"/>
                  <o:lock v:ext="edit" shapetype="t"/>
                </v:shapetype>
                <v:shape id="Straight Arrow Connector 220" o:spid="_x0000_s1028" type="#_x0000_t32" style="position:absolute;left:10717;top:6342;width:359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UrC8IAAADcAAAADwAAAGRycy9kb3ducmV2LnhtbERPS0vDQBC+F/wPywje2o1BrKTZFOsD&#10;BE+tFjxOs2M2JDsbsps2/nvnIHj8+N7ldva9OtMY28AGblcZKOI62JYbA58fr8sHUDEhW+wDk4Ef&#10;irCtrhYlFjZceE/nQ2qUhHAs0IBLaSi0jrUjj3EVBmLhvsPoMQkcG21HvEi473WeZffaY8vS4HCg&#10;J0d1d5i8gefdtPt679zLOu+m47H2zd1J9pib6/lxAyrRnP7Ff+43ayDPZb6ckSOgq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RUrC8IAAADcAAAADwAAAAAAAAAAAAAA&#10;AAChAgAAZHJzL2Rvd25yZXYueG1sUEsFBgAAAAAEAAQA+QAAAJADAAAAAA==&#10;" strokecolor="black [3213]">
                  <v:stroke endarrow="classic" joinstyle="miter"/>
                </v:shape>
                <v:shapetype id="_x0000_t202" coordsize="21600,21600" o:spt="202" path="m,l,21600r21600,l21600,xe">
                  <v:stroke joinstyle="miter"/>
                  <v:path gradientshapeok="t" o:connecttype="rect"/>
                </v:shapetype>
                <v:shape id="Text Box 22" o:spid="_x0000_s1029" type="#_x0000_t202" style="position:absolute;left:23458;top:10908;width:6717;height:18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bKtcUA&#10;AADcAAAADwAAAGRycy9kb3ducmV2LnhtbESPQWvCQBSE74X+h+UVvNWNQUViNtIKgl5sm0rPj+wz&#10;iWbfxt1V03/fLRR6HGbmGyZfDaYTN3K+taxgMk5AEFdWt1wrOHxunhcgfEDW2FkmBd/kYVU8PuSY&#10;aXvnD7qVoRYRwj5DBU0IfSalrxoy6Me2J47e0TqDIUpXS+3wHuGmk2mSzKXBluNCgz2tG6rO5dUo&#10;2PvZ+u0SFu+7g52ddl/VdO5ep0qNnoaXJYhAQ/gP/7W3WkGaTuD3TDwCsv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Zsq1xQAAANwAAAAPAAAAAAAAAAAAAAAAAJgCAABkcnMv&#10;ZG93bnJldi54bWxQSwUGAAAAAAQABAD1AAAAigMAAAAA&#10;" fillcolor="white [3201]" stroked="f" strokeweight=".5pt">
                  <v:textbox inset="3.6pt,0,3.6pt,0">
                    <w:txbxContent>
                      <w:p w:rsidR="00E32141" w:rsidRDefault="00DE1AA1" w:rsidP="00E32141">
                        <w:pPr>
                          <w:pStyle w:val="NormalWeb"/>
                          <w:spacing w:before="0" w:beforeAutospacing="0" w:after="0" w:afterAutospacing="0"/>
                        </w:pPr>
                        <w:r>
                          <w:rPr>
                            <w:rFonts w:eastAsia="Calibri"/>
                            <w:sz w:val="20"/>
                            <w:szCs w:val="20"/>
                          </w:rPr>
                          <w:t>N</w:t>
                        </w:r>
                        <w:r w:rsidR="00E32141">
                          <w:rPr>
                            <w:rFonts w:eastAsia="Calibri"/>
                            <w:sz w:val="20"/>
                            <w:szCs w:val="20"/>
                          </w:rPr>
                          <w:t>oise</w:t>
                        </w:r>
                        <w:r>
                          <w:rPr>
                            <w:rFonts w:eastAsia="Calibri"/>
                            <w:sz w:val="20"/>
                            <w:szCs w:val="20"/>
                          </w:rPr>
                          <w:t xml:space="preserve"> n(t)</w:t>
                        </w:r>
                      </w:p>
                    </w:txbxContent>
                  </v:textbox>
                </v:shape>
                <v:rect id="Rectangle 229" o:spid="_x0000_s1030" style="position:absolute;left:1573;top:4742;width:9144;height:31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95WasUA&#10;AADcAAAADwAAAGRycy9kb3ducmV2LnhtbESPT2vCQBTE7wW/w/KE3urGUKRNXUUEIZQeNG0KvT2y&#10;zySYfRuya/58e1cQehxm5jfMejuaRvTUudqyguUiAkFcWF1zqeDn+/DyBsJ5ZI2NZVIwkYPtZva0&#10;xkTbgU/UZ74UAcIuQQWV920ipSsqMugWtiUO3tl2Bn2QXSl1h0OAm0bGUbSSBmsOCxW2tK+ouGRX&#10;o+C1x+M4FWhqm3/ubPqXm6/fXKnn+bj7AOFp9P/hRzvVCuL4He5nwhGQm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3lZqxQAAANwAAAAPAAAAAAAAAAAAAAAAAJgCAABkcnMv&#10;ZG93bnJldi54bWxQSwUGAAAAAAQABAD1AAAAigMAAAAA&#10;" fillcolor="#fff2cc [663]" strokecolor="black [3200]">
                  <v:textbox>
                    <w:txbxContent>
                      <w:p w:rsidR="00E32141" w:rsidRPr="002F6903" w:rsidRDefault="00E32141" w:rsidP="00E32141">
                        <w:pPr>
                          <w:jc w:val="center"/>
                          <w:rPr>
                            <w:sz w:val="20"/>
                          </w:rPr>
                        </w:pPr>
                        <w:r w:rsidRPr="002F6903">
                          <w:rPr>
                            <w:sz w:val="20"/>
                          </w:rPr>
                          <w:t>Transmitter</w:t>
                        </w:r>
                      </w:p>
                    </w:txbxContent>
                  </v:textbox>
                </v:rect>
                <v:rect id="Rectangle 150" o:spid="_x0000_s1031" style="position:absolute;left:14314;top:4742;width:9144;height:32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kukcUA&#10;AADcAAAADwAAAGRycy9kb3ducmV2LnhtbESPT4vCQAzF7wv7HYYseFunLrhKdRR1ETwJ/gE9xk5s&#10;i51M6YzafntzWPCW8F7e+2U6b12lHtSE0rOBQT8BRZx5W3Ju4HhYf49BhYhssfJMBjoKMJ99fkwx&#10;tf7JO3rsY64khEOKBooY61TrkBXkMPR9TSza1TcOo6xNrm2DTwl3lf5Jkl/tsGRpKLCmVUHZbX93&#10;BsJodz/5zXjdbS+X81+3GFyXt8qY3le7mICK1Ma3+f96YwV/KPjyjEygZy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iS6RxQAAANwAAAAPAAAAAAAAAAAAAAAAAJgCAABkcnMv&#10;ZG93bnJldi54bWxQSwUGAAAAAAQABAD1AAAAigMAAAAA&#10;" fillcolor="#ffc000" strokecolor="black [3200]">
                  <v:textbox>
                    <w:txbxContent>
                      <w:p w:rsidR="00E32141" w:rsidRPr="002F6903" w:rsidRDefault="00DE1AA1" w:rsidP="00E32141">
                        <w:pPr>
                          <w:jc w:val="center"/>
                          <w:rPr>
                            <w:sz w:val="20"/>
                          </w:rPr>
                        </w:pPr>
                        <w:r w:rsidRPr="002F6903">
                          <w:rPr>
                            <w:sz w:val="20"/>
                          </w:rPr>
                          <w:t>C</w:t>
                        </w:r>
                        <w:r w:rsidR="00E32141" w:rsidRPr="002F6903">
                          <w:rPr>
                            <w:sz w:val="20"/>
                          </w:rPr>
                          <w:t>hannel</w:t>
                        </w:r>
                        <w:r>
                          <w:rPr>
                            <w:sz w:val="20"/>
                          </w:rPr>
                          <w:t>, h(t)</w:t>
                        </w:r>
                      </w:p>
                    </w:txbxContent>
                  </v:textbox>
                </v:rect>
                <v:rect id="Rectangle 151" o:spid="_x0000_s1032" style="position:absolute;left:33134;top:886;width:9144;height:31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vDyL8A&#10;AADcAAAADwAAAGRycy9kb3ducmV2LnhtbERPTYvCMBC9C/6HMII3TatdkWoUXRC86ipeh2Zsq82k&#10;NNla/70RBG/zeJ+zXHemEi01rrSsIB5HIIgzq0vOFZz+dqM5COeRNVaWScGTHKxX/d4SU20ffKD2&#10;6HMRQtilqKDwvk6ldFlBBt3Y1sSBu9rGoA+wyaVu8BHCTSUnUTSTBksODQXW9FtQdj/+GwXT5BZv&#10;26nUydlfL3n87DbJZavUcNBtFiA8df4r/rj3Osz/ieH9TLhArl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pK8PIvwAAANwAAAAPAAAAAAAAAAAAAAAAAJgCAABkcnMvZG93bnJl&#10;di54bWxQSwUGAAAAAAQABAD1AAAAhAMAAAAA&#10;" fillcolor="#e2efd9 [665]" strokecolor="black [3200]">
                  <v:textbox>
                    <w:txbxContent>
                      <w:p w:rsidR="00E32141" w:rsidRPr="002F6903" w:rsidRDefault="00E32141" w:rsidP="00E32141">
                        <w:pPr>
                          <w:jc w:val="center"/>
                          <w:rPr>
                            <w:sz w:val="20"/>
                          </w:rPr>
                        </w:pPr>
                        <w:r>
                          <w:rPr>
                            <w:sz w:val="20"/>
                          </w:rPr>
                          <w:t>Estimator</w:t>
                        </w:r>
                      </w:p>
                    </w:txbxContent>
                  </v:textbox>
                </v:rect>
                <v:rect id="Rectangle 152" o:spid="_x0000_s1033" style="position:absolute;left:33134;top:8565;width:9144;height:31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vac8MA&#10;AADcAAAADwAAAGRycy9kb3ducmV2LnhtbERP22rCQBB9L/Qflin4VjcKEUndBNta8PKiNh8wZKeb&#10;0Oxsmt1q/HtXEHybw7nOohhsK07U+8axgsk4AUFcOd2wUVB+f73OQfiArLF1TAou5KHIn58WmGl3&#10;5gOdjsGIGMI+QwV1CF0mpa9qsujHriOO3I/rLYYIeyN1j+cYbls5TZKZtNhwbKixo4+aqt/jv1Ww&#10;7apJst9/7lLzXs7KP7PaLNOVUqOXYfkGItAQHuK7e63j/HQKt2fiBTK/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Ovac8MAAADcAAAADwAAAAAAAAAAAAAAAACYAgAAZHJzL2Rv&#10;d25yZXYueG1sUEsFBgAAAAAEAAQA9QAAAIgDAAAAAA==&#10;" fillcolor="#deeaf6 [660]" strokecolor="black [3200]">
                  <v:textbox>
                    <w:txbxContent>
                      <w:p w:rsidR="00E32141" w:rsidRPr="002F6903" w:rsidRDefault="00E32141" w:rsidP="00E32141">
                        <w:pPr>
                          <w:jc w:val="center"/>
                          <w:rPr>
                            <w:sz w:val="20"/>
                          </w:rPr>
                        </w:pPr>
                        <w:r>
                          <w:rPr>
                            <w:sz w:val="20"/>
                          </w:rPr>
                          <w:t>Receiver</w:t>
                        </w:r>
                      </w:p>
                    </w:txbxContent>
                  </v:textbox>
                </v:rect>
                <v:shapetype id="_x0000_t124" coordsize="21600,21600" o:spt="124" path="m10800,qx,10800,10800,21600,21600,10800,10800,xem,10800nfl21600,10800em10800,nfl10800,21600e">
                  <v:path o:extrusionok="f" gradientshapeok="t" o:connecttype="custom" o:connectlocs="10800,0;3163,3163;0,10800;3163,18437;10800,21600;18437,18437;21600,10800;18437,3163" textboxrect="3163,3163,18437,18437"/>
                </v:shapetype>
                <v:shape id="Flowchart: Or 246" o:spid="_x0000_s1034" type="#_x0000_t124" style="position:absolute;left:25862;top:5399;width:1829;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XM0MYA&#10;AADcAAAADwAAAGRycy9kb3ducmV2LnhtbESPT2vCQBTE7wW/w/IEL6KbWgmSuooIJaHtpdFCj4/s&#10;axLMvg3ZzR+/fbdQ6HGYmd8w++NkGjFQ52rLCh7XEQjiwuqaSwXXy8tqB8J5ZI2NZVJwJwfHw+xh&#10;j4m2I3/QkPtSBAi7BBVU3reJlK6oyKBb25Y4eN+2M+iD7EqpOxwD3DRyE0WxNFhzWKiwpXNFxS3v&#10;jYLPoY2W2Veap8u3d33K+8y8Pm2VWsyn0zMIT5P/D/+1M61gs43h90w4AvLw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8XM0MYAAADcAAAADwAAAAAAAAAAAAAAAACYAgAAZHJz&#10;L2Rvd25yZXYueG1sUEsFBgAAAAAEAAQA9QAAAIsDAAAAAA==&#10;" fillcolor="white [3212]" strokecolor="black [3213]">
                  <v:stroke joinstyle="miter"/>
                </v:shape>
                <v:shape id="Straight Arrow Connector 154" o:spid="_x0000_s1035" type="#_x0000_t32" style="position:absolute;left:23458;top:6314;width:2404;height:2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JhGsMAAADcAAAADwAAAGRycy9kb3ducmV2LnhtbERPS2sCMRC+F/wPYYReiiYWFd0apU/1&#10;JLrqfdhMd1c3k2WT6vbfG6HQ23x8z5ktWluJCzW+dKxh0FcgiDNnSs41HPZfvQkIH5ANVo5Jwy95&#10;WMw7DzNMjLvyji5pyEUMYZ+ghiKEOpHSZwVZ9H1XE0fu2zUWQ4RNLk2D1xhuK/ms1FhaLDk2FFjT&#10;e0HZOf2xGpab3Wg1UB/HIZ6eVpPp22e6nSqtH7vt6wuIQG34F/+51ybOHw3h/ky8QM5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fyYRrDAAAA3AAAAA8AAAAAAAAAAAAA&#10;AAAAoQIAAGRycy9kb3ducmV2LnhtbFBLBQYAAAAABAAEAPkAAACRAwAAAAA=&#10;" strokecolor="black [3213]">
                  <v:stroke endarrow="classic" joinstyle="miter"/>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254" o:spid="_x0000_s1036" type="#_x0000_t34" style="position:absolute;left:27691;top:6314;width:5443;height:3851;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iPDuMQAAADcAAAADwAAAGRycy9kb3ducmV2LnhtbESPQWvCQBSE74L/YXmF3nRToyKpq1hL&#10;qVddofT2mn1NQrNvQ3abxH/vCoLHYWa+Ydbbwdaio9ZXjhW8TBMQxLkzFRcKzvpjsgLhA7LB2jEp&#10;uJCH7WY8WmNmXM9H6k6hEBHCPkMFZQhNJqXPS7Lop64hjt6vay2GKNtCmhb7CLe1nCXJUlqsOC6U&#10;2NC+pPzv9G8V6NVPmn5+6z2mb5d+oZ3u7Ne7Us9Pw+4VRKAhPML39sEomC3mcDsTj4DcX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I8O4xAAAANwAAAAPAAAAAAAAAAAA&#10;AAAAAKECAABkcnMvZG93bnJldi54bWxQSwUGAAAAAAQABAD5AAAAkgMAAAAA&#10;" strokecolor="black [3213]" strokeweight=".5pt">
                  <v:stroke endarrow="classic"/>
                </v:shape>
                <v:shape id="Elbow Connector 158" o:spid="_x0000_s1037" type="#_x0000_t34" style="position:absolute;left:27691;top:2485;width:5443;height:3829;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rxQGMYAAADcAAAADwAAAGRycy9kb3ducmV2LnhtbESPzW7CQAyE75X6DitX4lY29A8ILAgR&#10;FVXiVODA0cqaJCLrjbJLCDw9PlTqzdaMZz7Pl72rVUdtqDwbGA0TUMS5txUXBg7779cJqBCRLdae&#10;ycCNAiwXz09zTK2/8i91u1goCeGQooEyxibVOuQlOQxD3xCLdvKtwyhrW2jb4lXCXa3fkuRLO6xY&#10;GkpsaF1Sft5dnIHx6JKtuvs9P6x99jGevu+3m2NmzOClX81ARerjv/nv+scK/qfQyjMygV48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68UBjGAAAA3AAAAA8AAAAAAAAA&#10;AAAAAAAAoQIAAGRycy9kb3ducmV2LnhtbFBLBQYAAAAABAAEAPkAAACUAwAAAAA=&#10;" strokecolor="black [3213]" strokeweight=".5pt">
                  <v:stroke endarrow="classic"/>
                </v:shape>
                <v:shape id="Straight Arrow Connector 159" o:spid="_x0000_s1038" type="#_x0000_t32" style="position:absolute;left:26777;top:7228;width:39;height:368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lWsUAAADcAAAADwAAAGRycy9kb3ducmV2LnhtbERPS2vCQBC+C/6HZQq9mU2FFpu6igg+&#10;KK1oWg/ehuyYBLOzIbvN4993CwVv8/E9Z77sTSVaalxpWcFTFIMgzqwuOVfw/bWZzEA4j6yxskwK&#10;BnKwXIxHc0y07fhEbepzEULYJaig8L5OpHRZQQZdZGviwF1tY9AH2ORSN9iFcFPJaRy/SIMlh4YC&#10;a1oXlN3SH6Pg/djOpltzqvbny22ddZ/px+4wKPX40K/eQHjq/V38797rMP/5Ff6eCRfIx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B/lWsUAAADcAAAADwAAAAAAAAAA&#10;AAAAAAChAgAAZHJzL2Rvd25yZXYueG1sUEsFBgAAAAAEAAQA+QAAAJMDAAAAAA==&#10;" strokecolor="black [3213]">
                  <v:stroke endarrow="classic" joinstyle="miter"/>
                </v:shape>
                <v:shape id="Text Box 22" o:spid="_x0000_s1039" type="#_x0000_t202" style="position:absolute;left:10717;top:2883;width:4461;height:18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28usEA&#10;AADbAAAADwAAAGRycy9kb3ducmV2LnhtbERPTWvCQBC9C/6HZYTedKNEkegqKhTqpdZUeh6yY5I2&#10;O5vubjX+e1coeJvH+5zlujONuJDztWUF41ECgriwuuZSwenzdTgH4QOyxsYyKbiRh/Wq31tipu2V&#10;j3TJQyliCPsMFVQhtJmUvqjIoB/ZljhyZ+sMhghdKbXDaww3jZwkyUwarDk2VNjSrqLiJ/8zCt79&#10;dHf4DfOP/clOv/dfRTpz21Spl0G3WYAI1IWn+N/9puP8FB6/xAPk6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VdvLrBAAAA2wAAAA8AAAAAAAAAAAAAAAAAmAIAAGRycy9kb3du&#10;cmV2LnhtbFBLBQYAAAAABAAEAPUAAACGAwAAAAA=&#10;" fillcolor="white [3201]" stroked="f" strokeweight=".5pt">
                  <v:textbox inset="3.6pt,0,3.6pt,0">
                    <w:txbxContent>
                      <w:p w:rsidR="00DE1AA1" w:rsidRDefault="00DE1AA1" w:rsidP="00E32141">
                        <w:pPr>
                          <w:pStyle w:val="NormalWeb"/>
                          <w:spacing w:before="0" w:beforeAutospacing="0" w:after="0" w:afterAutospacing="0"/>
                        </w:pPr>
                        <w:r>
                          <w:rPr>
                            <w:rFonts w:eastAsia="Calibri"/>
                            <w:sz w:val="20"/>
                            <w:szCs w:val="20"/>
                          </w:rPr>
                          <w:t>x(t)</w:t>
                        </w:r>
                      </w:p>
                    </w:txbxContent>
                  </v:textbox>
                </v:shape>
                <v:shape id="Text Box 22" o:spid="_x0000_s1040" type="#_x0000_t202" style="position:absolute;left:30884;top:5367;width:4461;height:18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EZIcEA&#10;AADbAAAADwAAAGRycy9kb3ducmV2LnhtbERPTWvCQBC9F/wPywi91Y1iRKKrqCDUS62p9DxkxyRt&#10;djbubjX+e1coeJvH+5z5sjONuJDztWUFw0ECgriwuuZSwfFr+zYF4QOyxsYyKbiRh+Wi9zLHTNsr&#10;H+iSh1LEEPYZKqhCaDMpfVGRQT+wLXHkTtYZDBG6UmqH1xhuGjlKkok0WHNsqLClTUXFb/5nFHz4&#10;dLM/h+nn7mjTn913MZ649Vip1363moEI1IWn+N/9ruP8FB6/xAPk4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oRGSHBAAAA2wAAAA8AAAAAAAAAAAAAAAAAmAIAAGRycy9kb3du&#10;cmV2LnhtbFBLBQYAAAAABAAEAPUAAACGAwAAAAA=&#10;" fillcolor="white [3201]" stroked="f" strokeweight=".5pt">
                  <v:textbox inset="3.6pt,0,3.6pt,0">
                    <w:txbxContent>
                      <w:p w:rsidR="00DE1AA1" w:rsidRDefault="00DE1AA1" w:rsidP="00E32141">
                        <w:pPr>
                          <w:pStyle w:val="NormalWeb"/>
                          <w:spacing w:before="0" w:beforeAutospacing="0" w:after="0" w:afterAutospacing="0"/>
                        </w:pPr>
                        <w:r>
                          <w:rPr>
                            <w:rFonts w:eastAsia="Calibri"/>
                            <w:sz w:val="20"/>
                            <w:szCs w:val="20"/>
                          </w:rPr>
                          <w:t>y(t)</w:t>
                        </w:r>
                      </w:p>
                    </w:txbxContent>
                  </v:textbox>
                </v:shape>
                <w10:anchorlock/>
              </v:group>
            </w:pict>
          </mc:Fallback>
        </mc:AlternateContent>
      </w:r>
    </w:p>
    <w:p w:rsidR="00E32141" w:rsidRDefault="00E32141" w:rsidP="00E32141">
      <w:pPr>
        <w:pStyle w:val="Caption"/>
      </w:pPr>
      <w:bookmarkStart w:id="2" w:name="_Ref4664328"/>
      <w:r>
        <w:t xml:space="preserve">Figure </w:t>
      </w:r>
      <w:r w:rsidR="00E454B0">
        <w:rPr>
          <w:noProof/>
        </w:rPr>
        <w:fldChar w:fldCharType="begin"/>
      </w:r>
      <w:r w:rsidR="00E454B0">
        <w:rPr>
          <w:noProof/>
        </w:rPr>
        <w:instrText xml:space="preserve"> SEQ Figure \* ARABIC </w:instrText>
      </w:r>
      <w:r w:rsidR="00E454B0">
        <w:rPr>
          <w:noProof/>
        </w:rPr>
        <w:fldChar w:fldCharType="separate"/>
      </w:r>
      <w:r w:rsidR="00B70999">
        <w:rPr>
          <w:noProof/>
        </w:rPr>
        <w:t>2</w:t>
      </w:r>
      <w:r w:rsidR="00E454B0">
        <w:rPr>
          <w:noProof/>
        </w:rPr>
        <w:fldChar w:fldCharType="end"/>
      </w:r>
      <w:bookmarkEnd w:id="2"/>
      <w:r>
        <w:t xml:space="preserve">. </w:t>
      </w:r>
      <w:r w:rsidR="00DE1AA1">
        <w:t>Simple transceiver architecture</w:t>
      </w:r>
    </w:p>
    <w:p w:rsidR="00E32141" w:rsidRDefault="00E32141" w:rsidP="00E32141">
      <w:pPr>
        <w:pStyle w:val="Caption"/>
        <w:keepNext/>
      </w:pPr>
      <w:r>
        <w:t xml:space="preserve">Table </w:t>
      </w:r>
      <w:r w:rsidR="00E454B0">
        <w:rPr>
          <w:noProof/>
        </w:rPr>
        <w:fldChar w:fldCharType="begin"/>
      </w:r>
      <w:r w:rsidR="00E454B0">
        <w:rPr>
          <w:noProof/>
        </w:rPr>
        <w:instrText xml:space="preserve"> SEQ Table \* ARABIC </w:instrText>
      </w:r>
      <w:r w:rsidR="00E454B0">
        <w:rPr>
          <w:noProof/>
        </w:rPr>
        <w:fldChar w:fldCharType="separate"/>
      </w:r>
      <w:r w:rsidR="00B70999">
        <w:rPr>
          <w:noProof/>
        </w:rPr>
        <w:t>1</w:t>
      </w:r>
      <w:r w:rsidR="00E454B0">
        <w:rPr>
          <w:noProof/>
        </w:rPr>
        <w:fldChar w:fldCharType="end"/>
      </w:r>
      <w:r>
        <w:t>.</w:t>
      </w:r>
      <w:r w:rsidR="00BA07A0">
        <w:t xml:space="preserve"> </w:t>
      </w:r>
    </w:p>
    <w:tbl>
      <w:tblPr>
        <w:tblStyle w:val="TableGrid"/>
        <w:tblW w:w="0" w:type="auto"/>
        <w:jc w:val="center"/>
        <w:tblLook w:val="04A0" w:firstRow="1" w:lastRow="0" w:firstColumn="1" w:lastColumn="0" w:noHBand="0" w:noVBand="1"/>
      </w:tblPr>
      <w:tblGrid>
        <w:gridCol w:w="1558"/>
        <w:gridCol w:w="1558"/>
        <w:gridCol w:w="1558"/>
        <w:gridCol w:w="1558"/>
      </w:tblGrid>
      <w:tr w:rsidR="008F1B61" w:rsidTr="008F1B61">
        <w:trPr>
          <w:jc w:val="center"/>
        </w:trPr>
        <w:tc>
          <w:tcPr>
            <w:tcW w:w="1558" w:type="dxa"/>
          </w:tcPr>
          <w:p w:rsidR="008F1B61" w:rsidRDefault="008F1B61" w:rsidP="008F1B61">
            <w:pPr>
              <w:pStyle w:val="TableCell"/>
            </w:pPr>
            <w:r>
              <w:t>SCS</w:t>
            </w:r>
          </w:p>
        </w:tc>
        <w:tc>
          <w:tcPr>
            <w:tcW w:w="1558" w:type="dxa"/>
          </w:tcPr>
          <w:p w:rsidR="008F1B61" w:rsidRDefault="008F1B61" w:rsidP="008F1B61">
            <w:pPr>
              <w:pStyle w:val="TableCell"/>
            </w:pPr>
            <w:r>
              <w:t>Duration (µs)</w:t>
            </w:r>
          </w:p>
        </w:tc>
        <w:tc>
          <w:tcPr>
            <w:tcW w:w="1558" w:type="dxa"/>
          </w:tcPr>
          <w:p w:rsidR="008F1B61" w:rsidRDefault="0059671A" w:rsidP="008F1B61">
            <w:pPr>
              <w:pStyle w:val="TableCell"/>
            </w:pPr>
            <w:r>
              <w:t>1/8</w:t>
            </w:r>
            <w:r w:rsidR="008F1B61">
              <w:t xml:space="preserve"> symbol (µs)</w:t>
            </w:r>
          </w:p>
        </w:tc>
        <w:tc>
          <w:tcPr>
            <w:tcW w:w="1558" w:type="dxa"/>
          </w:tcPr>
          <w:p w:rsidR="008F1B61" w:rsidRDefault="0059671A" w:rsidP="008F1B61">
            <w:pPr>
              <w:pStyle w:val="TableCell"/>
            </w:pPr>
            <w:r>
              <w:t xml:space="preserve">¼ </w:t>
            </w:r>
            <w:r w:rsidR="008F1B61">
              <w:t>symbol (µs)</w:t>
            </w:r>
          </w:p>
        </w:tc>
      </w:tr>
      <w:tr w:rsidR="0059671A" w:rsidTr="008F1B61">
        <w:trPr>
          <w:jc w:val="center"/>
        </w:trPr>
        <w:tc>
          <w:tcPr>
            <w:tcW w:w="1558" w:type="dxa"/>
          </w:tcPr>
          <w:p w:rsidR="0059671A" w:rsidRDefault="0059671A" w:rsidP="0059671A">
            <w:pPr>
              <w:pStyle w:val="TableCell"/>
            </w:pPr>
            <w:r>
              <w:t>15 kHz</w:t>
            </w:r>
          </w:p>
        </w:tc>
        <w:tc>
          <w:tcPr>
            <w:tcW w:w="1558" w:type="dxa"/>
          </w:tcPr>
          <w:p w:rsidR="0059671A" w:rsidRDefault="0059671A" w:rsidP="0059671A">
            <w:pPr>
              <w:pStyle w:val="TableCell"/>
            </w:pPr>
            <w:r>
              <w:t>71.4</w:t>
            </w:r>
          </w:p>
        </w:tc>
        <w:tc>
          <w:tcPr>
            <w:tcW w:w="1558" w:type="dxa"/>
          </w:tcPr>
          <w:p w:rsidR="0059671A" w:rsidRDefault="0059671A" w:rsidP="0059671A">
            <w:pPr>
              <w:pStyle w:val="TableCell"/>
            </w:pPr>
            <w:r>
              <w:t>9</w:t>
            </w:r>
          </w:p>
        </w:tc>
        <w:tc>
          <w:tcPr>
            <w:tcW w:w="1558" w:type="dxa"/>
          </w:tcPr>
          <w:p w:rsidR="0059671A" w:rsidRDefault="0059671A" w:rsidP="0059671A">
            <w:pPr>
              <w:pStyle w:val="TableCell"/>
            </w:pPr>
            <w:r>
              <w:t>17.9</w:t>
            </w:r>
          </w:p>
        </w:tc>
      </w:tr>
      <w:tr w:rsidR="0059671A" w:rsidTr="008F1B61">
        <w:trPr>
          <w:jc w:val="center"/>
        </w:trPr>
        <w:tc>
          <w:tcPr>
            <w:tcW w:w="1558" w:type="dxa"/>
          </w:tcPr>
          <w:p w:rsidR="0059671A" w:rsidRDefault="0059671A" w:rsidP="0059671A">
            <w:pPr>
              <w:pStyle w:val="TableCell"/>
            </w:pPr>
            <w:r>
              <w:t>30 kHz</w:t>
            </w:r>
          </w:p>
        </w:tc>
        <w:tc>
          <w:tcPr>
            <w:tcW w:w="1558" w:type="dxa"/>
          </w:tcPr>
          <w:p w:rsidR="0059671A" w:rsidRDefault="0059671A" w:rsidP="0059671A">
            <w:pPr>
              <w:pStyle w:val="TableCell"/>
            </w:pPr>
            <w:r>
              <w:t>35.7</w:t>
            </w:r>
          </w:p>
        </w:tc>
        <w:tc>
          <w:tcPr>
            <w:tcW w:w="1558" w:type="dxa"/>
          </w:tcPr>
          <w:p w:rsidR="0059671A" w:rsidRDefault="0059671A" w:rsidP="0059671A">
            <w:pPr>
              <w:pStyle w:val="TableCell"/>
            </w:pPr>
            <w:r>
              <w:t>4.5</w:t>
            </w:r>
          </w:p>
        </w:tc>
        <w:tc>
          <w:tcPr>
            <w:tcW w:w="1558" w:type="dxa"/>
          </w:tcPr>
          <w:p w:rsidR="0059671A" w:rsidRDefault="0059671A" w:rsidP="0059671A">
            <w:pPr>
              <w:pStyle w:val="TableCell"/>
            </w:pPr>
            <w:r>
              <w:t>8.9</w:t>
            </w:r>
          </w:p>
        </w:tc>
      </w:tr>
      <w:tr w:rsidR="0059671A" w:rsidTr="008F1B61">
        <w:trPr>
          <w:jc w:val="center"/>
        </w:trPr>
        <w:tc>
          <w:tcPr>
            <w:tcW w:w="1558" w:type="dxa"/>
          </w:tcPr>
          <w:p w:rsidR="0059671A" w:rsidRDefault="0059671A" w:rsidP="0059671A">
            <w:pPr>
              <w:pStyle w:val="TableCell"/>
            </w:pPr>
            <w:r>
              <w:t>60 kHz</w:t>
            </w:r>
          </w:p>
        </w:tc>
        <w:tc>
          <w:tcPr>
            <w:tcW w:w="1558" w:type="dxa"/>
          </w:tcPr>
          <w:p w:rsidR="0059671A" w:rsidRDefault="0059671A" w:rsidP="0059671A">
            <w:pPr>
              <w:pStyle w:val="TableCell"/>
            </w:pPr>
            <w:r>
              <w:t>17.9</w:t>
            </w:r>
          </w:p>
        </w:tc>
        <w:tc>
          <w:tcPr>
            <w:tcW w:w="1558" w:type="dxa"/>
          </w:tcPr>
          <w:p w:rsidR="0059671A" w:rsidRDefault="0059671A" w:rsidP="0059671A">
            <w:pPr>
              <w:pStyle w:val="TableCell"/>
            </w:pPr>
            <w:r>
              <w:t>2.3</w:t>
            </w:r>
          </w:p>
        </w:tc>
        <w:tc>
          <w:tcPr>
            <w:tcW w:w="1558" w:type="dxa"/>
          </w:tcPr>
          <w:p w:rsidR="0059671A" w:rsidRDefault="0059671A" w:rsidP="0059671A">
            <w:pPr>
              <w:pStyle w:val="TableCell"/>
            </w:pPr>
            <w:r>
              <w:t>4.5</w:t>
            </w:r>
          </w:p>
        </w:tc>
      </w:tr>
    </w:tbl>
    <w:p w:rsidR="008F1B61" w:rsidRDefault="008F1B61" w:rsidP="00EE7989"/>
    <w:p w:rsidR="00E32141" w:rsidRDefault="00E32141" w:rsidP="00EE7989">
      <w:r>
        <w:t>Since the duration of the symbol is related to the numerology, the estimation time should be related to the numerology.</w:t>
      </w:r>
      <w:r w:rsidR="0059671A">
        <w:t xml:space="preserve"> </w:t>
      </w:r>
    </w:p>
    <w:p w:rsidR="00E32141" w:rsidRPr="00E32141" w:rsidRDefault="00E32141" w:rsidP="00EE7989">
      <w:pPr>
        <w:rPr>
          <w:b/>
          <w:i/>
        </w:rPr>
      </w:pPr>
      <w:r w:rsidRPr="00E32141">
        <w:rPr>
          <w:b/>
          <w:i/>
        </w:rPr>
        <w:t>Observation 1: the estimation time should be captured as a function of numerology</w:t>
      </w:r>
    </w:p>
    <w:p w:rsidR="00A029FF" w:rsidRDefault="002F6903" w:rsidP="00EE7989">
      <w:r>
        <w:t>The received signal</w:t>
      </w:r>
      <w:r w:rsidR="000F4CE4">
        <w:t xml:space="preserve"> </w:t>
      </w:r>
      <w:r w:rsidR="000F4CE4" w:rsidRPr="000F4CE4">
        <w:rPr>
          <w:i/>
        </w:rPr>
        <w:t>y</w:t>
      </w:r>
      <w:r w:rsidR="000F4CE4">
        <w:t>(</w:t>
      </w:r>
      <w:r w:rsidR="000F4CE4" w:rsidRPr="000F4CE4">
        <w:rPr>
          <w:i/>
        </w:rPr>
        <w:t>t</w:t>
      </w:r>
      <w:r w:rsidR="000F4CE4">
        <w:t>)</w:t>
      </w:r>
      <w:r w:rsidR="00E32141">
        <w:t xml:space="preserve"> in </w:t>
      </w:r>
      <w:r w:rsidR="00E32141">
        <w:fldChar w:fldCharType="begin"/>
      </w:r>
      <w:r w:rsidR="00E32141">
        <w:instrText xml:space="preserve"> REF _Ref4664328 \h </w:instrText>
      </w:r>
      <w:r w:rsidR="00E32141">
        <w:fldChar w:fldCharType="separate"/>
      </w:r>
      <w:r w:rsidR="00B70999">
        <w:t xml:space="preserve">Figure </w:t>
      </w:r>
      <w:r w:rsidR="00B70999">
        <w:rPr>
          <w:noProof/>
        </w:rPr>
        <w:t>2</w:t>
      </w:r>
      <w:r w:rsidR="00E32141">
        <w:fldChar w:fldCharType="end"/>
      </w:r>
      <w:r w:rsidR="00E32141">
        <w:t xml:space="preserve"> is</w:t>
      </w:r>
    </w:p>
    <w:p w:rsidR="000F4CE4" w:rsidRPr="00443536" w:rsidRDefault="000F4CE4" w:rsidP="000F4CE4">
      <m:oMathPara>
        <m:oMath>
          <m:r>
            <w:rPr>
              <w:rFonts w:ascii="Cambria Math" w:eastAsiaTheme="minorEastAsia" w:hAnsi="Cambria Math"/>
            </w:rPr>
            <m:t>y</m:t>
          </m:r>
          <m:d>
            <m:dPr>
              <m:ctrlPr>
                <w:rPr>
                  <w:rFonts w:ascii="Cambria Math" w:hAnsi="Cambria Math"/>
                  <w:i/>
                </w:rPr>
              </m:ctrlPr>
            </m:dPr>
            <m:e>
              <m:r>
                <w:rPr>
                  <w:rFonts w:ascii="Cambria Math" w:hAnsi="Cambria Math"/>
                </w:rPr>
                <m:t>t</m:t>
              </m:r>
            </m:e>
          </m:d>
          <m:r>
            <w:rPr>
              <w:rFonts w:ascii="Cambria Math" w:hAnsi="Cambria Math"/>
            </w:rPr>
            <m:t>=α</m:t>
          </m:r>
          <m:d>
            <m:dPr>
              <m:ctrlPr>
                <w:rPr>
                  <w:rFonts w:ascii="Cambria Math" w:hAnsi="Cambria Math"/>
                  <w:i/>
                </w:rPr>
              </m:ctrlPr>
            </m:dPr>
            <m:e>
              <m:r>
                <w:rPr>
                  <w:rFonts w:ascii="Cambria Math" w:hAnsi="Cambria Math"/>
                </w:rPr>
                <m:t>x*h</m:t>
              </m:r>
            </m:e>
          </m:d>
          <m:d>
            <m:dPr>
              <m:ctrlPr>
                <w:rPr>
                  <w:rFonts w:ascii="Cambria Math" w:hAnsi="Cambria Math"/>
                  <w:i/>
                </w:rPr>
              </m:ctrlPr>
            </m:dPr>
            <m:e>
              <m:r>
                <w:rPr>
                  <w:rFonts w:ascii="Cambria Math" w:hAnsi="Cambria Math"/>
                </w:rPr>
                <m:t>t</m:t>
              </m:r>
            </m:e>
          </m:d>
          <m:r>
            <w:rPr>
              <w:rFonts w:ascii="Cambria Math" w:hAnsi="Cambria Math"/>
            </w:rPr>
            <m:t>+n</m:t>
          </m:r>
          <m:d>
            <m:dPr>
              <m:ctrlPr>
                <w:rPr>
                  <w:rFonts w:ascii="Cambria Math" w:hAnsi="Cambria Math"/>
                  <w:i/>
                </w:rPr>
              </m:ctrlPr>
            </m:dPr>
            <m:e>
              <m:r>
                <w:rPr>
                  <w:rFonts w:ascii="Cambria Math" w:hAnsi="Cambria Math"/>
                </w:rPr>
                <m:t>t</m:t>
              </m:r>
            </m:e>
          </m:d>
        </m:oMath>
      </m:oMathPara>
    </w:p>
    <w:p w:rsidR="000F4CE4" w:rsidRDefault="00E32141" w:rsidP="00EE7989">
      <w:r>
        <w:lastRenderedPageBreak/>
        <w:t>w</w:t>
      </w:r>
      <w:r w:rsidR="000F4CE4">
        <w:t xml:space="preserve">here α is the path loss, </w:t>
      </w:r>
      <w:r w:rsidR="000F4CE4" w:rsidRPr="000F4CE4">
        <w:rPr>
          <w:i/>
        </w:rPr>
        <w:t>h</w:t>
      </w:r>
      <w:r w:rsidR="000F4CE4">
        <w:t>(</w:t>
      </w:r>
      <w:r w:rsidR="000F4CE4" w:rsidRPr="000F4CE4">
        <w:rPr>
          <w:i/>
        </w:rPr>
        <w:t>t</w:t>
      </w:r>
      <w:r w:rsidR="000F4CE4">
        <w:t xml:space="preserve">) is the channel, </w:t>
      </w:r>
      <w:r w:rsidR="000F4CE4">
        <w:rPr>
          <w:i/>
        </w:rPr>
        <w:t>x</w:t>
      </w:r>
      <w:r w:rsidR="000F4CE4">
        <w:t>(</w:t>
      </w:r>
      <w:r w:rsidR="000F4CE4" w:rsidRPr="000F4CE4">
        <w:rPr>
          <w:i/>
        </w:rPr>
        <w:t>t</w:t>
      </w:r>
      <w:r w:rsidR="000F4CE4">
        <w:t xml:space="preserve">) is the transmitted signal, and </w:t>
      </w:r>
      <w:r w:rsidR="000F4CE4">
        <w:rPr>
          <w:i/>
        </w:rPr>
        <w:t>n</w:t>
      </w:r>
      <w:r w:rsidR="000F4CE4">
        <w:t>(</w:t>
      </w:r>
      <w:r w:rsidR="000F4CE4" w:rsidRPr="000F4CE4">
        <w:rPr>
          <w:i/>
        </w:rPr>
        <w:t>t</w:t>
      </w:r>
      <w:r w:rsidR="000F4CE4">
        <w:t xml:space="preserve">) represents Gaussian noise. When considering the power, </w:t>
      </w:r>
    </w:p>
    <w:p w:rsidR="000F4CE4" w:rsidRPr="00443536" w:rsidRDefault="00E454B0" w:rsidP="000F4CE4">
      <m:oMathPara>
        <m:oMath>
          <m:sSup>
            <m:sSupPr>
              <m:ctrlPr>
                <w:rPr>
                  <w:rFonts w:ascii="Cambria Math" w:eastAsiaTheme="minorEastAsia" w:hAnsi="Cambria Math"/>
                  <w:i/>
                </w:rPr>
              </m:ctrlPr>
            </m:sSupPr>
            <m:e>
              <m:d>
                <m:dPr>
                  <m:begChr m:val="|"/>
                  <m:endChr m:val="|"/>
                  <m:ctrlPr>
                    <w:rPr>
                      <w:rFonts w:ascii="Cambria Math" w:eastAsiaTheme="minorEastAsia" w:hAnsi="Cambria Math"/>
                      <w:i/>
                    </w:rPr>
                  </m:ctrlPr>
                </m:dPr>
                <m:e>
                  <m:r>
                    <w:rPr>
                      <w:rFonts w:ascii="Cambria Math" w:eastAsiaTheme="minorEastAsia" w:hAnsi="Cambria Math"/>
                    </w:rPr>
                    <m:t>Y</m:t>
                  </m:r>
                  <m:d>
                    <m:dPr>
                      <m:ctrlPr>
                        <w:rPr>
                          <w:rFonts w:ascii="Cambria Math" w:hAnsi="Cambria Math"/>
                          <w:i/>
                        </w:rPr>
                      </m:ctrlPr>
                    </m:dPr>
                    <m:e>
                      <m:r>
                        <w:rPr>
                          <w:rFonts w:ascii="Cambria Math" w:hAnsi="Cambria Math"/>
                        </w:rPr>
                        <m:t>f</m:t>
                      </m:r>
                    </m:e>
                  </m:d>
                </m:e>
              </m:d>
            </m:e>
            <m:sup>
              <m:r>
                <w:rPr>
                  <w:rFonts w:ascii="Cambria Math" w:eastAsiaTheme="minorEastAsia" w:hAnsi="Cambria Math"/>
                </w:rPr>
                <m:t>2</m:t>
              </m:r>
            </m:sup>
          </m:sSup>
          <m:r>
            <w:rPr>
              <w:rFonts w:ascii="Cambria Math" w:hAnsi="Cambria Math"/>
            </w:rPr>
            <m:t>=</m:t>
          </m:r>
          <m:sSup>
            <m:sSupPr>
              <m:ctrlPr>
                <w:rPr>
                  <w:rFonts w:ascii="Cambria Math" w:eastAsiaTheme="minorEastAsia" w:hAnsi="Cambria Math"/>
                  <w:i/>
                </w:rPr>
              </m:ctrlPr>
            </m:sSupPr>
            <m:e>
              <m:d>
                <m:dPr>
                  <m:begChr m:val="|"/>
                  <m:endChr m:val="|"/>
                  <m:ctrlPr>
                    <w:rPr>
                      <w:rFonts w:ascii="Cambria Math" w:eastAsiaTheme="minorEastAsia" w:hAnsi="Cambria Math"/>
                      <w:i/>
                    </w:rPr>
                  </m:ctrlPr>
                </m:dPr>
                <m:e>
                  <m:r>
                    <w:rPr>
                      <w:rFonts w:ascii="Cambria Math" w:hAnsi="Cambria Math"/>
                    </w:rPr>
                    <m:t>α</m:t>
                  </m:r>
                </m:e>
              </m:d>
            </m:e>
            <m:sup>
              <m:r>
                <w:rPr>
                  <w:rFonts w:ascii="Cambria Math" w:eastAsiaTheme="minorEastAsia" w:hAnsi="Cambria Math"/>
                </w:rPr>
                <m:t>2</m:t>
              </m:r>
            </m:sup>
          </m:sSup>
          <m:nary>
            <m:naryPr>
              <m:limLoc m:val="undOvr"/>
              <m:subHide m:val="1"/>
              <m:supHide m:val="1"/>
              <m:ctrlPr>
                <w:rPr>
                  <w:rFonts w:ascii="Cambria Math" w:hAnsi="Cambria Math"/>
                  <w:i/>
                </w:rPr>
              </m:ctrlPr>
            </m:naryPr>
            <m:sub/>
            <m:sup/>
            <m:e>
              <m:sSup>
                <m:sSupPr>
                  <m:ctrlPr>
                    <w:rPr>
                      <w:rFonts w:ascii="Cambria Math" w:eastAsiaTheme="minorEastAsia" w:hAnsi="Cambria Math"/>
                      <w:i/>
                    </w:rPr>
                  </m:ctrlPr>
                </m:sSupPr>
                <m:e>
                  <m:d>
                    <m:dPr>
                      <m:begChr m:val="|"/>
                      <m:endChr m:val="|"/>
                      <m:ctrlPr>
                        <w:rPr>
                          <w:rFonts w:ascii="Cambria Math" w:eastAsiaTheme="minorEastAsia" w:hAnsi="Cambria Math"/>
                          <w:i/>
                        </w:rPr>
                      </m:ctrlPr>
                    </m:dPr>
                    <m:e>
                      <m:r>
                        <w:rPr>
                          <w:rFonts w:ascii="Cambria Math" w:hAnsi="Cambria Math"/>
                        </w:rPr>
                        <m:t>X</m:t>
                      </m:r>
                      <m:d>
                        <m:dPr>
                          <m:ctrlPr>
                            <w:rPr>
                              <w:rFonts w:ascii="Cambria Math" w:hAnsi="Cambria Math"/>
                              <w:i/>
                            </w:rPr>
                          </m:ctrlPr>
                        </m:dPr>
                        <m:e>
                          <m:r>
                            <w:rPr>
                              <w:rFonts w:ascii="Cambria Math" w:hAnsi="Cambria Math"/>
                            </w:rPr>
                            <m:t>ω</m:t>
                          </m:r>
                        </m:e>
                      </m:d>
                    </m:e>
                  </m:d>
                </m:e>
                <m:sup>
                  <m:r>
                    <w:rPr>
                      <w:rFonts w:ascii="Cambria Math" w:eastAsiaTheme="minorEastAsia" w:hAnsi="Cambria Math"/>
                    </w:rPr>
                    <m:t>2</m:t>
                  </m:r>
                </m:sup>
              </m:sSup>
              <m:sSup>
                <m:sSupPr>
                  <m:ctrlPr>
                    <w:rPr>
                      <w:rFonts w:ascii="Cambria Math" w:eastAsiaTheme="minorEastAsia" w:hAnsi="Cambria Math"/>
                      <w:i/>
                    </w:rPr>
                  </m:ctrlPr>
                </m:sSupPr>
                <m:e>
                  <m:d>
                    <m:dPr>
                      <m:begChr m:val="|"/>
                      <m:endChr m:val="|"/>
                      <m:ctrlPr>
                        <w:rPr>
                          <w:rFonts w:ascii="Cambria Math" w:eastAsiaTheme="minorEastAsia" w:hAnsi="Cambria Math"/>
                          <w:i/>
                        </w:rPr>
                      </m:ctrlPr>
                    </m:dPr>
                    <m:e>
                      <m:r>
                        <w:rPr>
                          <w:rFonts w:ascii="Cambria Math" w:hAnsi="Cambria Math"/>
                        </w:rPr>
                        <m:t>H</m:t>
                      </m:r>
                      <m:d>
                        <m:dPr>
                          <m:ctrlPr>
                            <w:rPr>
                              <w:rFonts w:ascii="Cambria Math" w:hAnsi="Cambria Math"/>
                              <w:i/>
                            </w:rPr>
                          </m:ctrlPr>
                        </m:dPr>
                        <m:e>
                          <m:r>
                            <w:rPr>
                              <w:rFonts w:ascii="Cambria Math" w:hAnsi="Cambria Math"/>
                            </w:rPr>
                            <m:t>ω</m:t>
                          </m:r>
                        </m:e>
                      </m:d>
                    </m:e>
                  </m:d>
                </m:e>
                <m:sup>
                  <m:r>
                    <w:rPr>
                      <w:rFonts w:ascii="Cambria Math" w:eastAsiaTheme="minorEastAsia" w:hAnsi="Cambria Math"/>
                    </w:rPr>
                    <m:t>2</m:t>
                  </m:r>
                </m:sup>
              </m:sSup>
              <m:r>
                <w:rPr>
                  <w:rFonts w:ascii="Cambria Math" w:eastAsiaTheme="minorEastAsia" w:hAnsi="Cambria Math"/>
                </w:rPr>
                <m:t>dω</m:t>
              </m:r>
            </m:e>
          </m:nary>
          <m:r>
            <w:rPr>
              <w:rFonts w:ascii="Cambria Math" w:hAnsi="Cambria Math"/>
            </w:rPr>
            <m:t>+N</m:t>
          </m:r>
        </m:oMath>
      </m:oMathPara>
    </w:p>
    <w:p w:rsidR="00B70999" w:rsidRDefault="00422028" w:rsidP="00EE7989">
      <w:r>
        <w:t xml:space="preserve">the effect of the channel becomes apparent. Although statistically the channel has unit gain, fading on a narrowband channel </w:t>
      </w:r>
      <w:r w:rsidR="00E32141">
        <w:t xml:space="preserve">affects the quality of the estimate in contrast to a </w:t>
      </w:r>
      <w:r>
        <w:t>wideband channel</w:t>
      </w:r>
      <w:r w:rsidR="00E32141">
        <w:t xml:space="preserve"> where the fading is averaged over the bandwidth</w:t>
      </w:r>
      <w:r>
        <w:t xml:space="preserve">. </w:t>
      </w:r>
      <w:r w:rsidR="00B70999">
        <w:t xml:space="preserve">This implies </w:t>
      </w:r>
      <w:r w:rsidR="00BA07A0">
        <w:t xml:space="preserve">a </w:t>
      </w:r>
      <w:r w:rsidR="00B70999">
        <w:t xml:space="preserve">longer duration </w:t>
      </w:r>
      <w:r w:rsidR="00BA07A0">
        <w:t xml:space="preserve">for estimation </w:t>
      </w:r>
      <w:r w:rsidR="00B70999">
        <w:t xml:space="preserve">is needed for a narrow bandwidth signal (as results in </w:t>
      </w:r>
      <w:r w:rsidR="00B70999">
        <w:fldChar w:fldCharType="begin"/>
      </w:r>
      <w:r w:rsidR="00B70999">
        <w:instrText xml:space="preserve"> REF _Ref4664783 \r \h </w:instrText>
      </w:r>
      <w:r w:rsidR="00B70999">
        <w:fldChar w:fldCharType="separate"/>
      </w:r>
      <w:r w:rsidR="00B70999">
        <w:t>[3]</w:t>
      </w:r>
      <w:r w:rsidR="00B70999">
        <w:fldChar w:fldCharType="end"/>
      </w:r>
      <w:r w:rsidR="00B70999">
        <w:t xml:space="preserve"> have shown).</w:t>
      </w:r>
      <w:r w:rsidR="00A029FF">
        <w:t xml:space="preserve"> </w:t>
      </w:r>
    </w:p>
    <w:p w:rsidR="00B70999" w:rsidRDefault="00B70999" w:rsidP="00EE7989">
      <w:r>
        <w:t xml:space="preserve">From the TR </w:t>
      </w:r>
      <w:r>
        <w:fldChar w:fldCharType="begin"/>
      </w:r>
      <w:r>
        <w:instrText xml:space="preserve"> REF _Ref4486133 \r \h </w:instrText>
      </w:r>
      <w:r>
        <w:fldChar w:fldCharType="separate"/>
      </w:r>
      <w:r>
        <w:t>[4]</w:t>
      </w:r>
      <w:r>
        <w:fldChar w:fldCharType="end"/>
      </w:r>
      <w:r>
        <w:t>, t</w:t>
      </w:r>
      <w:r w:rsidRPr="00B70999">
        <w:t xml:space="preserve">he smallest packet size </w:t>
      </w:r>
      <w:r w:rsidR="00794F20">
        <w:t xml:space="preserve">assumed </w:t>
      </w:r>
      <w:r>
        <w:t xml:space="preserve">in the study </w:t>
      </w:r>
      <w:r w:rsidRPr="00B70999">
        <w:t xml:space="preserve">is 190 bytes. </w:t>
      </w:r>
      <w:r>
        <w:t xml:space="preserve">With </w:t>
      </w:r>
      <w:r w:rsidRPr="00B70999">
        <w:t>rate 2/3 coding</w:t>
      </w:r>
      <w:r>
        <w:t>, t</w:t>
      </w:r>
      <w:r w:rsidRPr="00B70999">
        <w:t>he coded packet size is 2280 bits</w:t>
      </w:r>
      <w:r>
        <w:t>.</w:t>
      </w:r>
      <w:r w:rsidRPr="00B70999">
        <w:t xml:space="preserve"> </w:t>
      </w:r>
      <w:r>
        <w:t>Based on</w:t>
      </w:r>
      <w:r w:rsidRPr="00B70999">
        <w:t xml:space="preserve"> 8 symbols available for the shared channel</w:t>
      </w:r>
      <w:r>
        <w:t xml:space="preserve"> (which is used in LTE)</w:t>
      </w:r>
      <w:r w:rsidRPr="00B70999">
        <w:t xml:space="preserve">, about 12 RBs and 6 RBs are needed for QPSK and 16QAM, respectively. </w:t>
      </w:r>
      <w:r w:rsidR="00671B29">
        <w:t>12 RBs with 60 kHz SCS is about 9 MHz (half the bandwidth of a 20 MHz carrier) whereas with 15 kHz SCS, one-eighth the bandwidth is used. The combination of smaller bandwidth and smaller SCS implies a longer estimation time is needed for 15 kHz SCS.</w:t>
      </w:r>
    </w:p>
    <w:p w:rsidR="0059671A" w:rsidRDefault="007E758E" w:rsidP="00EE7989">
      <w:r>
        <w:t>In option 1 of the WF, a fixed bandwidth is proposed for all three SCS. That implies the payload decreases as the SCS increases. However given that the payload is generally independent of the SCS, the same payload should be used for all SCS.</w:t>
      </w:r>
    </w:p>
    <w:p w:rsidR="00671B29" w:rsidRPr="00671B29" w:rsidRDefault="00671B29" w:rsidP="00EE7989">
      <w:pPr>
        <w:rPr>
          <w:b/>
          <w:i/>
        </w:rPr>
      </w:pPr>
      <w:r w:rsidRPr="00671B29">
        <w:rPr>
          <w:b/>
          <w:i/>
        </w:rPr>
        <w:t xml:space="preserve">Proposal 1: </w:t>
      </w:r>
      <w:r w:rsidR="00794F20">
        <w:rPr>
          <w:b/>
          <w:i/>
        </w:rPr>
        <w:t>T</w:t>
      </w:r>
      <w:r w:rsidRPr="00671B29">
        <w:rPr>
          <w:b/>
          <w:i/>
        </w:rPr>
        <w:t>ypical payload sizes should be used as the baseline for the estimation time</w:t>
      </w:r>
      <w:r w:rsidR="00BA07A0">
        <w:rPr>
          <w:b/>
          <w:i/>
        </w:rPr>
        <w:t xml:space="preserve"> for each numerology</w:t>
      </w:r>
      <w:r w:rsidRPr="00671B29">
        <w:rPr>
          <w:b/>
          <w:i/>
        </w:rPr>
        <w:t>.</w:t>
      </w:r>
      <w:r w:rsidR="00BA07A0">
        <w:rPr>
          <w:b/>
          <w:i/>
        </w:rPr>
        <w:t xml:space="preserve"> </w:t>
      </w:r>
    </w:p>
    <w:p w:rsidR="00BE64AE" w:rsidRDefault="00BE64AE" w:rsidP="00671B29">
      <w:pPr>
        <w:pStyle w:val="Heading1"/>
      </w:pPr>
      <w:r>
        <w:t>Conclusion</w:t>
      </w:r>
    </w:p>
    <w:p w:rsidR="00DE1AA1" w:rsidRPr="00DE1AA1" w:rsidRDefault="00DE1AA1" w:rsidP="00DE1AA1">
      <w:r>
        <w:t>Based on analysis, the estimation time was examined and shown to vary as function of numerology.</w:t>
      </w:r>
    </w:p>
    <w:p w:rsidR="00DE1AA1" w:rsidRPr="00E32141" w:rsidRDefault="00DE1AA1" w:rsidP="00DE1AA1">
      <w:pPr>
        <w:rPr>
          <w:b/>
          <w:i/>
        </w:rPr>
      </w:pPr>
      <w:r w:rsidRPr="00E32141">
        <w:rPr>
          <w:b/>
          <w:i/>
        </w:rPr>
        <w:t>Observation 1: the estimation time should be captured as a function of numerology</w:t>
      </w:r>
    </w:p>
    <w:p w:rsidR="00DE1AA1" w:rsidRPr="00DE1AA1" w:rsidRDefault="00DE1AA1" w:rsidP="00DE1AA1">
      <w:r>
        <w:t>Another aspect for the estimation time is to use representative size for the payload</w:t>
      </w:r>
    </w:p>
    <w:p w:rsidR="00DE1AA1" w:rsidRPr="00671B29" w:rsidRDefault="00DE1AA1" w:rsidP="00DE1AA1">
      <w:pPr>
        <w:rPr>
          <w:b/>
          <w:i/>
        </w:rPr>
      </w:pPr>
      <w:r w:rsidRPr="00671B29">
        <w:rPr>
          <w:b/>
          <w:i/>
        </w:rPr>
        <w:t xml:space="preserve">Proposal 1: </w:t>
      </w:r>
      <w:r>
        <w:rPr>
          <w:b/>
          <w:i/>
        </w:rPr>
        <w:t>T</w:t>
      </w:r>
      <w:r w:rsidRPr="00671B29">
        <w:rPr>
          <w:b/>
          <w:i/>
        </w:rPr>
        <w:t>ypical payload sizes should be used as the baseline for the estimation time</w:t>
      </w:r>
      <w:r>
        <w:rPr>
          <w:b/>
          <w:i/>
        </w:rPr>
        <w:t xml:space="preserve"> for each numerology</w:t>
      </w:r>
      <w:r w:rsidRPr="00671B29">
        <w:rPr>
          <w:b/>
          <w:i/>
        </w:rPr>
        <w:t>.</w:t>
      </w:r>
      <w:r>
        <w:rPr>
          <w:b/>
          <w:i/>
        </w:rPr>
        <w:t xml:space="preserve"> </w:t>
      </w:r>
    </w:p>
    <w:p w:rsidR="00DE1AA1" w:rsidRPr="00DE1AA1" w:rsidRDefault="00DE1AA1" w:rsidP="00DE1AA1"/>
    <w:p w:rsidR="004E7999" w:rsidRPr="009B7A86" w:rsidRDefault="00B56A66" w:rsidP="00B56A66">
      <w:pPr>
        <w:pStyle w:val="Heading1"/>
        <w:numPr>
          <w:ilvl w:val="0"/>
          <w:numId w:val="0"/>
        </w:numPr>
        <w:ind w:left="432" w:hanging="432"/>
      </w:pPr>
      <w:r w:rsidRPr="009B7A86">
        <w:t>References</w:t>
      </w:r>
    </w:p>
    <w:p w:rsidR="008B1CB2" w:rsidRPr="00B70999" w:rsidRDefault="008B1CB2" w:rsidP="008B1CB2">
      <w:pPr>
        <w:pStyle w:val="References"/>
      </w:pPr>
      <w:bookmarkStart w:id="3" w:name="_Ref4136200"/>
      <w:r w:rsidRPr="00B70999">
        <w:t>R4-1902511, “WF on NR V2X UE RF parameters and transient period”, LGE, RAN4#90, Feb. 25 – Mar. 1, 2019</w:t>
      </w:r>
      <w:bookmarkEnd w:id="3"/>
    </w:p>
    <w:p w:rsidR="008B1CB2" w:rsidRPr="00B70999" w:rsidRDefault="008B1CB2" w:rsidP="008F1B61">
      <w:pPr>
        <w:pStyle w:val="References"/>
      </w:pPr>
      <w:bookmarkStart w:id="4" w:name="_Ref4061916"/>
      <w:r w:rsidRPr="00B70999">
        <w:t>3GPP TR 38.885, “NR; Study on Vehicle-to-Everything (Release 16)”</w:t>
      </w:r>
      <w:bookmarkEnd w:id="4"/>
    </w:p>
    <w:p w:rsidR="00F87F14" w:rsidRPr="00B70999" w:rsidRDefault="00B70999" w:rsidP="00B70999">
      <w:pPr>
        <w:pStyle w:val="References"/>
      </w:pPr>
      <w:bookmarkStart w:id="5" w:name="_Ref4664783"/>
      <w:r w:rsidRPr="00B70999">
        <w:t>R4-1900691</w:t>
      </w:r>
      <w:r w:rsidR="00F87F14" w:rsidRPr="00B70999">
        <w:t>, “</w:t>
      </w:r>
      <w:r w:rsidRPr="00B70999">
        <w:t>On AGC settling time</w:t>
      </w:r>
      <w:r w:rsidR="00F87F14" w:rsidRPr="00B70999">
        <w:t xml:space="preserve">”, </w:t>
      </w:r>
      <w:r w:rsidRPr="00B70999">
        <w:t>MediaTek</w:t>
      </w:r>
      <w:r w:rsidR="00F87F14" w:rsidRPr="00B70999">
        <w:t>, RAN4#90, Feb. 25 – Mar. 1, 2019</w:t>
      </w:r>
      <w:bookmarkEnd w:id="5"/>
    </w:p>
    <w:p w:rsidR="008E7C43" w:rsidRPr="00B70999" w:rsidRDefault="00B70999" w:rsidP="008E7C43">
      <w:pPr>
        <w:pStyle w:val="References"/>
      </w:pPr>
      <w:bookmarkStart w:id="6" w:name="_Ref4486133"/>
      <w:r>
        <w:t xml:space="preserve">TR </w:t>
      </w:r>
      <w:r w:rsidR="008E7C43" w:rsidRPr="00B70999">
        <w:t>37.885, “Study on evaluation methodology of new Vehicle-to-Everything (V2X) use cases for LTE and NR”</w:t>
      </w:r>
      <w:bookmarkEnd w:id="6"/>
    </w:p>
    <w:p w:rsidR="008E7C43" w:rsidRPr="00443536" w:rsidRDefault="008E7C43" w:rsidP="008E7C43"/>
    <w:sectPr w:rsidR="008E7C43" w:rsidRPr="0044353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E72C95"/>
    <w:multiLevelType w:val="hybridMultilevel"/>
    <w:tmpl w:val="1AEAD102"/>
    <w:lvl w:ilvl="0" w:tplc="CD22197A">
      <w:start w:val="1"/>
      <w:numFmt w:val="bullet"/>
      <w:lvlText w:val="•"/>
      <w:lvlJc w:val="left"/>
      <w:pPr>
        <w:tabs>
          <w:tab w:val="num" w:pos="720"/>
        </w:tabs>
        <w:ind w:left="720" w:hanging="360"/>
      </w:pPr>
      <w:rPr>
        <w:rFonts w:ascii="Arial" w:hAnsi="Arial" w:hint="default"/>
      </w:rPr>
    </w:lvl>
    <w:lvl w:ilvl="1" w:tplc="C98C9956">
      <w:numFmt w:val="bullet"/>
      <w:lvlText w:val="–"/>
      <w:lvlJc w:val="left"/>
      <w:pPr>
        <w:tabs>
          <w:tab w:val="num" w:pos="1440"/>
        </w:tabs>
        <w:ind w:left="1440" w:hanging="360"/>
      </w:pPr>
      <w:rPr>
        <w:rFonts w:ascii="Arial" w:hAnsi="Arial" w:hint="default"/>
      </w:rPr>
    </w:lvl>
    <w:lvl w:ilvl="2" w:tplc="F5D20CF2">
      <w:numFmt w:val="bullet"/>
      <w:lvlText w:val="•"/>
      <w:lvlJc w:val="left"/>
      <w:pPr>
        <w:tabs>
          <w:tab w:val="num" w:pos="2160"/>
        </w:tabs>
        <w:ind w:left="2160" w:hanging="360"/>
      </w:pPr>
      <w:rPr>
        <w:rFonts w:ascii="Arial" w:hAnsi="Arial" w:hint="default"/>
      </w:rPr>
    </w:lvl>
    <w:lvl w:ilvl="3" w:tplc="F2F0A0E6">
      <w:numFmt w:val="bullet"/>
      <w:lvlText w:val="–"/>
      <w:lvlJc w:val="left"/>
      <w:pPr>
        <w:tabs>
          <w:tab w:val="num" w:pos="2880"/>
        </w:tabs>
        <w:ind w:left="2880" w:hanging="360"/>
      </w:pPr>
      <w:rPr>
        <w:rFonts w:ascii="Arial" w:hAnsi="Arial" w:hint="default"/>
      </w:rPr>
    </w:lvl>
    <w:lvl w:ilvl="4" w:tplc="37B8F76A" w:tentative="1">
      <w:start w:val="1"/>
      <w:numFmt w:val="bullet"/>
      <w:lvlText w:val="•"/>
      <w:lvlJc w:val="left"/>
      <w:pPr>
        <w:tabs>
          <w:tab w:val="num" w:pos="3600"/>
        </w:tabs>
        <w:ind w:left="3600" w:hanging="360"/>
      </w:pPr>
      <w:rPr>
        <w:rFonts w:ascii="Arial" w:hAnsi="Arial" w:hint="default"/>
      </w:rPr>
    </w:lvl>
    <w:lvl w:ilvl="5" w:tplc="3A9AADA8" w:tentative="1">
      <w:start w:val="1"/>
      <w:numFmt w:val="bullet"/>
      <w:lvlText w:val="•"/>
      <w:lvlJc w:val="left"/>
      <w:pPr>
        <w:tabs>
          <w:tab w:val="num" w:pos="4320"/>
        </w:tabs>
        <w:ind w:left="4320" w:hanging="360"/>
      </w:pPr>
      <w:rPr>
        <w:rFonts w:ascii="Arial" w:hAnsi="Arial" w:hint="default"/>
      </w:rPr>
    </w:lvl>
    <w:lvl w:ilvl="6" w:tplc="7436B340" w:tentative="1">
      <w:start w:val="1"/>
      <w:numFmt w:val="bullet"/>
      <w:lvlText w:val="•"/>
      <w:lvlJc w:val="left"/>
      <w:pPr>
        <w:tabs>
          <w:tab w:val="num" w:pos="5040"/>
        </w:tabs>
        <w:ind w:left="5040" w:hanging="360"/>
      </w:pPr>
      <w:rPr>
        <w:rFonts w:ascii="Arial" w:hAnsi="Arial" w:hint="default"/>
      </w:rPr>
    </w:lvl>
    <w:lvl w:ilvl="7" w:tplc="13341234" w:tentative="1">
      <w:start w:val="1"/>
      <w:numFmt w:val="bullet"/>
      <w:lvlText w:val="•"/>
      <w:lvlJc w:val="left"/>
      <w:pPr>
        <w:tabs>
          <w:tab w:val="num" w:pos="5760"/>
        </w:tabs>
        <w:ind w:left="5760" w:hanging="360"/>
      </w:pPr>
      <w:rPr>
        <w:rFonts w:ascii="Arial" w:hAnsi="Arial" w:hint="default"/>
      </w:rPr>
    </w:lvl>
    <w:lvl w:ilvl="8" w:tplc="BD4E103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F62123"/>
    <w:multiLevelType w:val="hybridMultilevel"/>
    <w:tmpl w:val="148CB5BC"/>
    <w:lvl w:ilvl="0" w:tplc="68D632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3E0935"/>
    <w:multiLevelType w:val="hybridMultilevel"/>
    <w:tmpl w:val="4924380A"/>
    <w:lvl w:ilvl="0" w:tplc="9D6246D8">
      <w:start w:val="5"/>
      <w:numFmt w:val="bullet"/>
      <w:lvlText w:val=""/>
      <w:lvlJc w:val="left"/>
      <w:pPr>
        <w:ind w:left="720" w:hanging="360"/>
      </w:pPr>
      <w:rPr>
        <w:rFonts w:ascii="Symbol" w:eastAsiaTheme="minorHAns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BF2079"/>
    <w:multiLevelType w:val="hybridMultilevel"/>
    <w:tmpl w:val="9EFA80C2"/>
    <w:lvl w:ilvl="0" w:tplc="F7BCA09A">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24281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79F45466"/>
    <w:multiLevelType w:val="hybridMultilevel"/>
    <w:tmpl w:val="8FA677A8"/>
    <w:lvl w:ilvl="0" w:tplc="FB884462">
      <w:start w:val="1"/>
      <w:numFmt w:val="decimal"/>
      <w:pStyle w:val="Reference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CAB059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5"/>
  </w:num>
  <w:num w:numId="2">
    <w:abstractNumId w:val="4"/>
  </w:num>
  <w:num w:numId="3">
    <w:abstractNumId w:val="3"/>
  </w:num>
  <w:num w:numId="4">
    <w:abstractNumId w:val="0"/>
  </w:num>
  <w:num w:numId="5">
    <w:abstractNumId w:val="1"/>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9"/>
  <w:doNotDisplayPageBoundaries/>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720"/>
  <w:drawingGridHorizontalSpacing w:val="72"/>
  <w:drawingGridVerticalSpacing w:val="7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7999"/>
    <w:rsid w:val="000C0B20"/>
    <w:rsid w:val="000F4CE4"/>
    <w:rsid w:val="00103A07"/>
    <w:rsid w:val="00162AE6"/>
    <w:rsid w:val="002A15CA"/>
    <w:rsid w:val="002A278F"/>
    <w:rsid w:val="002C43E5"/>
    <w:rsid w:val="002F6903"/>
    <w:rsid w:val="003A203F"/>
    <w:rsid w:val="003C192A"/>
    <w:rsid w:val="00422028"/>
    <w:rsid w:val="004847AF"/>
    <w:rsid w:val="004D0697"/>
    <w:rsid w:val="004E7999"/>
    <w:rsid w:val="004F3FA8"/>
    <w:rsid w:val="0059671A"/>
    <w:rsid w:val="005C58AD"/>
    <w:rsid w:val="005E4D14"/>
    <w:rsid w:val="00656533"/>
    <w:rsid w:val="00671B29"/>
    <w:rsid w:val="00695499"/>
    <w:rsid w:val="006A5914"/>
    <w:rsid w:val="007656F7"/>
    <w:rsid w:val="00794F20"/>
    <w:rsid w:val="007C260F"/>
    <w:rsid w:val="007E758E"/>
    <w:rsid w:val="00803C8B"/>
    <w:rsid w:val="008B1CB2"/>
    <w:rsid w:val="008E01CF"/>
    <w:rsid w:val="008E7C43"/>
    <w:rsid w:val="008F1B61"/>
    <w:rsid w:val="00940171"/>
    <w:rsid w:val="009B7A86"/>
    <w:rsid w:val="00A029FF"/>
    <w:rsid w:val="00A670A9"/>
    <w:rsid w:val="00A7550D"/>
    <w:rsid w:val="00A872A3"/>
    <w:rsid w:val="00AD5394"/>
    <w:rsid w:val="00AD5EC9"/>
    <w:rsid w:val="00B31369"/>
    <w:rsid w:val="00B56A66"/>
    <w:rsid w:val="00B70999"/>
    <w:rsid w:val="00B76D5C"/>
    <w:rsid w:val="00BA07A0"/>
    <w:rsid w:val="00BD44F8"/>
    <w:rsid w:val="00BE64AE"/>
    <w:rsid w:val="00C21EEB"/>
    <w:rsid w:val="00C6434D"/>
    <w:rsid w:val="00CC3255"/>
    <w:rsid w:val="00D56E50"/>
    <w:rsid w:val="00D729D3"/>
    <w:rsid w:val="00DD4DB4"/>
    <w:rsid w:val="00DE1AA1"/>
    <w:rsid w:val="00E32141"/>
    <w:rsid w:val="00E454B0"/>
    <w:rsid w:val="00E572E9"/>
    <w:rsid w:val="00EB6972"/>
    <w:rsid w:val="00EE7989"/>
    <w:rsid w:val="00EF0607"/>
    <w:rsid w:val="00F87F14"/>
    <w:rsid w:val="00FC25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5B86677-2A8F-45EE-B610-1BCB48466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2"/>
        <w:szCs w:val="22"/>
        <w:lang w:val="en-US" w:eastAsia="en-US" w:bidi="ar-SA"/>
      </w:rPr>
    </w:rPrDefault>
    <w:pPrDefault>
      <w:pPr>
        <w:spacing w:after="1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7F14"/>
    <w:pPr>
      <w:snapToGrid w:val="0"/>
    </w:pPr>
  </w:style>
  <w:style w:type="paragraph" w:styleId="Heading1">
    <w:name w:val="heading 1"/>
    <w:basedOn w:val="Normal"/>
    <w:next w:val="Normal"/>
    <w:link w:val="Heading1Char"/>
    <w:uiPriority w:val="9"/>
    <w:qFormat/>
    <w:rsid w:val="00B56A66"/>
    <w:pPr>
      <w:keepNext/>
      <w:numPr>
        <w:numId w:val="2"/>
      </w:numPr>
      <w:spacing w:before="120"/>
      <w:outlineLvl w:val="0"/>
    </w:pPr>
    <w:rPr>
      <w:rFonts w:eastAsiaTheme="majorEastAsia"/>
      <w:b/>
      <w:sz w:val="28"/>
      <w:szCs w:val="32"/>
    </w:rPr>
  </w:style>
  <w:style w:type="paragraph" w:styleId="Heading2">
    <w:name w:val="heading 2"/>
    <w:basedOn w:val="Normal"/>
    <w:next w:val="Normal"/>
    <w:link w:val="Heading2Char"/>
    <w:uiPriority w:val="9"/>
    <w:unhideWhenUsed/>
    <w:qFormat/>
    <w:rsid w:val="00B56A66"/>
    <w:pPr>
      <w:keepNext/>
      <w:numPr>
        <w:ilvl w:val="1"/>
        <w:numId w:val="2"/>
      </w:numPr>
      <w:spacing w:before="120"/>
      <w:outlineLvl w:val="1"/>
    </w:pPr>
    <w:rPr>
      <w:rFonts w:eastAsiaTheme="majorEastAsia"/>
      <w:b/>
      <w:sz w:val="24"/>
      <w:szCs w:val="26"/>
    </w:rPr>
  </w:style>
  <w:style w:type="paragraph" w:styleId="Heading3">
    <w:name w:val="heading 3"/>
    <w:basedOn w:val="Normal"/>
    <w:next w:val="Normal"/>
    <w:link w:val="Heading3Char"/>
    <w:uiPriority w:val="9"/>
    <w:unhideWhenUsed/>
    <w:qFormat/>
    <w:rsid w:val="00B56A66"/>
    <w:pPr>
      <w:keepNext/>
      <w:numPr>
        <w:ilvl w:val="2"/>
        <w:numId w:val="2"/>
      </w:numPr>
      <w:spacing w:before="120"/>
      <w:outlineLvl w:val="2"/>
    </w:pPr>
    <w:rPr>
      <w:rFonts w:eastAsiaTheme="majorEastAsia"/>
      <w:b/>
      <w:szCs w:val="24"/>
    </w:rPr>
  </w:style>
  <w:style w:type="paragraph" w:styleId="Heading4">
    <w:name w:val="heading 4"/>
    <w:basedOn w:val="Normal"/>
    <w:next w:val="Normal"/>
    <w:link w:val="Heading4Char"/>
    <w:uiPriority w:val="9"/>
    <w:semiHidden/>
    <w:unhideWhenUsed/>
    <w:qFormat/>
    <w:rsid w:val="00B56A66"/>
    <w:pPr>
      <w:keepNext/>
      <w:numPr>
        <w:ilvl w:val="3"/>
        <w:numId w:val="2"/>
      </w:numPr>
      <w:spacing w:before="120"/>
      <w:ind w:left="720" w:hanging="720"/>
      <w:outlineLvl w:val="3"/>
    </w:pPr>
    <w:rPr>
      <w:rFonts w:eastAsiaTheme="majorEastAsia"/>
      <w:b/>
      <w:i/>
      <w:iCs/>
    </w:rPr>
  </w:style>
  <w:style w:type="paragraph" w:styleId="Heading5">
    <w:name w:val="heading 5"/>
    <w:basedOn w:val="Normal"/>
    <w:next w:val="Normal"/>
    <w:link w:val="Heading5Char"/>
    <w:uiPriority w:val="9"/>
    <w:semiHidden/>
    <w:unhideWhenUsed/>
    <w:qFormat/>
    <w:rsid w:val="00B56A66"/>
    <w:pPr>
      <w:keepNext/>
      <w:numPr>
        <w:ilvl w:val="4"/>
        <w:numId w:val="2"/>
      </w:numPr>
      <w:spacing w:before="120"/>
      <w:ind w:left="720" w:hanging="720"/>
      <w:outlineLvl w:val="4"/>
    </w:pPr>
    <w:rPr>
      <w:rFonts w:eastAsiaTheme="majorEastAsia"/>
      <w:b/>
    </w:rPr>
  </w:style>
  <w:style w:type="paragraph" w:styleId="Heading6">
    <w:name w:val="heading 6"/>
    <w:basedOn w:val="Normal"/>
    <w:next w:val="Normal"/>
    <w:link w:val="Heading6Char"/>
    <w:uiPriority w:val="9"/>
    <w:semiHidden/>
    <w:unhideWhenUsed/>
    <w:qFormat/>
    <w:rsid w:val="00B56A66"/>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B56A66"/>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B56A66"/>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56A66"/>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eferences">
    <w:name w:val="References"/>
    <w:basedOn w:val="Normal"/>
    <w:qFormat/>
    <w:rsid w:val="004847AF"/>
    <w:pPr>
      <w:numPr>
        <w:numId w:val="1"/>
      </w:numPr>
      <w:tabs>
        <w:tab w:val="left" w:pos="432"/>
      </w:tabs>
      <w:ind w:left="432" w:hanging="432"/>
    </w:pPr>
    <w:rPr>
      <w:sz w:val="20"/>
    </w:rPr>
  </w:style>
  <w:style w:type="character" w:customStyle="1" w:styleId="Heading1Char">
    <w:name w:val="Heading 1 Char"/>
    <w:basedOn w:val="DefaultParagraphFont"/>
    <w:link w:val="Heading1"/>
    <w:uiPriority w:val="9"/>
    <w:rsid w:val="00B56A66"/>
    <w:rPr>
      <w:rFonts w:eastAsiaTheme="majorEastAsia"/>
      <w:b/>
      <w:sz w:val="28"/>
      <w:szCs w:val="32"/>
    </w:rPr>
  </w:style>
  <w:style w:type="character" w:customStyle="1" w:styleId="Heading2Char">
    <w:name w:val="Heading 2 Char"/>
    <w:basedOn w:val="DefaultParagraphFont"/>
    <w:link w:val="Heading2"/>
    <w:uiPriority w:val="9"/>
    <w:rsid w:val="00B56A66"/>
    <w:rPr>
      <w:rFonts w:eastAsiaTheme="majorEastAsia"/>
      <w:b/>
      <w:sz w:val="24"/>
      <w:szCs w:val="26"/>
    </w:rPr>
  </w:style>
  <w:style w:type="character" w:customStyle="1" w:styleId="Heading3Char">
    <w:name w:val="Heading 3 Char"/>
    <w:basedOn w:val="DefaultParagraphFont"/>
    <w:link w:val="Heading3"/>
    <w:uiPriority w:val="9"/>
    <w:semiHidden/>
    <w:rsid w:val="00B56A66"/>
    <w:rPr>
      <w:rFonts w:eastAsiaTheme="majorEastAsia"/>
      <w:b/>
      <w:szCs w:val="24"/>
    </w:rPr>
  </w:style>
  <w:style w:type="character" w:customStyle="1" w:styleId="Heading4Char">
    <w:name w:val="Heading 4 Char"/>
    <w:basedOn w:val="DefaultParagraphFont"/>
    <w:link w:val="Heading4"/>
    <w:uiPriority w:val="9"/>
    <w:semiHidden/>
    <w:rsid w:val="00B56A66"/>
    <w:rPr>
      <w:rFonts w:eastAsiaTheme="majorEastAsia"/>
      <w:b/>
      <w:i/>
      <w:iCs/>
    </w:rPr>
  </w:style>
  <w:style w:type="character" w:customStyle="1" w:styleId="Heading5Char">
    <w:name w:val="Heading 5 Char"/>
    <w:basedOn w:val="DefaultParagraphFont"/>
    <w:link w:val="Heading5"/>
    <w:uiPriority w:val="9"/>
    <w:semiHidden/>
    <w:rsid w:val="00B56A66"/>
    <w:rPr>
      <w:rFonts w:eastAsiaTheme="majorEastAsia"/>
      <w:b/>
    </w:rPr>
  </w:style>
  <w:style w:type="paragraph" w:styleId="Caption">
    <w:name w:val="caption"/>
    <w:basedOn w:val="Normal"/>
    <w:next w:val="Normal"/>
    <w:uiPriority w:val="35"/>
    <w:unhideWhenUsed/>
    <w:qFormat/>
    <w:rsid w:val="009B7A86"/>
    <w:pPr>
      <w:jc w:val="center"/>
    </w:pPr>
    <w:rPr>
      <w:b/>
      <w:iCs/>
      <w:sz w:val="20"/>
      <w:szCs w:val="18"/>
    </w:rPr>
  </w:style>
  <w:style w:type="character" w:customStyle="1" w:styleId="Heading6Char">
    <w:name w:val="Heading 6 Char"/>
    <w:basedOn w:val="DefaultParagraphFont"/>
    <w:link w:val="Heading6"/>
    <w:uiPriority w:val="9"/>
    <w:semiHidden/>
    <w:rsid w:val="00B56A6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B56A6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B56A6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56A66"/>
    <w:rPr>
      <w:rFonts w:asciiTheme="majorHAnsi" w:eastAsiaTheme="majorEastAsia" w:hAnsiTheme="majorHAnsi" w:cstheme="majorBidi"/>
      <w:i/>
      <w:iCs/>
      <w:color w:val="272727" w:themeColor="text1" w:themeTint="D8"/>
      <w:sz w:val="21"/>
      <w:szCs w:val="21"/>
    </w:rPr>
  </w:style>
  <w:style w:type="character" w:styleId="PlaceholderText">
    <w:name w:val="Placeholder Text"/>
    <w:basedOn w:val="DefaultParagraphFont"/>
    <w:uiPriority w:val="99"/>
    <w:semiHidden/>
    <w:rsid w:val="009B7A86"/>
    <w:rPr>
      <w:color w:val="808080"/>
    </w:rPr>
  </w:style>
  <w:style w:type="paragraph" w:styleId="NormalWeb">
    <w:name w:val="Normal (Web)"/>
    <w:basedOn w:val="Normal"/>
    <w:uiPriority w:val="99"/>
    <w:semiHidden/>
    <w:unhideWhenUsed/>
    <w:rsid w:val="00BE64AE"/>
    <w:pPr>
      <w:spacing w:before="100" w:beforeAutospacing="1" w:after="100" w:afterAutospacing="1"/>
      <w:jc w:val="left"/>
    </w:pPr>
    <w:rPr>
      <w:rFonts w:eastAsiaTheme="minorEastAsia"/>
      <w:sz w:val="24"/>
      <w:szCs w:val="24"/>
    </w:rPr>
  </w:style>
  <w:style w:type="table" w:styleId="TableGrid">
    <w:name w:val="Table Grid"/>
    <w:basedOn w:val="TableNormal"/>
    <w:uiPriority w:val="39"/>
    <w:rsid w:val="008F1B61"/>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ell">
    <w:name w:val="TableCell"/>
    <w:basedOn w:val="Normal"/>
    <w:rsid w:val="008F1B61"/>
    <w:pPr>
      <w:spacing w:before="20" w:after="20"/>
      <w:jc w:val="left"/>
    </w:pPr>
    <w:rPr>
      <w:sz w:val="20"/>
    </w:rPr>
  </w:style>
  <w:style w:type="character" w:styleId="CommentReference">
    <w:name w:val="annotation reference"/>
    <w:basedOn w:val="DefaultParagraphFont"/>
    <w:uiPriority w:val="99"/>
    <w:semiHidden/>
    <w:unhideWhenUsed/>
    <w:rsid w:val="006A5914"/>
    <w:rPr>
      <w:sz w:val="16"/>
      <w:szCs w:val="16"/>
    </w:rPr>
  </w:style>
  <w:style w:type="paragraph" w:styleId="CommentText">
    <w:name w:val="annotation text"/>
    <w:basedOn w:val="Normal"/>
    <w:link w:val="CommentTextChar"/>
    <w:uiPriority w:val="99"/>
    <w:semiHidden/>
    <w:unhideWhenUsed/>
    <w:rsid w:val="006A5914"/>
    <w:rPr>
      <w:sz w:val="20"/>
      <w:szCs w:val="20"/>
    </w:rPr>
  </w:style>
  <w:style w:type="character" w:customStyle="1" w:styleId="CommentTextChar">
    <w:name w:val="Comment Text Char"/>
    <w:basedOn w:val="DefaultParagraphFont"/>
    <w:link w:val="CommentText"/>
    <w:uiPriority w:val="99"/>
    <w:semiHidden/>
    <w:rsid w:val="006A5914"/>
    <w:rPr>
      <w:sz w:val="20"/>
      <w:szCs w:val="20"/>
    </w:rPr>
  </w:style>
  <w:style w:type="paragraph" w:styleId="CommentSubject">
    <w:name w:val="annotation subject"/>
    <w:basedOn w:val="CommentText"/>
    <w:next w:val="CommentText"/>
    <w:link w:val="CommentSubjectChar"/>
    <w:uiPriority w:val="99"/>
    <w:semiHidden/>
    <w:unhideWhenUsed/>
    <w:rsid w:val="006A5914"/>
    <w:rPr>
      <w:b/>
      <w:bCs/>
    </w:rPr>
  </w:style>
  <w:style w:type="character" w:customStyle="1" w:styleId="CommentSubjectChar">
    <w:name w:val="Comment Subject Char"/>
    <w:basedOn w:val="CommentTextChar"/>
    <w:link w:val="CommentSubject"/>
    <w:uiPriority w:val="99"/>
    <w:semiHidden/>
    <w:rsid w:val="006A5914"/>
    <w:rPr>
      <w:b/>
      <w:bCs/>
      <w:sz w:val="20"/>
      <w:szCs w:val="20"/>
    </w:rPr>
  </w:style>
  <w:style w:type="paragraph" w:styleId="BalloonText">
    <w:name w:val="Balloon Text"/>
    <w:basedOn w:val="Normal"/>
    <w:link w:val="BalloonTextChar"/>
    <w:uiPriority w:val="99"/>
    <w:semiHidden/>
    <w:unhideWhenUsed/>
    <w:rsid w:val="006A591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591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9393907">
      <w:bodyDiv w:val="1"/>
      <w:marLeft w:val="0"/>
      <w:marRight w:val="0"/>
      <w:marTop w:val="0"/>
      <w:marBottom w:val="0"/>
      <w:divBdr>
        <w:top w:val="none" w:sz="0" w:space="0" w:color="auto"/>
        <w:left w:val="none" w:sz="0" w:space="0" w:color="auto"/>
        <w:bottom w:val="none" w:sz="0" w:space="0" w:color="auto"/>
        <w:right w:val="none" w:sz="0" w:space="0" w:color="auto"/>
      </w:divBdr>
      <w:divsChild>
        <w:div w:id="904603620">
          <w:marLeft w:val="446"/>
          <w:marRight w:val="0"/>
          <w:marTop w:val="86"/>
          <w:marBottom w:val="0"/>
          <w:divBdr>
            <w:top w:val="none" w:sz="0" w:space="0" w:color="auto"/>
            <w:left w:val="none" w:sz="0" w:space="0" w:color="auto"/>
            <w:bottom w:val="none" w:sz="0" w:space="0" w:color="auto"/>
            <w:right w:val="none" w:sz="0" w:space="0" w:color="auto"/>
          </w:divBdr>
        </w:div>
        <w:div w:id="1896507033">
          <w:marLeft w:val="1166"/>
          <w:marRight w:val="0"/>
          <w:marTop w:val="60"/>
          <w:marBottom w:val="0"/>
          <w:divBdr>
            <w:top w:val="none" w:sz="0" w:space="0" w:color="auto"/>
            <w:left w:val="none" w:sz="0" w:space="0" w:color="auto"/>
            <w:bottom w:val="none" w:sz="0" w:space="0" w:color="auto"/>
            <w:right w:val="none" w:sz="0" w:space="0" w:color="auto"/>
          </w:divBdr>
        </w:div>
        <w:div w:id="309871598">
          <w:marLeft w:val="1166"/>
          <w:marRight w:val="0"/>
          <w:marTop w:val="60"/>
          <w:marBottom w:val="0"/>
          <w:divBdr>
            <w:top w:val="none" w:sz="0" w:space="0" w:color="auto"/>
            <w:left w:val="none" w:sz="0" w:space="0" w:color="auto"/>
            <w:bottom w:val="none" w:sz="0" w:space="0" w:color="auto"/>
            <w:right w:val="none" w:sz="0" w:space="0" w:color="auto"/>
          </w:divBdr>
        </w:div>
        <w:div w:id="759107060">
          <w:marLeft w:val="1166"/>
          <w:marRight w:val="0"/>
          <w:marTop w:val="60"/>
          <w:marBottom w:val="0"/>
          <w:divBdr>
            <w:top w:val="none" w:sz="0" w:space="0" w:color="auto"/>
            <w:left w:val="none" w:sz="0" w:space="0" w:color="auto"/>
            <w:bottom w:val="none" w:sz="0" w:space="0" w:color="auto"/>
            <w:right w:val="none" w:sz="0" w:space="0" w:color="auto"/>
          </w:divBdr>
        </w:div>
        <w:div w:id="1595086144">
          <w:marLeft w:val="1166"/>
          <w:marRight w:val="0"/>
          <w:marTop w:val="60"/>
          <w:marBottom w:val="0"/>
          <w:divBdr>
            <w:top w:val="none" w:sz="0" w:space="0" w:color="auto"/>
            <w:left w:val="none" w:sz="0" w:space="0" w:color="auto"/>
            <w:bottom w:val="none" w:sz="0" w:space="0" w:color="auto"/>
            <w:right w:val="none" w:sz="0" w:space="0" w:color="auto"/>
          </w:divBdr>
        </w:div>
        <w:div w:id="902715257">
          <w:marLeft w:val="446"/>
          <w:marRight w:val="0"/>
          <w:marTop w:val="60"/>
          <w:marBottom w:val="0"/>
          <w:divBdr>
            <w:top w:val="none" w:sz="0" w:space="0" w:color="auto"/>
            <w:left w:val="none" w:sz="0" w:space="0" w:color="auto"/>
            <w:bottom w:val="none" w:sz="0" w:space="0" w:color="auto"/>
            <w:right w:val="none" w:sz="0" w:space="0" w:color="auto"/>
          </w:divBdr>
        </w:div>
        <w:div w:id="1519850937">
          <w:marLeft w:val="1080"/>
          <w:marRight w:val="0"/>
          <w:marTop w:val="60"/>
          <w:marBottom w:val="0"/>
          <w:divBdr>
            <w:top w:val="none" w:sz="0" w:space="0" w:color="auto"/>
            <w:left w:val="none" w:sz="0" w:space="0" w:color="auto"/>
            <w:bottom w:val="none" w:sz="0" w:space="0" w:color="auto"/>
            <w:right w:val="none" w:sz="0" w:space="0" w:color="auto"/>
          </w:divBdr>
        </w:div>
        <w:div w:id="1605922732">
          <w:marLeft w:val="1714"/>
          <w:marRight w:val="0"/>
          <w:marTop w:val="60"/>
          <w:marBottom w:val="0"/>
          <w:divBdr>
            <w:top w:val="none" w:sz="0" w:space="0" w:color="auto"/>
            <w:left w:val="none" w:sz="0" w:space="0" w:color="auto"/>
            <w:bottom w:val="none" w:sz="0" w:space="0" w:color="auto"/>
            <w:right w:val="none" w:sz="0" w:space="0" w:color="auto"/>
          </w:divBdr>
        </w:div>
        <w:div w:id="995064851">
          <w:marLeft w:val="1080"/>
          <w:marRight w:val="0"/>
          <w:marTop w:val="60"/>
          <w:marBottom w:val="0"/>
          <w:divBdr>
            <w:top w:val="none" w:sz="0" w:space="0" w:color="auto"/>
            <w:left w:val="none" w:sz="0" w:space="0" w:color="auto"/>
            <w:bottom w:val="none" w:sz="0" w:space="0" w:color="auto"/>
            <w:right w:val="none" w:sz="0" w:space="0" w:color="auto"/>
          </w:divBdr>
        </w:div>
        <w:div w:id="326059742">
          <w:marLeft w:val="1080"/>
          <w:marRight w:val="0"/>
          <w:marTop w:val="60"/>
          <w:marBottom w:val="0"/>
          <w:divBdr>
            <w:top w:val="none" w:sz="0" w:space="0" w:color="auto"/>
            <w:left w:val="none" w:sz="0" w:space="0" w:color="auto"/>
            <w:bottom w:val="none" w:sz="0" w:space="0" w:color="auto"/>
            <w:right w:val="none" w:sz="0" w:space="0" w:color="auto"/>
          </w:divBdr>
        </w:div>
        <w:div w:id="1077048157">
          <w:marLeft w:val="1714"/>
          <w:marRight w:val="0"/>
          <w:marTop w:val="60"/>
          <w:marBottom w:val="0"/>
          <w:divBdr>
            <w:top w:val="none" w:sz="0" w:space="0" w:color="auto"/>
            <w:left w:val="none" w:sz="0" w:space="0" w:color="auto"/>
            <w:bottom w:val="none" w:sz="0" w:space="0" w:color="auto"/>
            <w:right w:val="none" w:sz="0" w:space="0" w:color="auto"/>
          </w:divBdr>
        </w:div>
        <w:div w:id="1905289070">
          <w:marLeft w:val="2434"/>
          <w:marRight w:val="0"/>
          <w:marTop w:val="60"/>
          <w:marBottom w:val="0"/>
          <w:divBdr>
            <w:top w:val="none" w:sz="0" w:space="0" w:color="auto"/>
            <w:left w:val="none" w:sz="0" w:space="0" w:color="auto"/>
            <w:bottom w:val="none" w:sz="0" w:space="0" w:color="auto"/>
            <w:right w:val="none" w:sz="0" w:space="0" w:color="auto"/>
          </w:divBdr>
        </w:div>
        <w:div w:id="365957818">
          <w:marLeft w:val="2434"/>
          <w:marRight w:val="0"/>
          <w:marTop w:val="60"/>
          <w:marBottom w:val="0"/>
          <w:divBdr>
            <w:top w:val="none" w:sz="0" w:space="0" w:color="auto"/>
            <w:left w:val="none" w:sz="0" w:space="0" w:color="auto"/>
            <w:bottom w:val="none" w:sz="0" w:space="0" w:color="auto"/>
            <w:right w:val="none" w:sz="0" w:space="0" w:color="auto"/>
          </w:divBdr>
        </w:div>
        <w:div w:id="1969429685">
          <w:marLeft w:val="2434"/>
          <w:marRight w:val="0"/>
          <w:marTop w:val="60"/>
          <w:marBottom w:val="0"/>
          <w:divBdr>
            <w:top w:val="none" w:sz="0" w:space="0" w:color="auto"/>
            <w:left w:val="none" w:sz="0" w:space="0" w:color="auto"/>
            <w:bottom w:val="none" w:sz="0" w:space="0" w:color="auto"/>
            <w:right w:val="none" w:sz="0" w:space="0" w:color="auto"/>
          </w:divBdr>
        </w:div>
        <w:div w:id="1611426179">
          <w:marLeft w:val="1714"/>
          <w:marRight w:val="0"/>
          <w:marTop w:val="60"/>
          <w:marBottom w:val="0"/>
          <w:divBdr>
            <w:top w:val="none" w:sz="0" w:space="0" w:color="auto"/>
            <w:left w:val="none" w:sz="0" w:space="0" w:color="auto"/>
            <w:bottom w:val="none" w:sz="0" w:space="0" w:color="auto"/>
            <w:right w:val="none" w:sz="0" w:space="0" w:color="auto"/>
          </w:divBdr>
        </w:div>
        <w:div w:id="1992295866">
          <w:marLeft w:val="2434"/>
          <w:marRight w:val="0"/>
          <w:marTop w:val="60"/>
          <w:marBottom w:val="0"/>
          <w:divBdr>
            <w:top w:val="none" w:sz="0" w:space="0" w:color="auto"/>
            <w:left w:val="none" w:sz="0" w:space="0" w:color="auto"/>
            <w:bottom w:val="none" w:sz="0" w:space="0" w:color="auto"/>
            <w:right w:val="none" w:sz="0" w:space="0" w:color="auto"/>
          </w:divBdr>
        </w:div>
        <w:div w:id="878200704">
          <w:marLeft w:val="446"/>
          <w:marRight w:val="0"/>
          <w:marTop w:val="60"/>
          <w:marBottom w:val="0"/>
          <w:divBdr>
            <w:top w:val="none" w:sz="0" w:space="0" w:color="auto"/>
            <w:left w:val="none" w:sz="0" w:space="0" w:color="auto"/>
            <w:bottom w:val="none" w:sz="0" w:space="0" w:color="auto"/>
            <w:right w:val="none" w:sz="0" w:space="0" w:color="auto"/>
          </w:divBdr>
        </w:div>
        <w:div w:id="163016586">
          <w:marLeft w:val="1080"/>
          <w:marRight w:val="0"/>
          <w:marTop w:val="60"/>
          <w:marBottom w:val="0"/>
          <w:divBdr>
            <w:top w:val="none" w:sz="0" w:space="0" w:color="auto"/>
            <w:left w:val="none" w:sz="0" w:space="0" w:color="auto"/>
            <w:bottom w:val="none" w:sz="0" w:space="0" w:color="auto"/>
            <w:right w:val="none" w:sz="0" w:space="0" w:color="auto"/>
          </w:divBdr>
        </w:div>
        <w:div w:id="922497731">
          <w:marLeft w:val="1714"/>
          <w:marRight w:val="0"/>
          <w:marTop w:val="60"/>
          <w:marBottom w:val="0"/>
          <w:divBdr>
            <w:top w:val="none" w:sz="0" w:space="0" w:color="auto"/>
            <w:left w:val="none" w:sz="0" w:space="0" w:color="auto"/>
            <w:bottom w:val="none" w:sz="0" w:space="0" w:color="auto"/>
            <w:right w:val="none" w:sz="0" w:space="0" w:color="auto"/>
          </w:divBdr>
        </w:div>
        <w:div w:id="1869028189">
          <w:marLeft w:val="1714"/>
          <w:marRight w:val="0"/>
          <w:marTop w:val="60"/>
          <w:marBottom w:val="0"/>
          <w:divBdr>
            <w:top w:val="none" w:sz="0" w:space="0" w:color="auto"/>
            <w:left w:val="none" w:sz="0" w:space="0" w:color="auto"/>
            <w:bottom w:val="none" w:sz="0" w:space="0" w:color="auto"/>
            <w:right w:val="none" w:sz="0" w:space="0" w:color="auto"/>
          </w:divBdr>
        </w:div>
        <w:div w:id="1616407360">
          <w:marLeft w:val="1080"/>
          <w:marRight w:val="0"/>
          <w:marTop w:val="60"/>
          <w:marBottom w:val="0"/>
          <w:divBdr>
            <w:top w:val="none" w:sz="0" w:space="0" w:color="auto"/>
            <w:left w:val="none" w:sz="0" w:space="0" w:color="auto"/>
            <w:bottom w:val="none" w:sz="0" w:space="0" w:color="auto"/>
            <w:right w:val="none" w:sz="0" w:space="0" w:color="auto"/>
          </w:divBdr>
        </w:div>
      </w:divsChild>
    </w:div>
    <w:div w:id="1084641999">
      <w:bodyDiv w:val="1"/>
      <w:marLeft w:val="0"/>
      <w:marRight w:val="0"/>
      <w:marTop w:val="0"/>
      <w:marBottom w:val="0"/>
      <w:divBdr>
        <w:top w:val="none" w:sz="0" w:space="0" w:color="auto"/>
        <w:left w:val="none" w:sz="0" w:space="0" w:color="auto"/>
        <w:bottom w:val="none" w:sz="0" w:space="0" w:color="auto"/>
        <w:right w:val="none" w:sz="0" w:space="0" w:color="auto"/>
      </w:divBdr>
    </w:div>
    <w:div w:id="1236355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gi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563C43-32DA-4D52-9387-5118F88E7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4</Pages>
  <Words>1391</Words>
  <Characters>6401</Characters>
  <Application>Microsoft Office Word</Application>
  <DocSecurity>0</DocSecurity>
  <Lines>256</Lines>
  <Paragraphs>205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7587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Vip</dc:creator>
  <cp:keywords/>
  <dc:description/>
  <cp:lastModifiedBy>Vip</cp:lastModifiedBy>
  <cp:revision>4</cp:revision>
  <dcterms:created xsi:type="dcterms:W3CDTF">2019-03-29T14:47:00Z</dcterms:created>
  <dcterms:modified xsi:type="dcterms:W3CDTF">2019-04-01T16:16:00Z</dcterms:modified>
</cp:coreProperties>
</file>