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E7980E" w14:textId="216ABF4A"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CD110C">
        <w:rPr>
          <w:rFonts w:cs="Arial"/>
          <w:sz w:val="24"/>
        </w:rPr>
        <w:t>90</w:t>
      </w:r>
      <w:r w:rsidR="00BE4133">
        <w:rPr>
          <w:rFonts w:cs="Arial"/>
          <w:sz w:val="24"/>
        </w:rPr>
        <w:t>bis</w:t>
      </w:r>
      <w:r>
        <w:rPr>
          <w:rFonts w:cs="Arial"/>
          <w:i/>
          <w:sz w:val="24"/>
        </w:rPr>
        <w:tab/>
      </w:r>
      <w:r>
        <w:rPr>
          <w:rFonts w:cs="Arial"/>
          <w:iCs/>
          <w:sz w:val="24"/>
        </w:rPr>
        <w:t>R4-</w:t>
      </w:r>
      <w:r w:rsidR="007441D4">
        <w:rPr>
          <w:rFonts w:cs="Arial"/>
          <w:iCs/>
          <w:sz w:val="24"/>
        </w:rPr>
        <w:t>190</w:t>
      </w:r>
      <w:r w:rsidR="003E5232">
        <w:rPr>
          <w:rFonts w:cs="Arial"/>
          <w:iCs/>
          <w:sz w:val="24"/>
        </w:rPr>
        <w:t>3998</w:t>
      </w:r>
    </w:p>
    <w:p w14:paraId="1BC12648" w14:textId="2A20F109" w:rsidR="003B61A8" w:rsidRDefault="00BE4133" w:rsidP="003B61A8">
      <w:pPr>
        <w:pStyle w:val="Header"/>
        <w:tabs>
          <w:tab w:val="right" w:pos="10206"/>
        </w:tabs>
        <w:spacing w:after="120"/>
        <w:rPr>
          <w:rFonts w:cs="Arial"/>
          <w:sz w:val="24"/>
        </w:rPr>
      </w:pPr>
      <w:r w:rsidRPr="00BE4133">
        <w:rPr>
          <w:rFonts w:cs="Arial"/>
          <w:sz w:val="24"/>
        </w:rPr>
        <w:t>Xi'an</w:t>
      </w:r>
      <w:r>
        <w:rPr>
          <w:rFonts w:cs="Arial"/>
          <w:sz w:val="24"/>
        </w:rPr>
        <w:t>, China</w:t>
      </w:r>
      <w:r w:rsidR="003B61A8">
        <w:rPr>
          <w:rFonts w:cs="Arial"/>
          <w:sz w:val="24"/>
        </w:rPr>
        <w:t xml:space="preserve">, </w:t>
      </w:r>
      <w:r>
        <w:rPr>
          <w:rFonts w:cs="Arial"/>
          <w:sz w:val="24"/>
        </w:rPr>
        <w:t>8</w:t>
      </w:r>
      <w:r w:rsidR="00CD110C" w:rsidRPr="007170B2">
        <w:rPr>
          <w:rFonts w:cs="Arial"/>
          <w:sz w:val="24"/>
          <w:vertAlign w:val="superscript"/>
        </w:rPr>
        <w:t>th</w:t>
      </w:r>
      <w:r w:rsidR="00CD110C">
        <w:rPr>
          <w:rFonts w:cs="Arial"/>
          <w:sz w:val="24"/>
        </w:rPr>
        <w:t xml:space="preserve"> </w:t>
      </w:r>
      <w:r>
        <w:rPr>
          <w:rFonts w:cs="Arial"/>
          <w:sz w:val="24"/>
        </w:rPr>
        <w:t>April</w:t>
      </w:r>
      <w:r w:rsidR="00CD110C">
        <w:rPr>
          <w:rFonts w:cs="Arial"/>
          <w:sz w:val="24"/>
        </w:rPr>
        <w:t xml:space="preserve"> </w:t>
      </w:r>
      <w:r w:rsidR="004B372C">
        <w:rPr>
          <w:rFonts w:cs="Arial"/>
          <w:sz w:val="24"/>
        </w:rPr>
        <w:t xml:space="preserve">– </w:t>
      </w:r>
      <w:r>
        <w:rPr>
          <w:rFonts w:cs="Arial"/>
          <w:sz w:val="24"/>
        </w:rPr>
        <w:t>13</w:t>
      </w:r>
      <w:r w:rsidRPr="00BE4133">
        <w:rPr>
          <w:rFonts w:cs="Arial"/>
          <w:sz w:val="24"/>
          <w:vertAlign w:val="superscript"/>
        </w:rPr>
        <w:t>th</w:t>
      </w:r>
      <w:r>
        <w:rPr>
          <w:rFonts w:cs="Arial"/>
          <w:sz w:val="24"/>
        </w:rPr>
        <w:t xml:space="preserve"> April</w:t>
      </w:r>
      <w:r w:rsidR="003B61A8">
        <w:rPr>
          <w:rFonts w:cs="Arial"/>
          <w:sz w:val="24"/>
        </w:rPr>
        <w:t xml:space="preserve"> 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1426F153"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sidR="00BE4133">
        <w:rPr>
          <w:rFonts w:ascii="Arial" w:hAnsi="Arial" w:cs="Arial"/>
          <w:bCs/>
        </w:rPr>
        <w:t>LG Electronics</w:t>
      </w:r>
    </w:p>
    <w:p w14:paraId="7B57CDA7" w14:textId="7E9F70F8"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BE4133">
        <w:rPr>
          <w:rFonts w:ascii="Arial" w:hAnsi="Arial" w:cs="Arial"/>
        </w:rPr>
        <w:t xml:space="preserve">On </w:t>
      </w:r>
      <w:r w:rsidR="009771D7">
        <w:rPr>
          <w:rFonts w:ascii="Arial" w:hAnsi="Arial" w:cs="Arial"/>
        </w:rPr>
        <w:t xml:space="preserve">AGC settling time </w:t>
      </w:r>
      <w:r w:rsidR="00BD68FC">
        <w:rPr>
          <w:rFonts w:ascii="Arial" w:hAnsi="Arial" w:cs="Arial"/>
        </w:rPr>
        <w:t xml:space="preserve">and IBE </w:t>
      </w:r>
      <w:r w:rsidR="009771D7">
        <w:rPr>
          <w:rFonts w:ascii="Arial" w:hAnsi="Arial" w:cs="Arial"/>
        </w:rPr>
        <w:t>for NR V2X</w:t>
      </w:r>
    </w:p>
    <w:p w14:paraId="72798C4E" w14:textId="47EC14D2"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9771D7">
        <w:rPr>
          <w:rFonts w:ascii="Arial" w:hAnsi="Arial" w:cs="Arial"/>
          <w:bCs/>
          <w:lang w:val="sv-SE"/>
        </w:rPr>
        <w:t>8</w:t>
      </w:r>
      <w:r w:rsidR="0062745C" w:rsidRPr="00155B44">
        <w:rPr>
          <w:rFonts w:ascii="Arial" w:hAnsi="Arial" w:cs="Arial"/>
          <w:bCs/>
          <w:lang w:val="sv-SE"/>
        </w:rPr>
        <w:t>.</w:t>
      </w:r>
      <w:r w:rsidR="009771D7">
        <w:rPr>
          <w:rFonts w:ascii="Arial" w:hAnsi="Arial" w:cs="Arial"/>
          <w:bCs/>
          <w:lang w:val="sv-SE"/>
        </w:rPr>
        <w:t>4</w:t>
      </w:r>
      <w:r w:rsidR="0062745C" w:rsidRPr="00155B44">
        <w:rPr>
          <w:rFonts w:ascii="Arial" w:hAnsi="Arial" w:cs="Arial"/>
          <w:bCs/>
          <w:lang w:val="sv-SE"/>
        </w:rPr>
        <w:t>.</w:t>
      </w:r>
      <w:r w:rsidR="009771D7">
        <w:rPr>
          <w:rFonts w:ascii="Arial" w:hAnsi="Arial" w:cs="Arial"/>
          <w:bCs/>
          <w:lang w:val="sv-SE"/>
        </w:rPr>
        <w:t>1</w:t>
      </w:r>
    </w:p>
    <w:p w14:paraId="3C088A4A" w14:textId="3D0C6027"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62745C" w:rsidRPr="0062745C">
        <w:rPr>
          <w:rFonts w:ascii="Arial" w:hAnsi="Arial" w:cs="Arial"/>
        </w:rPr>
        <w:t>Discussion</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52829FFE" w14:textId="5AAEC369" w:rsidR="003B61A8" w:rsidRDefault="00AB6879" w:rsidP="00574B44">
      <w:r w:rsidRPr="00AB6879">
        <w:t>The RAN1 WG started work on the new Rel-16 NR V2X SI with the goal to introduce support of V2X communication technology for NR. RAN1 is discussing the basic physical layer design assumptions and send LS to RAN4 to clarify the RF/RRM design assumptions that could be applied to the NR V2X studies [1]. In RAN4 #89, RAN</w:t>
      </w:r>
      <w:r>
        <w:t>4 replied to RAN1 as follows [2].</w:t>
      </w:r>
    </w:p>
    <w:p w14:paraId="58DA1F2D" w14:textId="10A1E765" w:rsidR="00AB6879" w:rsidRDefault="00AB6879" w:rsidP="00574B44">
      <w:r>
        <w:t>RAN4 promised to further study if</w:t>
      </w:r>
    </w:p>
    <w:p w14:paraId="6FD5E995" w14:textId="0485564C" w:rsidR="00AB6879" w:rsidRDefault="00AB6879" w:rsidP="00574B44">
      <w:pPr>
        <w:pStyle w:val="ListParagraph"/>
        <w:numPr>
          <w:ilvl w:val="0"/>
          <w:numId w:val="9"/>
        </w:numPr>
      </w:pPr>
      <w:r>
        <w:t>If shorter AGC time is achievable including the case with 15 kHz SCS</w:t>
      </w:r>
    </w:p>
    <w:p w14:paraId="2C3E1D22" w14:textId="2E773282" w:rsidR="00AB6879" w:rsidRDefault="00AB6879" w:rsidP="00574B44">
      <w:pPr>
        <w:pStyle w:val="ListParagraph"/>
        <w:numPr>
          <w:ilvl w:val="0"/>
          <w:numId w:val="9"/>
        </w:numPr>
      </w:pPr>
      <w:r>
        <w:t>Validity of the NR UL IBE model for V2X SL</w:t>
      </w:r>
    </w:p>
    <w:p w14:paraId="174359F2" w14:textId="77777777" w:rsidR="00972827" w:rsidRDefault="00574B44" w:rsidP="00574B44">
      <w:proofErr w:type="gramStart"/>
      <w:r>
        <w:t>and</w:t>
      </w:r>
      <w:proofErr w:type="gramEnd"/>
      <w:r>
        <w:t xml:space="preserve"> in</w:t>
      </w:r>
      <w:r w:rsidR="00972827">
        <w:t>form RAN1 on final conclusions.</w:t>
      </w:r>
    </w:p>
    <w:p w14:paraId="0A4C5C22" w14:textId="0DDE4700" w:rsidR="00AB6879" w:rsidRDefault="00574B44" w:rsidP="00574B44">
      <w:r>
        <w:t>In this contrition we are analysing these two items where RAN4 agreed to have further discussions.</w:t>
      </w:r>
    </w:p>
    <w:p w14:paraId="21A31915" w14:textId="77777777" w:rsidR="00AB6879" w:rsidRDefault="00AB6879"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1AABCAC4" w14:textId="01004EA5" w:rsidR="00116613" w:rsidRPr="00E90D8D" w:rsidRDefault="00E90D8D" w:rsidP="00E90D8D">
      <w:pPr>
        <w:pStyle w:val="Heading2"/>
      </w:pPr>
      <w:r w:rsidRPr="00E90D8D">
        <w:t>AGC settling time</w:t>
      </w:r>
    </w:p>
    <w:p w14:paraId="715B86D0" w14:textId="77777777" w:rsidR="00116613" w:rsidRDefault="00116613" w:rsidP="0050227C"/>
    <w:p w14:paraId="2845799D" w14:textId="72DF6205" w:rsidR="00E90D8D" w:rsidRDefault="00E90D8D" w:rsidP="00E90D8D">
      <w:r>
        <w:t>AGC settling time can be expressed with the following components, AGC setting time =</w:t>
      </w:r>
      <w:proofErr w:type="spellStart"/>
      <w:r>
        <w:t>a+b+c+d</w:t>
      </w:r>
      <w:proofErr w:type="spellEnd"/>
      <w:r>
        <w:t xml:space="preserve">, where </w:t>
      </w:r>
    </w:p>
    <w:p w14:paraId="08127671" w14:textId="0A6DF70D" w:rsidR="00E90D8D" w:rsidRDefault="00E90D8D" w:rsidP="00E90D8D">
      <w:pPr>
        <w:pStyle w:val="ListParagraph"/>
        <w:numPr>
          <w:ilvl w:val="0"/>
          <w:numId w:val="11"/>
        </w:numPr>
      </w:pPr>
      <w:r>
        <w:t xml:space="preserve">a = time offset from the start of the OFDM symbol to account for maximum signal propagation delay from different UEs </w:t>
      </w:r>
    </w:p>
    <w:p w14:paraId="19F04737" w14:textId="0BCCD02F" w:rsidR="00E90D8D" w:rsidRDefault="00E90D8D" w:rsidP="00E90D8D">
      <w:pPr>
        <w:pStyle w:val="ListParagraph"/>
        <w:numPr>
          <w:ilvl w:val="0"/>
          <w:numId w:val="11"/>
        </w:numPr>
      </w:pPr>
      <w:r>
        <w:t>b = time to receive the window of samples used for estimating the gain/power</w:t>
      </w:r>
    </w:p>
    <w:p w14:paraId="6BD4083E" w14:textId="4240A031" w:rsidR="00E90D8D" w:rsidRDefault="00E90D8D" w:rsidP="00E90D8D">
      <w:pPr>
        <w:pStyle w:val="ListParagraph"/>
        <w:numPr>
          <w:ilvl w:val="0"/>
          <w:numId w:val="11"/>
        </w:numPr>
      </w:pPr>
      <w:r>
        <w:t xml:space="preserve">c = time for estimating and programming the desired gain setting </w:t>
      </w:r>
    </w:p>
    <w:p w14:paraId="52A27688" w14:textId="6F2F21E7" w:rsidR="003A5872" w:rsidRDefault="00E90D8D" w:rsidP="00E90D8D">
      <w:pPr>
        <w:pStyle w:val="ListParagraph"/>
        <w:numPr>
          <w:ilvl w:val="0"/>
          <w:numId w:val="11"/>
        </w:numPr>
      </w:pPr>
      <w:r>
        <w:t xml:space="preserve">d= time for the gain setting taking into effect </w:t>
      </w:r>
      <w:r w:rsidR="00116613">
        <w:t>The AGC settling time wi</w:t>
      </w:r>
      <w:r>
        <w:t>ll be derived under two options</w:t>
      </w:r>
    </w:p>
    <w:p w14:paraId="7CBFA65F" w14:textId="51F63A67" w:rsidR="00F527BF" w:rsidRDefault="003A5872" w:rsidP="00E90D8D">
      <w:r>
        <w:t xml:space="preserve">Time b: </w:t>
      </w:r>
      <w:r w:rsidR="00E90D8D">
        <w:t xml:space="preserve">Depending on the receiver implementation the AGC algorithm may need to make </w:t>
      </w:r>
      <w:r w:rsidR="00F7111E">
        <w:t xml:space="preserve">few </w:t>
      </w:r>
      <w:r w:rsidR="00E90D8D">
        <w:t>iteration</w:t>
      </w:r>
      <w:r w:rsidR="00911179">
        <w:t>s</w:t>
      </w:r>
      <w:r w:rsidR="00E90D8D">
        <w:t xml:space="preserve"> </w:t>
      </w:r>
      <w:r w:rsidR="00F7111E">
        <w:t>in order to find the right gain value</w:t>
      </w:r>
      <w:r w:rsidR="005D7C3E">
        <w:t xml:space="preserve"> if receiver dynamic range is limited. This</w:t>
      </w:r>
      <w:r w:rsidR="00911179">
        <w:t xml:space="preserve"> means that steps b,</w:t>
      </w:r>
      <w:r w:rsidR="00A434FE">
        <w:t xml:space="preserve"> </w:t>
      </w:r>
      <w:r w:rsidR="00911179">
        <w:t xml:space="preserve">c and d </w:t>
      </w:r>
      <w:r w:rsidR="00E3152F">
        <w:t xml:space="preserve">may </w:t>
      </w:r>
      <w:r w:rsidR="005D7C3E">
        <w:t xml:space="preserve">need to </w:t>
      </w:r>
      <w:r w:rsidR="00E3152F">
        <w:t>be</w:t>
      </w:r>
      <w:r w:rsidR="00911179">
        <w:t xml:space="preserve"> executed more than once</w:t>
      </w:r>
      <w:r w:rsidR="005D7C3E">
        <w:t xml:space="preserve"> </w:t>
      </w:r>
      <w:r w:rsidR="00911179">
        <w:t xml:space="preserve">but usually no more than </w:t>
      </w:r>
      <w:r w:rsidR="00FD01E8">
        <w:t>2-3</w:t>
      </w:r>
      <w:r w:rsidR="00911179">
        <w:t xml:space="preserve"> times.</w:t>
      </w:r>
      <w:r w:rsidR="00E3152F">
        <w:t xml:space="preserve"> Before the new measurement it’s always necessary to wait for new gain value to be settled i.e. delay of </w:t>
      </w:r>
      <w:proofErr w:type="spellStart"/>
      <w:r w:rsidR="005D7C3E">
        <w:t>b+c</w:t>
      </w:r>
      <w:proofErr w:type="spellEnd"/>
      <w:r w:rsidR="00E3152F">
        <w:t xml:space="preserve"> is needed between the consecutive measurements.</w:t>
      </w:r>
    </w:p>
    <w:p w14:paraId="7E7C559F" w14:textId="50F79675" w:rsidR="00A434FE" w:rsidRDefault="00A434FE" w:rsidP="00E90D8D">
      <w:r>
        <w:t>Time c</w:t>
      </w:r>
      <w:r w:rsidR="003A5872">
        <w:t>:</w:t>
      </w:r>
      <w:r>
        <w:t xml:space="preserve"> In [3]</w:t>
      </w:r>
      <w:r w:rsidR="001606DD">
        <w:t xml:space="preserve"> 2us has been used, while also stating that with HW based implementation it is possible to achieve shorter </w:t>
      </w:r>
      <w:r w:rsidR="00E3152F">
        <w:t xml:space="preserve">execution </w:t>
      </w:r>
      <w:r w:rsidR="001606DD">
        <w:t>time. I</w:t>
      </w:r>
      <w:r>
        <w:t>t should also be noted that significantly shorter time is al</w:t>
      </w:r>
      <w:r w:rsidR="008C3C16">
        <w:t>ready</w:t>
      </w:r>
      <w:r>
        <w:t xml:space="preserve"> required</w:t>
      </w:r>
      <w:r w:rsidR="008C3C16">
        <w:t xml:space="preserve"> for </w:t>
      </w:r>
      <w:r w:rsidR="004F5381">
        <w:t>similar</w:t>
      </w:r>
      <w:r w:rsidR="008C3C16">
        <w:t xml:space="preserve"> function</w:t>
      </w:r>
      <w:r w:rsidR="00E3152F">
        <w:t>ality</w:t>
      </w:r>
      <w:r>
        <w:t xml:space="preserve"> in other wireless standards</w:t>
      </w:r>
      <w:r w:rsidR="004F5381">
        <w:t xml:space="preserve"> and therefore time c</w:t>
      </w:r>
      <w:r w:rsidR="003A5872">
        <w:t xml:space="preserve"> is considered to be included into </w:t>
      </w:r>
      <w:r w:rsidR="008C3C16">
        <w:t>time</w:t>
      </w:r>
      <w:r w:rsidR="004F5381">
        <w:t xml:space="preserve"> d in following analysis.</w:t>
      </w:r>
    </w:p>
    <w:p w14:paraId="0A9F4554" w14:textId="7105101F" w:rsidR="002453B2" w:rsidRDefault="00A434FE" w:rsidP="00E90D8D">
      <w:r>
        <w:t xml:space="preserve">Time d, i.e. the settling time for gain change in the </w:t>
      </w:r>
      <w:proofErr w:type="spellStart"/>
      <w:r>
        <w:t>analog</w:t>
      </w:r>
      <w:proofErr w:type="spellEnd"/>
      <w:r>
        <w:t xml:space="preserve"> components and</w:t>
      </w:r>
      <w:r w:rsidR="00E3152F">
        <w:t xml:space="preserve"> settling time </w:t>
      </w:r>
      <w:r w:rsidR="004F5381">
        <w:t>for</w:t>
      </w:r>
      <w:r w:rsidR="00E3152F">
        <w:t xml:space="preserve"> filter</w:t>
      </w:r>
      <w:r>
        <w:t xml:space="preserve"> impulse response</w:t>
      </w:r>
      <w:r w:rsidR="00E3152F">
        <w:t>s</w:t>
      </w:r>
      <w:r>
        <w:t xml:space="preserve"> depends a lot on the implementation and characteristics of the filters</w:t>
      </w:r>
      <w:r w:rsidR="00FD01E8">
        <w:t xml:space="preserve"> (</w:t>
      </w:r>
      <w:proofErr w:type="spellStart"/>
      <w:r w:rsidR="00FD01E8">
        <w:t>analog</w:t>
      </w:r>
      <w:proofErr w:type="spellEnd"/>
      <w:r w:rsidR="00FD01E8">
        <w:t xml:space="preserve"> and digital)</w:t>
      </w:r>
      <w:r>
        <w:t xml:space="preserve"> in the receive chain. In [3] 2us was use</w:t>
      </w:r>
      <w:r w:rsidR="00E3152F">
        <w:t xml:space="preserve">d </w:t>
      </w:r>
      <w:r w:rsidR="004F5381">
        <w:t>and</w:t>
      </w:r>
      <w:r w:rsidR="00E3152F">
        <w:t xml:space="preserve"> this is a valid assumption</w:t>
      </w:r>
      <w:r w:rsidR="004F5381">
        <w:t xml:space="preserve"> for system with 10-20MHz bandwidth</w:t>
      </w:r>
      <w:r w:rsidR="00E3152F">
        <w:t xml:space="preserve"> and hence in this analysis </w:t>
      </w:r>
      <w:proofErr w:type="spellStart"/>
      <w:r w:rsidR="00E3152F">
        <w:t>c+d</w:t>
      </w:r>
      <w:proofErr w:type="spellEnd"/>
      <w:r w:rsidR="00E3152F">
        <w:t xml:space="preserve"> is estimated to take 2us.</w:t>
      </w:r>
    </w:p>
    <w:p w14:paraId="7DC804DA" w14:textId="09EAC3E4" w:rsidR="00E90D8D" w:rsidRDefault="00F7111E" w:rsidP="00E90D8D">
      <w:r>
        <w:t xml:space="preserve">The </w:t>
      </w:r>
      <w:r w:rsidR="003A5872">
        <w:t xml:space="preserve">duration of the b is determined by the </w:t>
      </w:r>
      <w:r>
        <w:t>length of the measurement filter</w:t>
      </w:r>
      <w:r w:rsidR="003A5872">
        <w:t xml:space="preserve">. The required length for the measurement filter depends </w:t>
      </w:r>
      <w:r>
        <w:t>on the characteristics of the input signal</w:t>
      </w:r>
      <w:r w:rsidR="003A5872">
        <w:t xml:space="preserve"> and the amount of measurement error that can be tolerated</w:t>
      </w:r>
      <w:r>
        <w:t>. The longer the measurement filter</w:t>
      </w:r>
      <w:r w:rsidR="00E3152F">
        <w:t xml:space="preserve"> is</w:t>
      </w:r>
      <w:r>
        <w:t xml:space="preserve"> the smaller is the measurement error caused by </w:t>
      </w:r>
      <w:r w:rsidR="00E3152F">
        <w:t>amplitude component of the</w:t>
      </w:r>
      <w:r>
        <w:t xml:space="preserve"> input</w:t>
      </w:r>
      <w:r w:rsidR="00E3152F">
        <w:t xml:space="preserve"> </w:t>
      </w:r>
      <w:r w:rsidR="00E3152F">
        <w:lastRenderedPageBreak/>
        <w:t>waveform</w:t>
      </w:r>
      <w:r>
        <w:t xml:space="preserve"> and noise. </w:t>
      </w:r>
      <w:r w:rsidR="003A5872">
        <w:t xml:space="preserve">The amount of measurement error that can be tolerated depends on the implementation, but </w:t>
      </w:r>
      <w:r w:rsidR="003A5872">
        <w:rPr>
          <w:lang w:eastAsia="zh-TW"/>
        </w:rPr>
        <w:t>here we assume that measurement error should be less than 3dB with confidence level of 99.9%.</w:t>
      </w:r>
    </w:p>
    <w:p w14:paraId="1CEE8BAC" w14:textId="32EE742B" w:rsidR="002453B2" w:rsidRDefault="002453B2" w:rsidP="00E90D8D">
      <w:r>
        <w:t>Following options are analysed:</w:t>
      </w:r>
    </w:p>
    <w:p w14:paraId="65C73FB6" w14:textId="29162855" w:rsidR="00116613" w:rsidRDefault="00116613" w:rsidP="00116613">
      <w:r>
        <w:t>•</w:t>
      </w:r>
      <w:r>
        <w:tab/>
      </w:r>
      <w:r w:rsidRPr="00B0098B">
        <w:rPr>
          <w:b/>
        </w:rPr>
        <w:t>Option1</w:t>
      </w:r>
      <w:r w:rsidR="00B0098B">
        <w:t>:</w:t>
      </w:r>
      <w:r>
        <w:t xml:space="preserve"> (to consider same AGC se</w:t>
      </w:r>
      <w:r w:rsidR="00A434FE">
        <w:t>ttling time for all SCS at FR1)</w:t>
      </w:r>
    </w:p>
    <w:p w14:paraId="27E406EE" w14:textId="77777777" w:rsidR="00116613" w:rsidRDefault="00116613" w:rsidP="00116613">
      <w:r>
        <w:t>–</w:t>
      </w:r>
      <w:r>
        <w:tab/>
        <w:t xml:space="preserve">At least 10RBs for </w:t>
      </w:r>
      <w:proofErr w:type="gramStart"/>
      <w:r>
        <w:t>15kHz</w:t>
      </w:r>
      <w:proofErr w:type="gramEnd"/>
    </w:p>
    <w:p w14:paraId="71EA9BD2" w14:textId="77777777" w:rsidR="00116613" w:rsidRDefault="00116613" w:rsidP="00116613">
      <w:r>
        <w:t>–</w:t>
      </w:r>
      <w:r>
        <w:tab/>
        <w:t xml:space="preserve">At least 5 RBs for </w:t>
      </w:r>
      <w:proofErr w:type="gramStart"/>
      <w:r>
        <w:t>30kHz</w:t>
      </w:r>
      <w:proofErr w:type="gramEnd"/>
    </w:p>
    <w:p w14:paraId="4823DAA2" w14:textId="228752D8" w:rsidR="00661FAB" w:rsidRDefault="00116613" w:rsidP="00116613">
      <w:r>
        <w:t>–</w:t>
      </w:r>
      <w:r>
        <w:tab/>
        <w:t xml:space="preserve">At least 3 RBs for </w:t>
      </w:r>
      <w:proofErr w:type="gramStart"/>
      <w:r>
        <w:t>60kHz</w:t>
      </w:r>
      <w:proofErr w:type="gramEnd"/>
    </w:p>
    <w:p w14:paraId="1F1DA205" w14:textId="521612BB" w:rsidR="00116613" w:rsidRDefault="00116613" w:rsidP="00116613">
      <w:r>
        <w:t>•</w:t>
      </w:r>
      <w:r>
        <w:tab/>
      </w:r>
      <w:r w:rsidRPr="00B0098B">
        <w:rPr>
          <w:b/>
        </w:rPr>
        <w:t>Option2</w:t>
      </w:r>
      <w:r w:rsidR="00B0098B">
        <w:t>:</w:t>
      </w:r>
      <w:r>
        <w:t xml:space="preserve"> (to consider different AGC settling</w:t>
      </w:r>
      <w:r w:rsidR="00A434FE">
        <w:t xml:space="preserve"> time for different SCS at FR1)</w:t>
      </w:r>
    </w:p>
    <w:p w14:paraId="5F4FBF63" w14:textId="4EDD4BA5" w:rsidR="00116613" w:rsidRDefault="00116613" w:rsidP="00116613">
      <w:r>
        <w:t>–</w:t>
      </w:r>
      <w:r>
        <w:tab/>
        <w:t>At least 10RBs for all SCSs</w:t>
      </w:r>
    </w:p>
    <w:p w14:paraId="1E6E9953" w14:textId="77777777" w:rsidR="00661FAB" w:rsidRDefault="00661FAB" w:rsidP="00116613"/>
    <w:p w14:paraId="13FCB855" w14:textId="698D3428" w:rsidR="00661FAB" w:rsidRDefault="00661FAB" w:rsidP="00116613">
      <w:r>
        <w:t>In the simulation</w:t>
      </w:r>
      <w:r w:rsidR="00771314">
        <w:t>s</w:t>
      </w:r>
      <w:r>
        <w:t xml:space="preserve"> below the measurement error is shown with different</w:t>
      </w:r>
      <w:r w:rsidR="00771314">
        <w:t xml:space="preserve"> lengths of the</w:t>
      </w:r>
      <w:r>
        <w:t xml:space="preserve"> measurement filter.</w:t>
      </w:r>
    </w:p>
    <w:p w14:paraId="3C81E1B7" w14:textId="35E7C177" w:rsidR="00661FAB" w:rsidRPr="00C30B27" w:rsidRDefault="00661FAB" w:rsidP="00116613">
      <w:pPr>
        <w:rPr>
          <w:b/>
        </w:rPr>
      </w:pPr>
      <w:r w:rsidRPr="00C30B27">
        <w:rPr>
          <w:b/>
        </w:rPr>
        <w:t>OPTION 1:</w:t>
      </w:r>
    </w:p>
    <w:p w14:paraId="1FEBDADC" w14:textId="6916DD43" w:rsidR="00955798" w:rsidRDefault="00771314" w:rsidP="00116613">
      <w:r>
        <w:rPr>
          <w:noProof/>
          <w:lang w:val="en-US" w:eastAsia="ko-KR"/>
        </w:rPr>
        <w:drawing>
          <wp:inline distT="0" distB="0" distL="0" distR="0" wp14:anchorId="7D337F49" wp14:editId="522E5796">
            <wp:extent cx="6055200" cy="1591200"/>
            <wp:effectExtent l="0" t="0" r="317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55200" cy="1591200"/>
                    </a:xfrm>
                    <a:prstGeom prst="rect">
                      <a:avLst/>
                    </a:prstGeom>
                    <a:noFill/>
                  </pic:spPr>
                </pic:pic>
              </a:graphicData>
            </a:graphic>
          </wp:inline>
        </w:drawing>
      </w:r>
    </w:p>
    <w:p w14:paraId="08B53088" w14:textId="34057606" w:rsidR="00D016AB" w:rsidRDefault="00D016AB" w:rsidP="00116613">
      <w:r>
        <w:rPr>
          <w:noProof/>
          <w:lang w:val="en-US" w:eastAsia="ko-KR"/>
        </w:rPr>
        <w:drawing>
          <wp:inline distT="0" distB="0" distL="0" distR="0" wp14:anchorId="4A08C1D5" wp14:editId="508D91F4">
            <wp:extent cx="6062400" cy="1587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62400" cy="1587600"/>
                    </a:xfrm>
                    <a:prstGeom prst="rect">
                      <a:avLst/>
                    </a:prstGeom>
                    <a:noFill/>
                  </pic:spPr>
                </pic:pic>
              </a:graphicData>
            </a:graphic>
          </wp:inline>
        </w:drawing>
      </w:r>
    </w:p>
    <w:p w14:paraId="7EC95C94" w14:textId="1C05C758" w:rsidR="00D016AB" w:rsidRDefault="00661FAB" w:rsidP="00661FAB">
      <w:pPr>
        <w:pStyle w:val="BodyText"/>
      </w:pPr>
      <w:r w:rsidRPr="00B45C8E">
        <w:rPr>
          <w:b/>
          <w:u w:val="single"/>
        </w:rPr>
        <w:t>Observation</w:t>
      </w:r>
      <w:r>
        <w:rPr>
          <w:b/>
          <w:u w:val="single"/>
        </w:rPr>
        <w:t>1</w:t>
      </w:r>
      <w:r w:rsidRPr="00B45C8E">
        <w:rPr>
          <w:b/>
          <w:u w:val="single"/>
        </w:rPr>
        <w:t>:</w:t>
      </w:r>
      <w:r>
        <w:t xml:space="preserve"> With CP-OFDMA signal the targeted measurement accuracy</w:t>
      </w:r>
      <w:r w:rsidR="00FC67D5">
        <w:t xml:space="preserve"> of 3dB</w:t>
      </w:r>
      <w:r>
        <w:t xml:space="preserve"> is reached in with measurement filter length </w:t>
      </w:r>
      <w:r w:rsidR="00771314">
        <w:t>of about</w:t>
      </w:r>
      <w:r>
        <w:t xml:space="preserve"> 10us</w:t>
      </w:r>
      <w:r w:rsidR="00771314">
        <w:t>, and hence</w:t>
      </w:r>
      <w:r w:rsidR="00B0098B">
        <w:t xml:space="preserve"> total AGC settling could be about 3x(10+2)= 36us.</w:t>
      </w:r>
      <w:r w:rsidR="00771314">
        <w:t xml:space="preserve"> With DFTS-OFDMA </w:t>
      </w:r>
      <w:r w:rsidR="00C75FB5">
        <w:t xml:space="preserve">waveform </w:t>
      </w:r>
      <w:r w:rsidR="00771314">
        <w:t>significantly shorter measurement filter can be used.</w:t>
      </w:r>
    </w:p>
    <w:p w14:paraId="0C79654B" w14:textId="77777777" w:rsidR="00661FAB" w:rsidRDefault="00661FAB" w:rsidP="00661FAB">
      <w:pPr>
        <w:pStyle w:val="BodyText"/>
      </w:pPr>
    </w:p>
    <w:p w14:paraId="0F72D318" w14:textId="31028225" w:rsidR="00C30B27" w:rsidRDefault="00C30B27" w:rsidP="00C30B27">
      <w:pPr>
        <w:rPr>
          <w:b/>
        </w:rPr>
      </w:pPr>
      <w:r w:rsidRPr="00C30B27">
        <w:rPr>
          <w:b/>
        </w:rPr>
        <w:t xml:space="preserve">OPTION </w:t>
      </w:r>
      <w:r>
        <w:rPr>
          <w:b/>
        </w:rPr>
        <w:t>2</w:t>
      </w:r>
      <w:r w:rsidRPr="00C30B27">
        <w:rPr>
          <w:b/>
        </w:rPr>
        <w:t>:</w:t>
      </w:r>
    </w:p>
    <w:p w14:paraId="6BC2137F" w14:textId="19EC2AC5" w:rsidR="00C30B27" w:rsidRDefault="00C75FB5" w:rsidP="00116613">
      <w:r>
        <w:rPr>
          <w:noProof/>
          <w:lang w:val="en-US" w:eastAsia="ko-KR"/>
        </w:rPr>
        <w:drawing>
          <wp:inline distT="0" distB="0" distL="0" distR="0" wp14:anchorId="19FB98C9" wp14:editId="143179EC">
            <wp:extent cx="6058800" cy="1602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58800" cy="1602000"/>
                    </a:xfrm>
                    <a:prstGeom prst="rect">
                      <a:avLst/>
                    </a:prstGeom>
                    <a:noFill/>
                  </pic:spPr>
                </pic:pic>
              </a:graphicData>
            </a:graphic>
          </wp:inline>
        </w:drawing>
      </w:r>
    </w:p>
    <w:p w14:paraId="56F156D9" w14:textId="4352D5F6" w:rsidR="0042575C" w:rsidRDefault="0042575C" w:rsidP="00BD19A5">
      <w:pPr>
        <w:pStyle w:val="BodyText"/>
      </w:pPr>
      <w:r w:rsidRPr="00B45C8E">
        <w:rPr>
          <w:b/>
          <w:u w:val="single"/>
        </w:rPr>
        <w:lastRenderedPageBreak/>
        <w:t>Observation</w:t>
      </w:r>
      <w:r w:rsidR="00D016AB">
        <w:rPr>
          <w:b/>
          <w:u w:val="single"/>
        </w:rPr>
        <w:t>2</w:t>
      </w:r>
      <w:r w:rsidRPr="00B45C8E">
        <w:rPr>
          <w:b/>
          <w:u w:val="single"/>
        </w:rPr>
        <w:t>:</w:t>
      </w:r>
      <w:r>
        <w:t xml:space="preserve"> </w:t>
      </w:r>
      <w:r w:rsidR="00955798">
        <w:t>When</w:t>
      </w:r>
      <w:r>
        <w:t xml:space="preserve"> number of RBs is kept </w:t>
      </w:r>
      <w:r w:rsidR="00FC67D5">
        <w:t xml:space="preserve">at 10 for all SCS </w:t>
      </w:r>
      <w:r>
        <w:t>then shorter</w:t>
      </w:r>
      <w:r w:rsidR="00FC67D5">
        <w:t xml:space="preserve"> </w:t>
      </w:r>
      <w:r>
        <w:t>measurement filter</w:t>
      </w:r>
      <w:r w:rsidR="001606DD">
        <w:t xml:space="preserve"> length</w:t>
      </w:r>
      <w:r>
        <w:t xml:space="preserve"> can be used </w:t>
      </w:r>
      <w:r w:rsidR="00FC67D5">
        <w:t xml:space="preserve">with 30 and </w:t>
      </w:r>
      <w:proofErr w:type="gramStart"/>
      <w:r w:rsidR="00FC67D5">
        <w:t>60kHz</w:t>
      </w:r>
      <w:proofErr w:type="gramEnd"/>
      <w:r>
        <w:t xml:space="preserve"> SCS</w:t>
      </w:r>
      <w:r w:rsidR="00C75FB5">
        <w:t xml:space="preserve"> and hence also the required AGC settling time can be shorter.</w:t>
      </w:r>
      <w:r w:rsidR="005330CF">
        <w:t xml:space="preserve"> For </w:t>
      </w:r>
      <w:proofErr w:type="gramStart"/>
      <w:r w:rsidR="005330CF">
        <w:t>30kHz</w:t>
      </w:r>
      <w:proofErr w:type="gramEnd"/>
      <w:r w:rsidR="005330CF">
        <w:t xml:space="preserve"> SCS 50% shorter filter can be used than with 15kHz SCS and with 60kHz SCS the filter length can be again cut in half.</w:t>
      </w:r>
    </w:p>
    <w:p w14:paraId="54A2A092" w14:textId="150DAF9B" w:rsidR="005C63E8" w:rsidRPr="00E90D8D" w:rsidRDefault="005C63E8" w:rsidP="005C63E8">
      <w:pPr>
        <w:pStyle w:val="Heading2"/>
      </w:pPr>
      <w:r>
        <w:t>In-band emission</w:t>
      </w:r>
    </w:p>
    <w:p w14:paraId="53DB2194" w14:textId="77777777" w:rsidR="005C63E8" w:rsidRDefault="005C63E8" w:rsidP="00BD19A5">
      <w:pPr>
        <w:pStyle w:val="BodyText"/>
      </w:pPr>
    </w:p>
    <w:p w14:paraId="1A94AC4C" w14:textId="5A260D9C" w:rsidR="005C63E8" w:rsidRDefault="005C63E8" w:rsidP="00BD19A5">
      <w:pPr>
        <w:pStyle w:val="BodyText"/>
      </w:pPr>
      <w:r>
        <w:t xml:space="preserve">In [4] is was stated that current NR </w:t>
      </w:r>
      <w:r w:rsidR="00741752">
        <w:t xml:space="preserve">V2X </w:t>
      </w:r>
      <w:r>
        <w:t>IBE assumptions</w:t>
      </w:r>
      <w:r w:rsidR="00741752">
        <w:t xml:space="preserve"> are too relaxed and significantly better performance is achievable with current technologies and therefore following IBE mask was proposed.</w:t>
      </w:r>
    </w:p>
    <w:p w14:paraId="1324764F" w14:textId="77777777" w:rsidR="005C63E8" w:rsidRDefault="005C63E8" w:rsidP="00BD19A5">
      <w:pPr>
        <w:pStyle w:val="BodyText"/>
      </w:pPr>
    </w:p>
    <w:tbl>
      <w:tblPr>
        <w:tblStyle w:val="TableGrid"/>
        <w:tblW w:w="5000" w:type="pct"/>
        <w:tblLook w:val="04A0" w:firstRow="1" w:lastRow="0" w:firstColumn="1" w:lastColumn="0" w:noHBand="0" w:noVBand="1"/>
      </w:tblPr>
      <w:tblGrid>
        <w:gridCol w:w="1616"/>
        <w:gridCol w:w="8015"/>
      </w:tblGrid>
      <w:tr w:rsidR="005C63E8" w:rsidRPr="00220F1A" w14:paraId="67766A4B" w14:textId="77777777" w:rsidTr="00BE318B">
        <w:tc>
          <w:tcPr>
            <w:tcW w:w="839" w:type="pct"/>
            <w:shd w:val="clear" w:color="auto" w:fill="DEEAF6" w:themeFill="accent5" w:themeFillTint="33"/>
          </w:tcPr>
          <w:p w14:paraId="6FEFB349" w14:textId="77777777" w:rsidR="005C63E8" w:rsidRPr="00220F1A" w:rsidRDefault="005C63E8" w:rsidP="00BE318B">
            <w:pPr>
              <w:keepNext/>
              <w:spacing w:before="60" w:after="60"/>
              <w:rPr>
                <w:rFonts w:cs="Arial"/>
                <w:b/>
              </w:rPr>
            </w:pPr>
            <w:r w:rsidRPr="00220F1A">
              <w:rPr>
                <w:rFonts w:cs="Arial"/>
                <w:b/>
              </w:rPr>
              <w:t>Component</w:t>
            </w:r>
          </w:p>
        </w:tc>
        <w:tc>
          <w:tcPr>
            <w:tcW w:w="4161" w:type="pct"/>
            <w:shd w:val="clear" w:color="auto" w:fill="DEEAF6" w:themeFill="accent5" w:themeFillTint="33"/>
          </w:tcPr>
          <w:p w14:paraId="59BDF53F" w14:textId="77777777" w:rsidR="005C63E8" w:rsidRPr="00220F1A" w:rsidRDefault="005C63E8" w:rsidP="00BE318B">
            <w:pPr>
              <w:keepNext/>
              <w:spacing w:before="60" w:after="60"/>
              <w:rPr>
                <w:b/>
              </w:rPr>
            </w:pPr>
            <w:r w:rsidRPr="00220F1A">
              <w:rPr>
                <w:b/>
              </w:rPr>
              <w:t>Comments</w:t>
            </w:r>
          </w:p>
        </w:tc>
      </w:tr>
      <w:tr w:rsidR="005C63E8" w14:paraId="1FFE624B" w14:textId="77777777" w:rsidTr="00BE318B">
        <w:trPr>
          <w:trHeight w:val="2345"/>
        </w:trPr>
        <w:tc>
          <w:tcPr>
            <w:tcW w:w="839" w:type="pct"/>
          </w:tcPr>
          <w:p w14:paraId="44D8BB7A" w14:textId="77777777" w:rsidR="005C63E8" w:rsidRDefault="005C63E8" w:rsidP="00BE318B">
            <w:pPr>
              <w:spacing w:before="60" w:after="60"/>
            </w:pPr>
            <w:r w:rsidRPr="00611CC4">
              <w:rPr>
                <w:rFonts w:cs="Arial"/>
              </w:rPr>
              <w:t>General</w:t>
            </w:r>
            <w:r>
              <w:rPr>
                <w:rFonts w:cs="Arial"/>
              </w:rPr>
              <w:t xml:space="preserve"> IBE component</w:t>
            </w:r>
          </w:p>
        </w:tc>
        <w:tc>
          <w:tcPr>
            <w:tcW w:w="4161" w:type="pct"/>
          </w:tcPr>
          <w:p w14:paraId="499D174E" w14:textId="77777777" w:rsidR="005C63E8" w:rsidRDefault="005C63E8" w:rsidP="00BE318B">
            <w:pPr>
              <w:spacing w:before="60" w:after="60"/>
            </w:pPr>
            <w:r w:rsidRPr="00220F1A">
              <w:t xml:space="preserve">Due to technology advancement the general </w:t>
            </w:r>
            <w:r>
              <w:t xml:space="preserve">TX </w:t>
            </w:r>
            <w:r w:rsidRPr="00220F1A">
              <w:t>IBE limits can be tightened</w:t>
            </w:r>
            <w:r>
              <w:t xml:space="preserve"> </w:t>
            </w:r>
          </w:p>
          <w:p w14:paraId="2A93D8F7" w14:textId="77777777" w:rsidR="005C63E8" w:rsidRPr="00220F1A" w:rsidRDefault="005C63E8" w:rsidP="005C63E8">
            <w:pPr>
              <w:pStyle w:val="ListParagraph"/>
              <w:numPr>
                <w:ilvl w:val="0"/>
                <w:numId w:val="12"/>
              </w:numPr>
              <w:spacing w:before="60" w:after="60" w:line="280" w:lineRule="atLeast"/>
              <w:contextualSpacing w:val="0"/>
              <w:jc w:val="both"/>
            </w:pPr>
            <w:r>
              <w:t>7</w:t>
            </w:r>
            <w:r w:rsidRPr="00220F1A">
              <w:t>dB tightening is feasible for</w:t>
            </w:r>
            <w:r>
              <w:t xml:space="preserve"> the noise floor component (</w:t>
            </w:r>
            <w:r w:rsidRPr="00220F1A">
              <w:t>“</w:t>
            </w:r>
            <w:r w:rsidRPr="00220F1A">
              <w:rPr>
                <w:position w:val="-12"/>
              </w:rPr>
              <w:object w:dxaOrig="2580" w:dyaOrig="360" w14:anchorId="4A744A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pt;height:16.1pt" o:ole="">
                  <v:imagedata r:id="rId12" o:title=""/>
                </v:shape>
                <o:OLEObject Type="Embed" ProgID="Equation.DSMT4" ShapeID="_x0000_i1025" DrawAspect="Content" ObjectID="_1615663338" r:id="rId13"/>
              </w:object>
            </w:r>
            <w:r w:rsidRPr="00220F1A">
              <w:t>”</w:t>
            </w:r>
            <w:r>
              <w:t>)</w:t>
            </w:r>
          </w:p>
          <w:p w14:paraId="04F7361B" w14:textId="77777777" w:rsidR="005C63E8" w:rsidRPr="00220F1A" w:rsidRDefault="005C63E8" w:rsidP="005C63E8">
            <w:pPr>
              <w:pStyle w:val="ListParagraph"/>
              <w:numPr>
                <w:ilvl w:val="0"/>
                <w:numId w:val="12"/>
              </w:numPr>
              <w:spacing w:before="60" w:after="60" w:line="280" w:lineRule="atLeast"/>
              <w:contextualSpacing w:val="0"/>
              <w:jc w:val="both"/>
            </w:pPr>
            <w:r w:rsidRPr="00220F1A">
              <w:t>Achievable tightening for</w:t>
            </w:r>
            <w:r>
              <w:t xml:space="preserve"> the </w:t>
            </w:r>
            <w:r w:rsidRPr="00220F1A">
              <w:t>“</w:t>
            </w:r>
            <w:r w:rsidRPr="00220F1A">
              <w:rPr>
                <w:position w:val="-14"/>
              </w:rPr>
              <w:object w:dxaOrig="3660" w:dyaOrig="400" w14:anchorId="6A58E901">
                <v:shape id="_x0000_i1026" type="#_x0000_t75" style="width:154.75pt;height:17.2pt" o:ole="">
                  <v:imagedata r:id="rId14" o:title=""/>
                </v:shape>
                <o:OLEObject Type="Embed" ProgID="Equation.DSMT4" ShapeID="_x0000_i1026" DrawAspect="Content" ObjectID="_1615663339" r:id="rId15"/>
              </w:object>
            </w:r>
            <w:r w:rsidRPr="00220F1A">
              <w:t>” component typically depends on the TX modulation order. Two approaches can be considered:</w:t>
            </w:r>
          </w:p>
          <w:p w14:paraId="1AE34A08" w14:textId="77777777" w:rsidR="005C63E8" w:rsidRPr="00220F1A" w:rsidRDefault="005C63E8" w:rsidP="005C63E8">
            <w:pPr>
              <w:pStyle w:val="ListParagraph"/>
              <w:numPr>
                <w:ilvl w:val="1"/>
                <w:numId w:val="12"/>
              </w:numPr>
              <w:spacing w:before="60" w:after="60" w:line="280" w:lineRule="atLeast"/>
              <w:contextualSpacing w:val="0"/>
              <w:jc w:val="both"/>
            </w:pPr>
            <w:r>
              <w:t>Option 1: Apply tightening 0/4/7</w:t>
            </w:r>
            <w:r w:rsidRPr="00220F1A">
              <w:t xml:space="preserve"> dB tightening for 64QAM / 16QAM / QPSK</w:t>
            </w:r>
          </w:p>
          <w:p w14:paraId="1C9BCC6E" w14:textId="77777777" w:rsidR="005C63E8" w:rsidRPr="00220F1A" w:rsidRDefault="005C63E8" w:rsidP="005C63E8">
            <w:pPr>
              <w:pStyle w:val="ListParagraph"/>
              <w:numPr>
                <w:ilvl w:val="1"/>
                <w:numId w:val="12"/>
              </w:numPr>
              <w:spacing w:before="60" w:after="60" w:line="280" w:lineRule="atLeast"/>
              <w:contextualSpacing w:val="0"/>
              <w:jc w:val="both"/>
              <w:rPr>
                <w:i/>
              </w:rPr>
            </w:pPr>
            <w:r w:rsidRPr="00220F1A">
              <w:t xml:space="preserve">Option 2: Modify the component as follows: </w:t>
            </w:r>
            <w:r w:rsidRPr="00220F1A">
              <w:rPr>
                <w:i/>
              </w:rPr>
              <w:t>min(-20log10EVM, -25) – 3 – 5 (|ΔRB|-1)/LCRB</w:t>
            </w:r>
          </w:p>
        </w:tc>
      </w:tr>
      <w:tr w:rsidR="005C63E8" w14:paraId="7C4FC2C7" w14:textId="77777777" w:rsidTr="00BE318B">
        <w:tc>
          <w:tcPr>
            <w:tcW w:w="839" w:type="pct"/>
          </w:tcPr>
          <w:p w14:paraId="7D0D91E9" w14:textId="77777777" w:rsidR="005C63E8" w:rsidRDefault="005C63E8" w:rsidP="00BE318B">
            <w:pPr>
              <w:spacing w:before="60" w:after="60"/>
            </w:pPr>
            <w:r>
              <w:t>IQ image</w:t>
            </w:r>
          </w:p>
        </w:tc>
        <w:tc>
          <w:tcPr>
            <w:tcW w:w="4161" w:type="pct"/>
          </w:tcPr>
          <w:p w14:paraId="0CA3A078" w14:textId="77777777" w:rsidR="005C63E8" w:rsidRPr="00220F1A" w:rsidRDefault="005C63E8" w:rsidP="00BE318B">
            <w:pPr>
              <w:spacing w:before="60" w:after="60"/>
            </w:pPr>
            <w:r w:rsidRPr="00220F1A">
              <w:t xml:space="preserve">Due to technology advancements in IC process/design as well as RF/IF impairment compensation, IQ image issue becomes less challenging in current implementation and not a bottle neck any more for the performance requirement. </w:t>
            </w:r>
            <w:r>
              <w:t>In general, the IQ component can be removed from the IBE table.</w:t>
            </w:r>
          </w:p>
        </w:tc>
      </w:tr>
      <w:tr w:rsidR="005C63E8" w14:paraId="047AB571" w14:textId="77777777" w:rsidTr="00BE318B">
        <w:tc>
          <w:tcPr>
            <w:tcW w:w="839" w:type="pct"/>
          </w:tcPr>
          <w:p w14:paraId="1AF04C6C" w14:textId="77777777" w:rsidR="005C63E8" w:rsidRDefault="005C63E8" w:rsidP="00BE318B">
            <w:pPr>
              <w:spacing w:before="60" w:after="60"/>
            </w:pPr>
            <w:r w:rsidRPr="00611CC4">
              <w:rPr>
                <w:rFonts w:cs="Arial"/>
              </w:rPr>
              <w:t>Carrier leakage</w:t>
            </w:r>
          </w:p>
        </w:tc>
        <w:tc>
          <w:tcPr>
            <w:tcW w:w="4161" w:type="pct"/>
          </w:tcPr>
          <w:p w14:paraId="0FB09617" w14:textId="77777777" w:rsidR="005C63E8" w:rsidRDefault="005C63E8" w:rsidP="00BE318B">
            <w:pPr>
              <w:spacing w:before="60" w:after="60"/>
            </w:pPr>
            <w:r>
              <w:t xml:space="preserve">10 dB tightening of the carrier leakage can be considered at least for ≥ </w:t>
            </w:r>
            <w:r w:rsidRPr="00611CC4">
              <w:rPr>
                <w:rFonts w:cs="Arial"/>
              </w:rPr>
              <w:t xml:space="preserve">0 dBm </w:t>
            </w:r>
            <w:r>
              <w:rPr>
                <w:rFonts w:cs="Arial"/>
              </w:rPr>
              <w:t>o</w:t>
            </w:r>
            <w:r w:rsidRPr="00611CC4">
              <w:rPr>
                <w:rFonts w:cs="Arial"/>
              </w:rPr>
              <w:t>utput power</w:t>
            </w:r>
          </w:p>
        </w:tc>
      </w:tr>
      <w:tr w:rsidR="005C63E8" w14:paraId="482D7669" w14:textId="77777777" w:rsidTr="00BE318B">
        <w:tc>
          <w:tcPr>
            <w:tcW w:w="839" w:type="pct"/>
          </w:tcPr>
          <w:p w14:paraId="728F75A8" w14:textId="77777777" w:rsidR="005C63E8" w:rsidRPr="00611CC4" w:rsidRDefault="005C63E8" w:rsidP="00BE318B">
            <w:pPr>
              <w:spacing w:before="60" w:after="60"/>
              <w:rPr>
                <w:rFonts w:cs="Arial"/>
              </w:rPr>
            </w:pPr>
            <w:r>
              <w:rPr>
                <w:rFonts w:cs="Arial"/>
              </w:rPr>
              <w:t>Overall IBE limit</w:t>
            </w:r>
          </w:p>
        </w:tc>
        <w:tc>
          <w:tcPr>
            <w:tcW w:w="4161" w:type="pct"/>
          </w:tcPr>
          <w:p w14:paraId="04A1A46C" w14:textId="77777777" w:rsidR="005C63E8" w:rsidRDefault="005C63E8" w:rsidP="00BE318B">
            <w:pPr>
              <w:spacing w:before="60" w:after="60"/>
            </w:pPr>
            <w:r>
              <w:t>7 dB dB tightening is feasible for the overall IBE limit (</w:t>
            </w:r>
            <w:r w:rsidRPr="008136DD">
              <w:t>P</w:t>
            </w:r>
            <w:r w:rsidRPr="00844D93">
              <w:rPr>
                <w:vertAlign w:val="subscript"/>
              </w:rPr>
              <w:t>RB</w:t>
            </w:r>
            <w:r w:rsidRPr="008136DD">
              <w:t xml:space="preserve"> - </w:t>
            </w:r>
            <w:r>
              <w:t>37</w:t>
            </w:r>
            <w:r w:rsidRPr="008136DD">
              <w:t xml:space="preserve"> dB</w:t>
            </w:r>
            <w:r>
              <w:t>)</w:t>
            </w:r>
          </w:p>
        </w:tc>
      </w:tr>
    </w:tbl>
    <w:p w14:paraId="18A40402" w14:textId="77777777" w:rsidR="005C63E8" w:rsidRDefault="005C63E8" w:rsidP="00BD19A5">
      <w:pPr>
        <w:pStyle w:val="BodyText"/>
      </w:pPr>
    </w:p>
    <w:p w14:paraId="3C8C80D9" w14:textId="4F1B02C5" w:rsidR="006B75DB" w:rsidRDefault="00797533" w:rsidP="00116613">
      <w:r>
        <w:t xml:space="preserve">We assessed the assumptions above </w:t>
      </w:r>
      <w:r w:rsidR="00322071">
        <w:t>by introducing IQ-impairments</w:t>
      </w:r>
      <w:r w:rsidR="000D04CE">
        <w:t xml:space="preserve"> and other imperfections</w:t>
      </w:r>
      <w:r w:rsidR="00322071">
        <w:t xml:space="preserve"> that reflect the performance of current technology to the </w:t>
      </w:r>
      <w:r w:rsidR="00876ECD">
        <w:t>transmitter model</w:t>
      </w:r>
      <w:r w:rsidR="000D04CE">
        <w:t>.</w:t>
      </w:r>
    </w:p>
    <w:p w14:paraId="09B61139" w14:textId="026CC0B9" w:rsidR="00876ECD" w:rsidRDefault="00D2534D" w:rsidP="00116613">
      <w:r>
        <w:rPr>
          <w:noProof/>
          <w:lang w:val="en-US" w:eastAsia="ko-KR"/>
        </w:rPr>
        <w:drawing>
          <wp:inline distT="0" distB="0" distL="0" distR="0" wp14:anchorId="3BFEA0CB" wp14:editId="212A1D06">
            <wp:extent cx="3308400" cy="1965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08400" cy="1965600"/>
                    </a:xfrm>
                    <a:prstGeom prst="rect">
                      <a:avLst/>
                    </a:prstGeom>
                    <a:noFill/>
                  </pic:spPr>
                </pic:pic>
              </a:graphicData>
            </a:graphic>
          </wp:inline>
        </w:drawing>
      </w:r>
      <w:bookmarkStart w:id="1" w:name="_GoBack"/>
      <w:bookmarkEnd w:id="1"/>
    </w:p>
    <w:p w14:paraId="75B04F40" w14:textId="4188C7A0" w:rsidR="006B75DB" w:rsidRDefault="006B75DB" w:rsidP="006B75DB">
      <w:pPr>
        <w:pStyle w:val="BodyText"/>
      </w:pPr>
      <w:r w:rsidRPr="00B45C8E">
        <w:rPr>
          <w:b/>
          <w:u w:val="single"/>
        </w:rPr>
        <w:t>Observation</w:t>
      </w:r>
      <w:r>
        <w:rPr>
          <w:b/>
          <w:u w:val="single"/>
        </w:rPr>
        <w:t xml:space="preserve"> 3</w:t>
      </w:r>
      <w:r w:rsidRPr="00B45C8E">
        <w:rPr>
          <w:b/>
          <w:u w:val="single"/>
        </w:rPr>
        <w:t>:</w:t>
      </w:r>
      <w:r>
        <w:t xml:space="preserve"> Based on the simulation results we </w:t>
      </w:r>
      <w:r w:rsidR="00EB2147">
        <w:t>observe</w:t>
      </w:r>
      <w:r>
        <w:t xml:space="preserve"> that there </w:t>
      </w:r>
      <w:r w:rsidR="00107011">
        <w:t>does</w:t>
      </w:r>
      <w:r w:rsidR="00EB2147">
        <w:t xml:space="preserve"> </w:t>
      </w:r>
      <w:r>
        <w:t xml:space="preserve">not </w:t>
      </w:r>
      <w:r w:rsidR="00107011">
        <w:t>seem to be</w:t>
      </w:r>
      <w:r>
        <w:t xml:space="preserve"> issues linked with changes proposed for Carrier leakage,</w:t>
      </w:r>
      <w:r w:rsidR="00F63D5C">
        <w:t xml:space="preserve"> IQ-image and overall IBE limit. Proposed new IBE targets are challenging but achievable.</w:t>
      </w:r>
      <w:r>
        <w:t xml:space="preserve"> </w:t>
      </w:r>
      <w:r w:rsidR="00F63D5C">
        <w:t>H</w:t>
      </w:r>
      <w:r>
        <w:t xml:space="preserve">owever, there seems to be quite small margin between the mask and the emissions </w:t>
      </w:r>
      <w:r w:rsidR="00F63D5C">
        <w:t>in the area that’s impacted by the non-linearity of the transmit chain</w:t>
      </w:r>
      <w:r>
        <w:t xml:space="preserve"> and hence further analysis </w:t>
      </w:r>
      <w:r w:rsidR="002306E2">
        <w:t>should</w:t>
      </w:r>
      <w:r>
        <w:t xml:space="preserve"> be necessary.</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B45CB1B" w14:textId="0B6E48C4" w:rsidR="005330CF" w:rsidRDefault="00322071" w:rsidP="00876ECD">
      <w:r>
        <w:t xml:space="preserve">We analysed in this contribution </w:t>
      </w:r>
      <w:r w:rsidR="005330CF">
        <w:t xml:space="preserve">if shorter AGC time is achievable in NR V2X including the case with 15 kHz SCS and conclude that AGC settling time of 0.5 symbols is possible with 10RB CP-OFDMA signal. The settling time can be </w:t>
      </w:r>
      <w:r w:rsidR="005330CF">
        <w:lastRenderedPageBreak/>
        <w:t xml:space="preserve">further reduced by using another kind of waveform like DFTS-OFDMA. If 10 RBs are used with 30 and </w:t>
      </w:r>
      <w:proofErr w:type="gramStart"/>
      <w:r w:rsidR="005330CF">
        <w:t>60kHz</w:t>
      </w:r>
      <w:proofErr w:type="gramEnd"/>
      <w:r w:rsidR="005330CF">
        <w:t xml:space="preserve"> SCS signals it</w:t>
      </w:r>
      <w:r w:rsidR="00823A75">
        <w:t xml:space="preserve"> i</w:t>
      </w:r>
      <w:r w:rsidR="005330CF">
        <w:t xml:space="preserve">s possible to use </w:t>
      </w:r>
      <w:r w:rsidR="00823A75">
        <w:t>reach</w:t>
      </w:r>
      <w:r w:rsidR="005330CF">
        <w:t xml:space="preserve"> times that are about 0.5 symbols</w:t>
      </w:r>
      <w:r w:rsidR="006B7B3C">
        <w:t xml:space="preserve"> (30 or 60kHz symbol)</w:t>
      </w:r>
      <w:r w:rsidR="005330CF">
        <w:t xml:space="preserve"> as with 15kHz SCS.</w:t>
      </w:r>
    </w:p>
    <w:p w14:paraId="000F700D" w14:textId="2CE5ACC8" w:rsidR="004727AA" w:rsidRDefault="00364F1C" w:rsidP="003B61A8">
      <w:pPr>
        <w:pBdr>
          <w:bottom w:val="single" w:sz="4" w:space="1" w:color="auto"/>
        </w:pBdr>
      </w:pPr>
      <w:r>
        <w:t>We did analysis to the IBE proposal presented in [4]. Based on the simulation results we conclude that there should not be any issues linked with changes proposed for Carrier leakage,</w:t>
      </w:r>
      <w:r w:rsidR="00E27B47">
        <w:t xml:space="preserve"> IQ-image and overall IBE limit.</w:t>
      </w:r>
      <w:r>
        <w:t xml:space="preserve"> </w:t>
      </w:r>
      <w:r w:rsidR="00E27B47">
        <w:t>However, there seems to be quite small margin between the mask and the emissions in the area that’s impacted by the non-linearity of the transmit chain and hence further analysis should be necessary.</w:t>
      </w:r>
    </w:p>
    <w:p w14:paraId="021D88AE" w14:textId="77777777" w:rsidR="00364F1C" w:rsidRDefault="00364F1C"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156500E7" w14:textId="77777777" w:rsidR="00AB6879" w:rsidRDefault="00AB6879" w:rsidP="00AB6879">
      <w:pPr>
        <w:ind w:left="709" w:hanging="709"/>
      </w:pPr>
      <w:r>
        <w:t>[1]</w:t>
      </w:r>
      <w:r>
        <w:tab/>
        <w:t>R1-1810006 “LS on IBE model for V2X”, RAN WG1, Ericsson, RAN1 #94, August 2018</w:t>
      </w:r>
    </w:p>
    <w:p w14:paraId="08AAA65C" w14:textId="4A1952CA" w:rsidR="00AA15A6" w:rsidRDefault="00AB6879" w:rsidP="00AB6879">
      <w:pPr>
        <w:ind w:left="709" w:hanging="709"/>
      </w:pPr>
      <w:r>
        <w:t>[2]</w:t>
      </w:r>
      <w:r>
        <w:tab/>
        <w:t>R4-1816666 “Reply LS on NR V2x”, LG Electronics, RAN4#89, November 2018</w:t>
      </w:r>
    </w:p>
    <w:p w14:paraId="3ECDC421" w14:textId="2D2BEC6D" w:rsidR="00574B44" w:rsidRDefault="00574B44" w:rsidP="00574B44">
      <w:pPr>
        <w:ind w:left="709" w:hanging="709"/>
      </w:pPr>
      <w:r>
        <w:t>[3]</w:t>
      </w:r>
      <w:r>
        <w:tab/>
      </w:r>
      <w:r w:rsidRPr="00574B44">
        <w:t xml:space="preserve">R4-1900691 </w:t>
      </w:r>
      <w:r>
        <w:t>“</w:t>
      </w:r>
      <w:r w:rsidRPr="00574B44">
        <w:t>On AGC settling time</w:t>
      </w:r>
      <w:r>
        <w:t xml:space="preserve">”, </w:t>
      </w:r>
      <w:r w:rsidRPr="00574B44">
        <w:t>MediaTek Inc.</w:t>
      </w:r>
      <w:r>
        <w:t>, RAN4#90, February 2019</w:t>
      </w:r>
    </w:p>
    <w:p w14:paraId="78AA0DFA" w14:textId="44CAB1EE" w:rsidR="00574B44" w:rsidRPr="00AB6879" w:rsidRDefault="00574B44" w:rsidP="00574B44">
      <w:pPr>
        <w:ind w:left="709" w:hanging="709"/>
      </w:pPr>
      <w:r>
        <w:t>[4]</w:t>
      </w:r>
      <w:r>
        <w:tab/>
      </w:r>
      <w:r w:rsidRPr="00574B44">
        <w:t>R4-1900165</w:t>
      </w:r>
      <w:r>
        <w:t xml:space="preserve"> “</w:t>
      </w:r>
      <w:r w:rsidRPr="00574B44">
        <w:t>On NR V2X in-band emission model</w:t>
      </w:r>
      <w:r>
        <w:t xml:space="preserve">”, </w:t>
      </w:r>
      <w:r w:rsidRPr="00574B44">
        <w:t>Intel Corporation</w:t>
      </w:r>
      <w:r>
        <w:t>, RAN4#90, February 2019</w:t>
      </w:r>
    </w:p>
    <w:p w14:paraId="00FCADF4" w14:textId="77777777" w:rsidR="00574B44" w:rsidRPr="00AB6879" w:rsidRDefault="00574B44" w:rsidP="00574B44">
      <w:pPr>
        <w:ind w:left="709" w:hanging="709"/>
      </w:pPr>
    </w:p>
    <w:p w14:paraId="53820A30" w14:textId="77777777" w:rsidR="00574B44" w:rsidRPr="00AB6879" w:rsidRDefault="00574B44" w:rsidP="00AB6879">
      <w:pPr>
        <w:ind w:left="709" w:hanging="709"/>
      </w:pPr>
    </w:p>
    <w:p w14:paraId="35EE84EA" w14:textId="7370CDC7" w:rsidR="003B61A8" w:rsidRDefault="003B61A8" w:rsidP="003B61A8">
      <w:pPr>
        <w:ind w:left="709" w:hanging="709"/>
      </w:pPr>
      <w:r>
        <w:tab/>
      </w:r>
    </w:p>
    <w:bookmarkEnd w:id="0"/>
    <w:p w14:paraId="7185828F" w14:textId="77777777" w:rsidR="005C7173" w:rsidRDefault="005C7173" w:rsidP="005C7173"/>
    <w:sectPr w:rsidR="005C717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CB6A1D" w14:textId="77777777" w:rsidR="009C76CC" w:rsidRDefault="009C76CC">
      <w:r>
        <w:separator/>
      </w:r>
    </w:p>
  </w:endnote>
  <w:endnote w:type="continuationSeparator" w:id="0">
    <w:p w14:paraId="30820FC1" w14:textId="77777777" w:rsidR="009C76CC" w:rsidRDefault="009C7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8F300D" w14:textId="77777777" w:rsidR="00BE318B" w:rsidRDefault="00BE318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B6ECE9" w14:textId="77777777" w:rsidR="009C76CC" w:rsidRDefault="009C76CC">
      <w:r>
        <w:separator/>
      </w:r>
    </w:p>
  </w:footnote>
  <w:footnote w:type="continuationSeparator" w:id="0">
    <w:p w14:paraId="238D07D4" w14:textId="77777777" w:rsidR="009C76CC" w:rsidRDefault="009C76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65FF5" w14:textId="77777777" w:rsidR="00BE318B" w:rsidRDefault="00BE318B">
    <w:pPr>
      <w:framePr w:h="284" w:hRule="exact" w:wrap="around" w:vAnchor="text" w:hAnchor="margin" w:xAlign="right" w:y="1"/>
      <w:rPr>
        <w:rFonts w:ascii="Arial" w:hAnsi="Arial" w:cs="Arial"/>
        <w:b/>
        <w:sz w:val="18"/>
        <w:szCs w:val="18"/>
      </w:rPr>
    </w:pPr>
  </w:p>
  <w:p w14:paraId="528BFD4A" w14:textId="77777777" w:rsidR="00BE318B" w:rsidRDefault="00BE31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6E30">
      <w:rPr>
        <w:rFonts w:ascii="Arial" w:hAnsi="Arial" w:cs="Arial"/>
        <w:b/>
        <w:noProof/>
        <w:sz w:val="18"/>
        <w:szCs w:val="18"/>
      </w:rPr>
      <w:t>4</w:t>
    </w:r>
    <w:r>
      <w:rPr>
        <w:rFonts w:ascii="Arial" w:hAnsi="Arial" w:cs="Arial"/>
        <w:b/>
        <w:sz w:val="18"/>
        <w:szCs w:val="18"/>
      </w:rPr>
      <w:fldChar w:fldCharType="end"/>
    </w:r>
  </w:p>
  <w:p w14:paraId="5F80DE11" w14:textId="77777777" w:rsidR="00BE318B" w:rsidRDefault="00BE318B">
    <w:pPr>
      <w:framePr w:h="284" w:hRule="exact" w:wrap="around" w:vAnchor="text" w:hAnchor="margin" w:y="7"/>
      <w:rPr>
        <w:rFonts w:ascii="Arial" w:hAnsi="Arial" w:cs="Arial"/>
        <w:b/>
        <w:sz w:val="18"/>
        <w:szCs w:val="18"/>
      </w:rPr>
    </w:pPr>
  </w:p>
  <w:p w14:paraId="6DD41860" w14:textId="77777777" w:rsidR="00BE318B" w:rsidRDefault="00BE31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DC15D1"/>
    <w:multiLevelType w:val="hybridMultilevel"/>
    <w:tmpl w:val="79622D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0D5F211C"/>
    <w:multiLevelType w:val="hybridMultilevel"/>
    <w:tmpl w:val="27E4DA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249B7C36"/>
    <w:multiLevelType w:val="hybridMultilevel"/>
    <w:tmpl w:val="E1728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48B209C6"/>
    <w:multiLevelType w:val="multilevel"/>
    <w:tmpl w:val="463612E6"/>
    <w:lvl w:ilvl="0">
      <w:start w:val="1"/>
      <w:numFmt w:val="decimal"/>
      <w:lvlText w:val="%1."/>
      <w:lvlJc w:val="left"/>
      <w:pPr>
        <w:ind w:left="720" w:hanging="360"/>
      </w:pPr>
      <w:rPr>
        <w:rFonts w:hint="default"/>
      </w:rPr>
    </w:lvl>
    <w:lvl w:ilvl="1">
      <w:start w:val="1"/>
      <w:numFmt w:val="decimal"/>
      <w:pStyle w:val="Heading2"/>
      <w:isLgl/>
      <w:lvlText w:val="%1.%2"/>
      <w:lvlJc w:val="left"/>
      <w:pPr>
        <w:ind w:left="1674" w:hanging="1314"/>
      </w:pPr>
      <w:rPr>
        <w:rFonts w:hint="default"/>
      </w:rPr>
    </w:lvl>
    <w:lvl w:ilvl="2">
      <w:start w:val="1"/>
      <w:numFmt w:val="decimal"/>
      <w:isLgl/>
      <w:lvlText w:val="%1.%2.%3"/>
      <w:lvlJc w:val="left"/>
      <w:pPr>
        <w:ind w:left="1674" w:hanging="1314"/>
      </w:pPr>
      <w:rPr>
        <w:rFonts w:hint="default"/>
      </w:rPr>
    </w:lvl>
    <w:lvl w:ilvl="3">
      <w:start w:val="1"/>
      <w:numFmt w:val="decimal"/>
      <w:isLgl/>
      <w:lvlText w:val="%1.%2.%3.%4"/>
      <w:lvlJc w:val="left"/>
      <w:pPr>
        <w:ind w:left="2034" w:hanging="1674"/>
      </w:pPr>
      <w:rPr>
        <w:rFonts w:hint="default"/>
      </w:rPr>
    </w:lvl>
    <w:lvl w:ilvl="4">
      <w:start w:val="1"/>
      <w:numFmt w:val="decimal"/>
      <w:isLgl/>
      <w:lvlText w:val="%1.%2.%3.%4.%5"/>
      <w:lvlJc w:val="left"/>
      <w:pPr>
        <w:ind w:left="2394" w:hanging="2034"/>
      </w:pPr>
      <w:rPr>
        <w:rFonts w:hint="default"/>
      </w:rPr>
    </w:lvl>
    <w:lvl w:ilvl="5">
      <w:start w:val="1"/>
      <w:numFmt w:val="decimal"/>
      <w:isLgl/>
      <w:lvlText w:val="%1.%2.%3.%4.%5.%6"/>
      <w:lvlJc w:val="left"/>
      <w:pPr>
        <w:ind w:left="2754" w:hanging="2394"/>
      </w:pPr>
      <w:rPr>
        <w:rFonts w:hint="default"/>
      </w:rPr>
    </w:lvl>
    <w:lvl w:ilvl="6">
      <w:start w:val="1"/>
      <w:numFmt w:val="decimal"/>
      <w:isLgl/>
      <w:lvlText w:val="%1.%2.%3.%4.%5.%6.%7"/>
      <w:lvlJc w:val="left"/>
      <w:pPr>
        <w:ind w:left="2754" w:hanging="2394"/>
      </w:pPr>
      <w:rPr>
        <w:rFonts w:hint="default"/>
      </w:rPr>
    </w:lvl>
    <w:lvl w:ilvl="7">
      <w:start w:val="1"/>
      <w:numFmt w:val="decimal"/>
      <w:isLgl/>
      <w:lvlText w:val="%1.%2.%3.%4.%5.%6.%7.%8"/>
      <w:lvlJc w:val="left"/>
      <w:pPr>
        <w:ind w:left="3114" w:hanging="2754"/>
      </w:pPr>
      <w:rPr>
        <w:rFonts w:hint="default"/>
      </w:rPr>
    </w:lvl>
    <w:lvl w:ilvl="8">
      <w:start w:val="1"/>
      <w:numFmt w:val="decimal"/>
      <w:isLgl/>
      <w:lvlText w:val="%1.%2.%3.%4.%5.%6.%7.%8.%9"/>
      <w:lvlJc w:val="left"/>
      <w:pPr>
        <w:ind w:left="3474" w:hanging="3114"/>
      </w:pPr>
      <w:rPr>
        <w:rFonts w:hint="default"/>
      </w:rPr>
    </w:lvl>
  </w:abstractNum>
  <w:abstractNum w:abstractNumId="7">
    <w:nsid w:val="59864264"/>
    <w:multiLevelType w:val="hybridMultilevel"/>
    <w:tmpl w:val="9D786E4E"/>
    <w:lvl w:ilvl="0" w:tplc="B29691DE">
      <w:start w:val="1"/>
      <w:numFmt w:val="lowerLetter"/>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B5A1E9B"/>
    <w:multiLevelType w:val="hybridMultilevel"/>
    <w:tmpl w:val="ACF6D9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72AE4A5C"/>
    <w:multiLevelType w:val="hybridMultilevel"/>
    <w:tmpl w:val="D9BEE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8"/>
  </w:num>
  <w:num w:numId="7">
    <w:abstractNumId w:val="3"/>
  </w:num>
  <w:num w:numId="8">
    <w:abstractNumId w:val="2"/>
  </w:num>
  <w:num w:numId="9">
    <w:abstractNumId w:val="10"/>
  </w:num>
  <w:num w:numId="10">
    <w:abstractNumId w:val="7"/>
  </w:num>
  <w:num w:numId="11">
    <w:abstractNumId w:val="9"/>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54E3"/>
    <w:rsid w:val="00040095"/>
    <w:rsid w:val="00051834"/>
    <w:rsid w:val="00054A22"/>
    <w:rsid w:val="000560CC"/>
    <w:rsid w:val="000655A6"/>
    <w:rsid w:val="00080512"/>
    <w:rsid w:val="00092E8C"/>
    <w:rsid w:val="00094D53"/>
    <w:rsid w:val="00096009"/>
    <w:rsid w:val="000D04CE"/>
    <w:rsid w:val="000D4F7D"/>
    <w:rsid w:val="000D58AB"/>
    <w:rsid w:val="000D696C"/>
    <w:rsid w:val="000E1DEA"/>
    <w:rsid w:val="000E632F"/>
    <w:rsid w:val="000F0805"/>
    <w:rsid w:val="000F5CEF"/>
    <w:rsid w:val="00106F91"/>
    <w:rsid w:val="00107011"/>
    <w:rsid w:val="001104E1"/>
    <w:rsid w:val="00116613"/>
    <w:rsid w:val="00130409"/>
    <w:rsid w:val="00155B44"/>
    <w:rsid w:val="001606DD"/>
    <w:rsid w:val="001679CC"/>
    <w:rsid w:val="00176C71"/>
    <w:rsid w:val="001862BC"/>
    <w:rsid w:val="001A061A"/>
    <w:rsid w:val="001C1DF4"/>
    <w:rsid w:val="001D02C2"/>
    <w:rsid w:val="001E62AA"/>
    <w:rsid w:val="001F168B"/>
    <w:rsid w:val="001F33FD"/>
    <w:rsid w:val="001F4F99"/>
    <w:rsid w:val="002100A0"/>
    <w:rsid w:val="0022113D"/>
    <w:rsid w:val="002306E2"/>
    <w:rsid w:val="00231DE5"/>
    <w:rsid w:val="0023254C"/>
    <w:rsid w:val="002347A2"/>
    <w:rsid w:val="00241D8F"/>
    <w:rsid w:val="002453B2"/>
    <w:rsid w:val="002559C7"/>
    <w:rsid w:val="002668B3"/>
    <w:rsid w:val="00280CDB"/>
    <w:rsid w:val="00284DE7"/>
    <w:rsid w:val="002A0978"/>
    <w:rsid w:val="002B067D"/>
    <w:rsid w:val="002B0AA9"/>
    <w:rsid w:val="002B0B48"/>
    <w:rsid w:val="002D5211"/>
    <w:rsid w:val="002E2D39"/>
    <w:rsid w:val="002F1E03"/>
    <w:rsid w:val="00310212"/>
    <w:rsid w:val="00316D6A"/>
    <w:rsid w:val="003172DC"/>
    <w:rsid w:val="00322071"/>
    <w:rsid w:val="003222F5"/>
    <w:rsid w:val="003348D7"/>
    <w:rsid w:val="00335122"/>
    <w:rsid w:val="00346675"/>
    <w:rsid w:val="0035462D"/>
    <w:rsid w:val="00361E87"/>
    <w:rsid w:val="00364F1C"/>
    <w:rsid w:val="003A5872"/>
    <w:rsid w:val="003B1D4A"/>
    <w:rsid w:val="003B61A8"/>
    <w:rsid w:val="003C3971"/>
    <w:rsid w:val="003D2E39"/>
    <w:rsid w:val="003E5232"/>
    <w:rsid w:val="003F4B49"/>
    <w:rsid w:val="004239C7"/>
    <w:rsid w:val="0042575C"/>
    <w:rsid w:val="00437048"/>
    <w:rsid w:val="0046159B"/>
    <w:rsid w:val="004727AA"/>
    <w:rsid w:val="004823CC"/>
    <w:rsid w:val="004833F2"/>
    <w:rsid w:val="00494A51"/>
    <w:rsid w:val="00497499"/>
    <w:rsid w:val="004A4210"/>
    <w:rsid w:val="004B372C"/>
    <w:rsid w:val="004B5078"/>
    <w:rsid w:val="004C79CD"/>
    <w:rsid w:val="004D3578"/>
    <w:rsid w:val="004E0C1D"/>
    <w:rsid w:val="004E213A"/>
    <w:rsid w:val="004E29CC"/>
    <w:rsid w:val="004F499C"/>
    <w:rsid w:val="004F4D5A"/>
    <w:rsid w:val="004F5381"/>
    <w:rsid w:val="0050060A"/>
    <w:rsid w:val="0050227C"/>
    <w:rsid w:val="00512F3B"/>
    <w:rsid w:val="005330CF"/>
    <w:rsid w:val="00535187"/>
    <w:rsid w:val="00543E6C"/>
    <w:rsid w:val="00565087"/>
    <w:rsid w:val="00574B44"/>
    <w:rsid w:val="00592A9D"/>
    <w:rsid w:val="00594E26"/>
    <w:rsid w:val="005B2A04"/>
    <w:rsid w:val="005B3C73"/>
    <w:rsid w:val="005B4A0A"/>
    <w:rsid w:val="005C2897"/>
    <w:rsid w:val="005C63E8"/>
    <w:rsid w:val="005C7173"/>
    <w:rsid w:val="005D2E01"/>
    <w:rsid w:val="005D3EE8"/>
    <w:rsid w:val="005D7C3E"/>
    <w:rsid w:val="00612061"/>
    <w:rsid w:val="00614FDF"/>
    <w:rsid w:val="0062745C"/>
    <w:rsid w:val="00632337"/>
    <w:rsid w:val="006437A9"/>
    <w:rsid w:val="00661FAB"/>
    <w:rsid w:val="006639DB"/>
    <w:rsid w:val="00674E7D"/>
    <w:rsid w:val="00695CF6"/>
    <w:rsid w:val="006A16FA"/>
    <w:rsid w:val="006B75DB"/>
    <w:rsid w:val="006B7B3C"/>
    <w:rsid w:val="006D1100"/>
    <w:rsid w:val="006E5C86"/>
    <w:rsid w:val="0071442A"/>
    <w:rsid w:val="007148E4"/>
    <w:rsid w:val="007170B2"/>
    <w:rsid w:val="0073121F"/>
    <w:rsid w:val="00734A5B"/>
    <w:rsid w:val="00736381"/>
    <w:rsid w:val="00741752"/>
    <w:rsid w:val="007441D4"/>
    <w:rsid w:val="00744897"/>
    <w:rsid w:val="00744E76"/>
    <w:rsid w:val="007577CB"/>
    <w:rsid w:val="00771314"/>
    <w:rsid w:val="00771315"/>
    <w:rsid w:val="00781F0F"/>
    <w:rsid w:val="00797533"/>
    <w:rsid w:val="00797B5D"/>
    <w:rsid w:val="007A0F21"/>
    <w:rsid w:val="007B4A73"/>
    <w:rsid w:val="007C3229"/>
    <w:rsid w:val="007C4C45"/>
    <w:rsid w:val="007D421A"/>
    <w:rsid w:val="007F52D4"/>
    <w:rsid w:val="0080242C"/>
    <w:rsid w:val="008028A4"/>
    <w:rsid w:val="00804265"/>
    <w:rsid w:val="00805820"/>
    <w:rsid w:val="008238A3"/>
    <w:rsid w:val="00823A75"/>
    <w:rsid w:val="00831F6E"/>
    <w:rsid w:val="00843454"/>
    <w:rsid w:val="00860C68"/>
    <w:rsid w:val="008666F8"/>
    <w:rsid w:val="00872E34"/>
    <w:rsid w:val="008768CA"/>
    <w:rsid w:val="00876ECD"/>
    <w:rsid w:val="008877E6"/>
    <w:rsid w:val="008A6919"/>
    <w:rsid w:val="008B735F"/>
    <w:rsid w:val="008C0085"/>
    <w:rsid w:val="008C2529"/>
    <w:rsid w:val="008C3C16"/>
    <w:rsid w:val="008F6912"/>
    <w:rsid w:val="008F7ADF"/>
    <w:rsid w:val="0090271F"/>
    <w:rsid w:val="00902E23"/>
    <w:rsid w:val="0090598A"/>
    <w:rsid w:val="00907978"/>
    <w:rsid w:val="00911179"/>
    <w:rsid w:val="0091348E"/>
    <w:rsid w:val="00917CCB"/>
    <w:rsid w:val="009228DF"/>
    <w:rsid w:val="0092774C"/>
    <w:rsid w:val="00942EC2"/>
    <w:rsid w:val="00944C13"/>
    <w:rsid w:val="00953E60"/>
    <w:rsid w:val="00955798"/>
    <w:rsid w:val="00972827"/>
    <w:rsid w:val="00974355"/>
    <w:rsid w:val="009771D7"/>
    <w:rsid w:val="009A2D2D"/>
    <w:rsid w:val="009A6CF4"/>
    <w:rsid w:val="009B13F6"/>
    <w:rsid w:val="009B36E3"/>
    <w:rsid w:val="009B5100"/>
    <w:rsid w:val="009C76CC"/>
    <w:rsid w:val="009F37B7"/>
    <w:rsid w:val="00A10F02"/>
    <w:rsid w:val="00A164B4"/>
    <w:rsid w:val="00A434FE"/>
    <w:rsid w:val="00A47BFF"/>
    <w:rsid w:val="00A52E5D"/>
    <w:rsid w:val="00A53724"/>
    <w:rsid w:val="00A77AD7"/>
    <w:rsid w:val="00A82346"/>
    <w:rsid w:val="00A83956"/>
    <w:rsid w:val="00AA1173"/>
    <w:rsid w:val="00AA15A6"/>
    <w:rsid w:val="00AB6879"/>
    <w:rsid w:val="00AC17A1"/>
    <w:rsid w:val="00B0098B"/>
    <w:rsid w:val="00B04F40"/>
    <w:rsid w:val="00B14246"/>
    <w:rsid w:val="00B15449"/>
    <w:rsid w:val="00B226E1"/>
    <w:rsid w:val="00B45C8E"/>
    <w:rsid w:val="00B476B7"/>
    <w:rsid w:val="00B57386"/>
    <w:rsid w:val="00B91EB0"/>
    <w:rsid w:val="00B96C0C"/>
    <w:rsid w:val="00BC0F7D"/>
    <w:rsid w:val="00BC2CD0"/>
    <w:rsid w:val="00BD19A5"/>
    <w:rsid w:val="00BD24B4"/>
    <w:rsid w:val="00BD68FC"/>
    <w:rsid w:val="00BE318B"/>
    <w:rsid w:val="00BE4133"/>
    <w:rsid w:val="00BF1095"/>
    <w:rsid w:val="00BF1C81"/>
    <w:rsid w:val="00BF4BE6"/>
    <w:rsid w:val="00C17A60"/>
    <w:rsid w:val="00C252FE"/>
    <w:rsid w:val="00C30B27"/>
    <w:rsid w:val="00C30D5B"/>
    <w:rsid w:val="00C33079"/>
    <w:rsid w:val="00C371B3"/>
    <w:rsid w:val="00C45231"/>
    <w:rsid w:val="00C6035E"/>
    <w:rsid w:val="00C72833"/>
    <w:rsid w:val="00C75FB5"/>
    <w:rsid w:val="00C92C8B"/>
    <w:rsid w:val="00C93F40"/>
    <w:rsid w:val="00CA3B1D"/>
    <w:rsid w:val="00CA3D0C"/>
    <w:rsid w:val="00CA3D41"/>
    <w:rsid w:val="00CA47BF"/>
    <w:rsid w:val="00CB380A"/>
    <w:rsid w:val="00CB67A2"/>
    <w:rsid w:val="00CC3F7F"/>
    <w:rsid w:val="00CD110C"/>
    <w:rsid w:val="00D00FB2"/>
    <w:rsid w:val="00D016AB"/>
    <w:rsid w:val="00D11B3A"/>
    <w:rsid w:val="00D16E0F"/>
    <w:rsid w:val="00D2534D"/>
    <w:rsid w:val="00D2544C"/>
    <w:rsid w:val="00D40C15"/>
    <w:rsid w:val="00D455C6"/>
    <w:rsid w:val="00D4682F"/>
    <w:rsid w:val="00D56778"/>
    <w:rsid w:val="00D57AF2"/>
    <w:rsid w:val="00D7322C"/>
    <w:rsid w:val="00D738D6"/>
    <w:rsid w:val="00D755EB"/>
    <w:rsid w:val="00D87E00"/>
    <w:rsid w:val="00D9134D"/>
    <w:rsid w:val="00D96451"/>
    <w:rsid w:val="00DA7A03"/>
    <w:rsid w:val="00DB1818"/>
    <w:rsid w:val="00DB2DD7"/>
    <w:rsid w:val="00DB6E30"/>
    <w:rsid w:val="00DB7E48"/>
    <w:rsid w:val="00DC309B"/>
    <w:rsid w:val="00DC4DA2"/>
    <w:rsid w:val="00DC509E"/>
    <w:rsid w:val="00DD0FCD"/>
    <w:rsid w:val="00DF2B1F"/>
    <w:rsid w:val="00DF62CD"/>
    <w:rsid w:val="00E13370"/>
    <w:rsid w:val="00E1363F"/>
    <w:rsid w:val="00E27B47"/>
    <w:rsid w:val="00E3152F"/>
    <w:rsid w:val="00E40312"/>
    <w:rsid w:val="00E41C4A"/>
    <w:rsid w:val="00E50516"/>
    <w:rsid w:val="00E55C68"/>
    <w:rsid w:val="00E715CC"/>
    <w:rsid w:val="00E755C2"/>
    <w:rsid w:val="00E77645"/>
    <w:rsid w:val="00E90D8D"/>
    <w:rsid w:val="00EA7C61"/>
    <w:rsid w:val="00EB2147"/>
    <w:rsid w:val="00EC4A25"/>
    <w:rsid w:val="00EC6B00"/>
    <w:rsid w:val="00EC7B2D"/>
    <w:rsid w:val="00EE1C9C"/>
    <w:rsid w:val="00EF1994"/>
    <w:rsid w:val="00EF1FC5"/>
    <w:rsid w:val="00EF20E1"/>
    <w:rsid w:val="00F025A2"/>
    <w:rsid w:val="00F04712"/>
    <w:rsid w:val="00F21189"/>
    <w:rsid w:val="00F22EC7"/>
    <w:rsid w:val="00F26CEE"/>
    <w:rsid w:val="00F42787"/>
    <w:rsid w:val="00F527BF"/>
    <w:rsid w:val="00F63084"/>
    <w:rsid w:val="00F63D5C"/>
    <w:rsid w:val="00F653B8"/>
    <w:rsid w:val="00F7111E"/>
    <w:rsid w:val="00FA1266"/>
    <w:rsid w:val="00FB4D67"/>
    <w:rsid w:val="00FC1192"/>
    <w:rsid w:val="00FC67D5"/>
    <w:rsid w:val="00FD01E8"/>
    <w:rsid w:val="00FE11B9"/>
    <w:rsid w:val="00FE181B"/>
    <w:rsid w:val="00FE4A56"/>
    <w:rsid w:val="00FF1367"/>
    <w:rsid w:val="00FF1F52"/>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E90D8D"/>
    <w:pPr>
      <w:numPr>
        <w:ilvl w:val="1"/>
        <w:numId w:val="5"/>
      </w:numPr>
      <w:pBdr>
        <w:top w:val="none" w:sz="0" w:space="0" w:color="auto"/>
      </w:pBdr>
      <w:spacing w:before="180" w:after="60"/>
      <w:ind w:left="851" w:hanging="851"/>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paragraph" w:styleId="ListParagraph">
    <w:name w:val="List Paragraph"/>
    <w:aliases w:val="- Bullets,リスト段落,列出段落"/>
    <w:basedOn w:val="Normal"/>
    <w:link w:val="ListParagraphChar"/>
    <w:uiPriority w:val="34"/>
    <w:qFormat/>
    <w:rsid w:val="00AA15A6"/>
    <w:pPr>
      <w:ind w:left="720"/>
      <w:contextualSpacing/>
    </w:pPr>
  </w:style>
  <w:style w:type="table" w:styleId="TableGrid">
    <w:name w:val="Table Grid"/>
    <w:basedOn w:val="TableNormal"/>
    <w:uiPriority w:val="39"/>
    <w:rsid w:val="007D42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4">
    <w:name w:val="Grid Table 4"/>
    <w:basedOn w:val="TableNormal"/>
    <w:uiPriority w:val="49"/>
    <w:rsid w:val="007D421A"/>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CommentReference">
    <w:name w:val="annotation reference"/>
    <w:basedOn w:val="DefaultParagraphFont"/>
    <w:rsid w:val="00EC6B00"/>
    <w:rPr>
      <w:sz w:val="16"/>
      <w:szCs w:val="16"/>
    </w:rPr>
  </w:style>
  <w:style w:type="paragraph" w:styleId="CommentText">
    <w:name w:val="annotation text"/>
    <w:basedOn w:val="Normal"/>
    <w:link w:val="CommentTextChar"/>
    <w:rsid w:val="00EC6B00"/>
  </w:style>
  <w:style w:type="character" w:customStyle="1" w:styleId="CommentTextChar">
    <w:name w:val="Comment Text Char"/>
    <w:basedOn w:val="DefaultParagraphFont"/>
    <w:link w:val="CommentText"/>
    <w:rsid w:val="00EC6B00"/>
    <w:rPr>
      <w:lang w:val="en-GB" w:eastAsia="en-US"/>
    </w:rPr>
  </w:style>
  <w:style w:type="paragraph" w:styleId="CommentSubject">
    <w:name w:val="annotation subject"/>
    <w:basedOn w:val="CommentText"/>
    <w:next w:val="CommentText"/>
    <w:link w:val="CommentSubjectChar"/>
    <w:rsid w:val="00EC6B00"/>
    <w:rPr>
      <w:b/>
      <w:bCs/>
    </w:rPr>
  </w:style>
  <w:style w:type="character" w:customStyle="1" w:styleId="CommentSubjectChar">
    <w:name w:val="Comment Subject Char"/>
    <w:basedOn w:val="CommentTextChar"/>
    <w:link w:val="CommentSubject"/>
    <w:rsid w:val="00EC6B00"/>
    <w:rPr>
      <w:b/>
      <w:bCs/>
      <w:lang w:val="en-GB" w:eastAsia="en-US"/>
    </w:rPr>
  </w:style>
  <w:style w:type="character" w:customStyle="1" w:styleId="ListParagraphChar">
    <w:name w:val="List Paragraph Char"/>
    <w:aliases w:val="- Bullets Char,リスト段落 Char,列出段落 Char"/>
    <w:link w:val="ListParagraph"/>
    <w:uiPriority w:val="34"/>
    <w:qFormat/>
    <w:locked/>
    <w:rsid w:val="005C63E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243542">
      <w:bodyDiv w:val="1"/>
      <w:marLeft w:val="0"/>
      <w:marRight w:val="0"/>
      <w:marTop w:val="0"/>
      <w:marBottom w:val="0"/>
      <w:divBdr>
        <w:top w:val="none" w:sz="0" w:space="0" w:color="auto"/>
        <w:left w:val="none" w:sz="0" w:space="0" w:color="auto"/>
        <w:bottom w:val="none" w:sz="0" w:space="0" w:color="auto"/>
        <w:right w:val="none" w:sz="0" w:space="0" w:color="auto"/>
      </w:divBdr>
    </w:div>
    <w:div w:id="138768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D1A83-B51A-4893-BE57-71B344466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291</TotalTime>
  <Pages>4</Pages>
  <Words>1066</Words>
  <Characters>6081</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7133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Markus Pettersson/President/LGEFL Finland Lab(markus.pettersson@lge.com)</cp:lastModifiedBy>
  <cp:revision>14</cp:revision>
  <dcterms:created xsi:type="dcterms:W3CDTF">2019-04-01T12:14:00Z</dcterms:created>
  <dcterms:modified xsi:type="dcterms:W3CDTF">2019-04-01T19:32:00Z</dcterms:modified>
</cp:coreProperties>
</file>