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0CBFCF1D" w:rsidR="00E064A5" w:rsidRPr="00FD166F" w:rsidRDefault="00E064A5" w:rsidP="00E064A5">
      <w:pPr>
        <w:tabs>
          <w:tab w:val="left" w:pos="7920"/>
        </w:tabs>
        <w:rPr>
          <w:rFonts w:ascii="Arial" w:hAnsi="Arial" w:cs="Arial"/>
          <w:b/>
        </w:rPr>
      </w:pPr>
      <w:bookmarkStart w:id="0" w:name="_GoBack"/>
      <w:bookmarkEnd w:id="0"/>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sidR="008B2A22">
        <w:rPr>
          <w:rFonts w:ascii="Arial" w:hAnsi="Arial" w:cs="Arial"/>
          <w:b/>
          <w:lang w:val="de-DE"/>
        </w:rPr>
        <w:t>bis</w:t>
      </w:r>
      <w:r>
        <w:rPr>
          <w:rFonts w:ascii="Arial" w:hAnsi="Arial" w:cs="Arial"/>
          <w:b/>
          <w:lang w:val="de-DE"/>
        </w:rPr>
        <w:tab/>
      </w:r>
      <w:r w:rsidR="00924EF9" w:rsidRPr="00924EF9">
        <w:rPr>
          <w:rFonts w:ascii="Arial" w:hAnsi="Arial" w:cs="Arial"/>
          <w:b/>
          <w:lang w:val="de-DE"/>
        </w:rPr>
        <w:t>R4-1903073</w:t>
      </w:r>
      <w:r>
        <w:rPr>
          <w:rFonts w:ascii="Arial" w:hAnsi="Arial" w:cs="Arial"/>
          <w:b/>
          <w:lang w:val="de-DE"/>
        </w:rPr>
        <w:br/>
      </w:r>
      <w:r w:rsidR="008B2A22">
        <w:rPr>
          <w:rFonts w:ascii="Arial" w:hAnsi="Arial" w:cs="Arial"/>
          <w:b/>
        </w:rPr>
        <w:t>Xi’an</w:t>
      </w:r>
      <w:r>
        <w:rPr>
          <w:rFonts w:ascii="Arial" w:hAnsi="Arial" w:cs="Arial"/>
          <w:b/>
        </w:rPr>
        <w:t xml:space="preserve">, </w:t>
      </w:r>
      <w:r w:rsidR="008B2A22">
        <w:rPr>
          <w:rFonts w:ascii="Arial" w:hAnsi="Arial" w:cs="Arial"/>
          <w:b/>
        </w:rPr>
        <w:t>China</w:t>
      </w:r>
      <w:r>
        <w:rPr>
          <w:rFonts w:ascii="Arial" w:hAnsi="Arial" w:cs="Arial"/>
          <w:b/>
        </w:rPr>
        <w:t xml:space="preserve">, </w:t>
      </w:r>
      <w:r w:rsidR="008B2A22">
        <w:rPr>
          <w:rFonts w:ascii="Arial" w:hAnsi="Arial" w:cs="Arial"/>
          <w:b/>
        </w:rPr>
        <w:t>April</w:t>
      </w:r>
      <w:r w:rsidR="006D0B66">
        <w:rPr>
          <w:rFonts w:ascii="Arial" w:hAnsi="Arial" w:cs="Arial"/>
          <w:b/>
        </w:rPr>
        <w:t xml:space="preserve"> </w:t>
      </w:r>
      <w:r w:rsidR="008B2A22">
        <w:rPr>
          <w:rFonts w:ascii="Arial" w:hAnsi="Arial" w:cs="Arial"/>
          <w:b/>
        </w:rPr>
        <w:t>8</w:t>
      </w:r>
      <w:r w:rsidR="006D0B66">
        <w:rPr>
          <w:rFonts w:ascii="Arial" w:hAnsi="Arial" w:cs="Arial"/>
          <w:b/>
        </w:rPr>
        <w:t xml:space="preserve"> – </w:t>
      </w:r>
      <w:r w:rsidR="008B2A22">
        <w:rPr>
          <w:rFonts w:ascii="Arial" w:hAnsi="Arial" w:cs="Arial"/>
          <w:b/>
        </w:rPr>
        <w:t>12</w:t>
      </w:r>
      <w:r w:rsidR="006D0B66">
        <w:rPr>
          <w:rFonts w:ascii="Arial" w:hAnsi="Arial" w:cs="Arial"/>
          <w:b/>
        </w:rPr>
        <w:t>, 2019</w:t>
      </w:r>
    </w:p>
    <w:p w14:paraId="741F8B6E" w14:textId="77777777" w:rsidR="00E064A5" w:rsidRDefault="00E064A5" w:rsidP="00E064A5">
      <w:pPr>
        <w:tabs>
          <w:tab w:val="left" w:pos="2160"/>
        </w:tabs>
        <w:rPr>
          <w:rFonts w:ascii="Arial" w:hAnsi="Arial" w:cs="Arial"/>
          <w:b/>
        </w:rPr>
      </w:pPr>
    </w:p>
    <w:p w14:paraId="6832741A" w14:textId="7AB09EC9"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8B2A22">
        <w:rPr>
          <w:rFonts w:ascii="Arial" w:hAnsi="Arial" w:cs="Arial"/>
          <w:b/>
        </w:rPr>
        <w:t>9.23.1</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521D5B9F"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8B2A22" w:rsidRPr="008B2A22">
        <w:rPr>
          <w:rFonts w:ascii="Arial" w:hAnsi="Arial" w:cs="Arial"/>
          <w:b/>
        </w:rPr>
        <w:t>Views on Band n259 lower limit and overlap with Band n260</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2E466E6B" w14:textId="5699C735" w:rsidR="00AD3A59" w:rsidRDefault="001D4EBF" w:rsidP="006B6A1A">
      <w:r>
        <w:t xml:space="preserve">During the RAN #83 meeting a new work item to introduce </w:t>
      </w:r>
      <w:r w:rsidR="000552E0">
        <w:t xml:space="preserve">the new </w:t>
      </w:r>
      <w:r w:rsidR="009E10A3">
        <w:t xml:space="preserve">NR </w:t>
      </w:r>
      <w:r>
        <w:t xml:space="preserve">Band n259 was approved with the following objectives </w:t>
      </w:r>
      <w:r>
        <w:fldChar w:fldCharType="begin"/>
      </w:r>
      <w:r>
        <w:instrText xml:space="preserve"> REF _Ref4588121 \r \h </w:instrText>
      </w:r>
      <w:r>
        <w:fldChar w:fldCharType="separate"/>
      </w:r>
      <w:r>
        <w:t>[1]</w:t>
      </w:r>
      <w:r>
        <w:fldChar w:fldCharType="end"/>
      </w:r>
      <w:r>
        <w:t>:</w:t>
      </w:r>
    </w:p>
    <w:p w14:paraId="716E27FD" w14:textId="77777777" w:rsidR="001D4EBF" w:rsidRDefault="001D4EBF" w:rsidP="006B6A1A"/>
    <w:p w14:paraId="7C345A23" w14:textId="7F0605F8" w:rsidR="001D4EBF" w:rsidRDefault="001D4EBF" w:rsidP="006B6A1A">
      <w:r>
        <w:rPr>
          <w:noProof/>
        </w:rPr>
        <mc:AlternateContent>
          <mc:Choice Requires="wps">
            <w:drawing>
              <wp:inline distT="0" distB="0" distL="0" distR="0" wp14:anchorId="25200291" wp14:editId="40EAC44A">
                <wp:extent cx="1828800" cy="1828800"/>
                <wp:effectExtent l="0" t="0" r="6985" b="1206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E50443" w14:textId="77777777" w:rsidR="001D4EBF" w:rsidRPr="001D4EBF" w:rsidRDefault="001D4EBF" w:rsidP="001D4EBF">
                            <w:pPr>
                              <w:rPr>
                                <w:sz w:val="20"/>
                                <w:szCs w:val="20"/>
                              </w:rPr>
                            </w:pPr>
                            <w:r w:rsidRPr="001D4EBF">
                              <w:rPr>
                                <w:sz w:val="20"/>
                                <w:szCs w:val="20"/>
                              </w:rPr>
                              <w:t>The purpose of this work item is to specify a new NR TDD operating band, i.e. Band n259, covering at least the range 39.5-43.5 GHz taking into account the potential benefit of an overlap with Band n260. The lower limit of the band will be further analysed and decided by considering spectrum allocations in different regions, operator demands and RF implementation but should not exceed 39.5 GHz.</w:t>
                            </w:r>
                          </w:p>
                          <w:p w14:paraId="1DE158C8" w14:textId="77777777" w:rsidR="001D4EBF" w:rsidRPr="001D4EBF" w:rsidRDefault="001D4EBF" w:rsidP="001D4EBF">
                            <w:pPr>
                              <w:rPr>
                                <w:sz w:val="20"/>
                                <w:szCs w:val="20"/>
                              </w:rPr>
                            </w:pPr>
                          </w:p>
                          <w:p w14:paraId="6917AD59" w14:textId="77777777" w:rsidR="001D4EBF" w:rsidRPr="001D4EBF" w:rsidRDefault="001D4EBF" w:rsidP="001D4EBF">
                            <w:pPr>
                              <w:rPr>
                                <w:sz w:val="20"/>
                                <w:szCs w:val="20"/>
                              </w:rPr>
                            </w:pPr>
                            <w:r w:rsidRPr="001D4EBF">
                              <w:rPr>
                                <w:sz w:val="20"/>
                                <w:szCs w:val="20"/>
                              </w:rPr>
                              <w:t>The objectives are to define:</w:t>
                            </w:r>
                          </w:p>
                          <w:p w14:paraId="4C620E1E" w14:textId="77777777" w:rsidR="001D4EBF" w:rsidRPr="001D4EBF" w:rsidRDefault="001D4EBF"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rFonts w:eastAsiaTheme="minorEastAsia" w:hint="eastAsia"/>
                                <w:sz w:val="20"/>
                                <w:szCs w:val="20"/>
                                <w:lang w:eastAsia="zh-CN"/>
                              </w:rPr>
                              <w:t xml:space="preserve">Determine </w:t>
                            </w:r>
                            <w:r w:rsidRPr="001D4EBF">
                              <w:rPr>
                                <w:rFonts w:eastAsiaTheme="minorEastAsia"/>
                                <w:sz w:val="20"/>
                                <w:szCs w:val="20"/>
                                <w:lang w:eastAsia="zh-CN"/>
                              </w:rPr>
                              <w:t xml:space="preserve">the lower limit of </w:t>
                            </w:r>
                            <w:r w:rsidRPr="001D4EBF">
                              <w:rPr>
                                <w:rFonts w:eastAsiaTheme="minorEastAsia" w:hint="eastAsia"/>
                                <w:sz w:val="20"/>
                                <w:szCs w:val="20"/>
                                <w:lang w:eastAsia="zh-CN"/>
                              </w:rPr>
                              <w:t>Band n259</w:t>
                            </w:r>
                            <w:r w:rsidRPr="001D4EBF">
                              <w:rPr>
                                <w:rFonts w:eastAsiaTheme="minorEastAsia"/>
                                <w:sz w:val="20"/>
                                <w:szCs w:val="20"/>
                                <w:lang w:eastAsia="zh-CN"/>
                              </w:rPr>
                              <w:t xml:space="preserve"> if lower than 39.5 GHz.</w:t>
                            </w:r>
                          </w:p>
                          <w:p w14:paraId="68C4661E" w14:textId="77777777" w:rsidR="001D4EBF" w:rsidRPr="001D4EBF" w:rsidRDefault="001D4EBF"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sz w:val="20"/>
                                <w:szCs w:val="20"/>
                              </w:rPr>
                              <w:t>Transmitter and receiver characteristics requirements for the UE (38.101-2)</w:t>
                            </w:r>
                          </w:p>
                          <w:p w14:paraId="643276D7" w14:textId="464242A8" w:rsidR="001D4EBF" w:rsidRPr="001D4EBF" w:rsidRDefault="001D4EBF"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sz w:val="20"/>
                                <w:szCs w:val="20"/>
                              </w:rPr>
                              <w:t>Transmitter and receiver characteristics requirements for the BS (38.104)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5200291"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fill o:detectmouseclick="t"/>
                <v:textbox style="mso-fit-shape-to-text:t">
                  <w:txbxContent>
                    <w:p w14:paraId="65E50443" w14:textId="77777777" w:rsidR="001D4EBF" w:rsidRPr="001D4EBF" w:rsidRDefault="001D4EBF" w:rsidP="001D4EBF">
                      <w:pPr>
                        <w:rPr>
                          <w:sz w:val="20"/>
                          <w:szCs w:val="20"/>
                        </w:rPr>
                      </w:pPr>
                      <w:r w:rsidRPr="001D4EBF">
                        <w:rPr>
                          <w:sz w:val="20"/>
                          <w:szCs w:val="20"/>
                        </w:rPr>
                        <w:t>The purpose of this work item is to specify a new NR TDD operating band, i.e. Band n259, covering at least the range 39.5-43.5 GHz taking into account the potential benefit of an overlap with Band n260. The lower limit of the band will be further analysed and decided by considering spectrum allocations in different regions, operator demands and RF implementation but should not exceed 39.5 GHz.</w:t>
                      </w:r>
                    </w:p>
                    <w:p w14:paraId="1DE158C8" w14:textId="77777777" w:rsidR="001D4EBF" w:rsidRPr="001D4EBF" w:rsidRDefault="001D4EBF" w:rsidP="001D4EBF">
                      <w:pPr>
                        <w:rPr>
                          <w:sz w:val="20"/>
                          <w:szCs w:val="20"/>
                        </w:rPr>
                      </w:pPr>
                    </w:p>
                    <w:p w14:paraId="6917AD59" w14:textId="77777777" w:rsidR="001D4EBF" w:rsidRPr="001D4EBF" w:rsidRDefault="001D4EBF" w:rsidP="001D4EBF">
                      <w:pPr>
                        <w:rPr>
                          <w:sz w:val="20"/>
                          <w:szCs w:val="20"/>
                        </w:rPr>
                      </w:pPr>
                      <w:r w:rsidRPr="001D4EBF">
                        <w:rPr>
                          <w:sz w:val="20"/>
                          <w:szCs w:val="20"/>
                        </w:rPr>
                        <w:t>The objectives are to define:</w:t>
                      </w:r>
                    </w:p>
                    <w:p w14:paraId="4C620E1E" w14:textId="77777777" w:rsidR="001D4EBF" w:rsidRPr="001D4EBF" w:rsidRDefault="001D4EBF"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rFonts w:eastAsiaTheme="minorEastAsia" w:hint="eastAsia"/>
                          <w:sz w:val="20"/>
                          <w:szCs w:val="20"/>
                          <w:lang w:eastAsia="zh-CN"/>
                        </w:rPr>
                        <w:t xml:space="preserve">Determine </w:t>
                      </w:r>
                      <w:r w:rsidRPr="001D4EBF">
                        <w:rPr>
                          <w:rFonts w:eastAsiaTheme="minorEastAsia"/>
                          <w:sz w:val="20"/>
                          <w:szCs w:val="20"/>
                          <w:lang w:eastAsia="zh-CN"/>
                        </w:rPr>
                        <w:t xml:space="preserve">the lower limit of </w:t>
                      </w:r>
                      <w:r w:rsidRPr="001D4EBF">
                        <w:rPr>
                          <w:rFonts w:eastAsiaTheme="minorEastAsia" w:hint="eastAsia"/>
                          <w:sz w:val="20"/>
                          <w:szCs w:val="20"/>
                          <w:lang w:eastAsia="zh-CN"/>
                        </w:rPr>
                        <w:t>Band n259</w:t>
                      </w:r>
                      <w:r w:rsidRPr="001D4EBF">
                        <w:rPr>
                          <w:rFonts w:eastAsiaTheme="minorEastAsia"/>
                          <w:sz w:val="20"/>
                          <w:szCs w:val="20"/>
                          <w:lang w:eastAsia="zh-CN"/>
                        </w:rPr>
                        <w:t xml:space="preserve"> if lower than 39.5 GHz.</w:t>
                      </w:r>
                    </w:p>
                    <w:p w14:paraId="68C4661E" w14:textId="77777777" w:rsidR="001D4EBF" w:rsidRPr="001D4EBF" w:rsidRDefault="001D4EBF"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sz w:val="20"/>
                          <w:szCs w:val="20"/>
                        </w:rPr>
                        <w:t>Transmitter and receiver characteristics requirements for the UE (38.101-2)</w:t>
                      </w:r>
                    </w:p>
                    <w:p w14:paraId="643276D7" w14:textId="464242A8" w:rsidR="001D4EBF" w:rsidRPr="001D4EBF" w:rsidRDefault="001D4EBF" w:rsidP="001D4EBF">
                      <w:pPr>
                        <w:pStyle w:val="ListParagraph"/>
                        <w:numPr>
                          <w:ilvl w:val="0"/>
                          <w:numId w:val="30"/>
                        </w:numPr>
                        <w:overflowPunct w:val="0"/>
                        <w:autoSpaceDE w:val="0"/>
                        <w:autoSpaceDN w:val="0"/>
                        <w:adjustRightInd w:val="0"/>
                        <w:contextualSpacing/>
                        <w:textAlignment w:val="baseline"/>
                        <w:rPr>
                          <w:sz w:val="20"/>
                          <w:szCs w:val="20"/>
                        </w:rPr>
                      </w:pPr>
                      <w:r w:rsidRPr="001D4EBF">
                        <w:rPr>
                          <w:sz w:val="20"/>
                          <w:szCs w:val="20"/>
                        </w:rPr>
                        <w:t>Transmitter and receiver characteristics requirements for the BS (38.104)</w:t>
                      </w:r>
                    </w:p>
                  </w:txbxContent>
                </v:textbox>
                <w10:anchorlock/>
              </v:shape>
            </w:pict>
          </mc:Fallback>
        </mc:AlternateContent>
      </w:r>
    </w:p>
    <w:p w14:paraId="24AADB71" w14:textId="77777777" w:rsidR="001D4EBF" w:rsidRDefault="001D4EBF" w:rsidP="006B6A1A"/>
    <w:p w14:paraId="6E6556FB" w14:textId="3ECBFB6D" w:rsidR="001D4EBF" w:rsidRDefault="001D4EBF" w:rsidP="006B6A1A">
      <w:r>
        <w:t>This paper provides views on the lower limit of this new band as well as a proposal to handle the overlapped frequency region.</w:t>
      </w:r>
    </w:p>
    <w:p w14:paraId="442DEB4F" w14:textId="666F3A3B" w:rsidR="006B6A1A" w:rsidRDefault="006B6A1A" w:rsidP="006B6A1A">
      <w:pPr>
        <w:pStyle w:val="Heading1"/>
        <w:rPr>
          <w:lang w:val="en-US"/>
        </w:rPr>
      </w:pPr>
      <w:r w:rsidRPr="00871EA3">
        <w:rPr>
          <w:lang w:val="en-US"/>
        </w:rPr>
        <w:t>Discussion</w:t>
      </w:r>
    </w:p>
    <w:p w14:paraId="4C85017E" w14:textId="69014EC7" w:rsidR="002B1113" w:rsidRDefault="00980BAA" w:rsidP="00C923A2">
      <w:pPr>
        <w:pStyle w:val="Heading2"/>
        <w:rPr>
          <w:rFonts w:eastAsia="SimSun"/>
        </w:rPr>
      </w:pPr>
      <w:r>
        <w:rPr>
          <w:rFonts w:eastAsia="SimSun"/>
        </w:rPr>
        <w:t>Lower limit of Band n259</w:t>
      </w:r>
    </w:p>
    <w:p w14:paraId="72380487" w14:textId="371E9FBE" w:rsidR="00C923A2" w:rsidRDefault="0090145F" w:rsidP="00C923A2">
      <w:pPr>
        <w:rPr>
          <w:rFonts w:eastAsia="SimSun"/>
          <w:lang w:eastAsia="ja-JP" w:bidi="hi-IN"/>
        </w:rPr>
      </w:pPr>
      <w:r>
        <w:rPr>
          <w:rFonts w:eastAsia="SimSun"/>
          <w:lang w:eastAsia="ja-JP" w:bidi="hi-IN"/>
        </w:rPr>
        <w:t>The justification of the Band n259 work item description proposes retaining a 500 MHz granularity in the definition of the lower limit of Band n259 (i.e. it can be 39.5, 39.0, 38.5, … GHz) with the following reasoning:</w:t>
      </w:r>
    </w:p>
    <w:p w14:paraId="2CE31A0F" w14:textId="7F3A215C" w:rsidR="0090145F" w:rsidRDefault="0090145F" w:rsidP="00C923A2">
      <w:pPr>
        <w:rPr>
          <w:rFonts w:eastAsia="SimSun"/>
          <w:lang w:eastAsia="ja-JP" w:bidi="hi-IN"/>
        </w:rPr>
      </w:pPr>
    </w:p>
    <w:p w14:paraId="741EC3A0" w14:textId="5BCFEAA8" w:rsidR="0090145F" w:rsidRDefault="0090145F" w:rsidP="00C923A2">
      <w:pPr>
        <w:rPr>
          <w:rFonts w:eastAsia="SimSun"/>
          <w:lang w:eastAsia="ja-JP" w:bidi="hi-IN"/>
        </w:rPr>
      </w:pPr>
      <w:r>
        <w:rPr>
          <w:noProof/>
        </w:rPr>
        <mc:AlternateContent>
          <mc:Choice Requires="wps">
            <w:drawing>
              <wp:inline distT="0" distB="0" distL="0" distR="0" wp14:anchorId="526A0A71" wp14:editId="47F1D944">
                <wp:extent cx="6120765" cy="447845"/>
                <wp:effectExtent l="0" t="0" r="6985" b="12065"/>
                <wp:docPr id="6" name="Text Box 6"/>
                <wp:cNvGraphicFramePr/>
                <a:graphic xmlns:a="http://schemas.openxmlformats.org/drawingml/2006/main">
                  <a:graphicData uri="http://schemas.microsoft.com/office/word/2010/wordprocessingShape">
                    <wps:wsp>
                      <wps:cNvSpPr txBox="1"/>
                      <wps:spPr>
                        <a:xfrm>
                          <a:off x="0" y="0"/>
                          <a:ext cx="6120765" cy="447845"/>
                        </a:xfrm>
                        <a:prstGeom prst="rect">
                          <a:avLst/>
                        </a:prstGeom>
                        <a:noFill/>
                        <a:ln w="6350">
                          <a:solidFill>
                            <a:prstClr val="black"/>
                          </a:solidFill>
                        </a:ln>
                      </wps:spPr>
                      <wps:txbx>
                        <w:txbxContent>
                          <w:p w14:paraId="4630DE60" w14:textId="77777777" w:rsidR="0090145F" w:rsidRPr="0090145F" w:rsidRDefault="0090145F" w:rsidP="0090145F">
                            <w:pPr>
                              <w:rPr>
                                <w:sz w:val="20"/>
                                <w:szCs w:val="20"/>
                              </w:rPr>
                            </w:pPr>
                            <w:r w:rsidRPr="0090145F">
                              <w:rPr>
                                <w:sz w:val="20"/>
                                <w:szCs w:val="20"/>
                              </w:rPr>
                              <w:t>A width of overlap in multiples of 500 MHz would align with the block allocations used the allocation table of the Radio Regulations (ITU-R) for the 40 GHz range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26A0A71" id="Text Box 6" o:spid="_x0000_s1027" type="#_x0000_t202" style="width:481.95pt;height:35.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" filled="f" strokeweight=".5pt">
                <v:fill o:detectmouseclick="t"/>
                <v:textbox style="mso-fit-shape-to-text:t">
                  <w:txbxContent>
                    <w:p w14:paraId="4630DE60" w14:textId="77777777" w:rsidR="0090145F" w:rsidRPr="0090145F" w:rsidRDefault="0090145F" w:rsidP="0090145F">
                      <w:pPr>
                        <w:rPr>
                          <w:sz w:val="20"/>
                          <w:szCs w:val="20"/>
                        </w:rPr>
                      </w:pPr>
                      <w:r w:rsidRPr="0090145F">
                        <w:rPr>
                          <w:sz w:val="20"/>
                          <w:szCs w:val="20"/>
                        </w:rPr>
                        <w:t>A width of overlap in multiples of 500 MHz would align with the block allocations used the allocation table of the Radio Regulations (ITU-R) for the 40 GHz range</w:t>
                      </w:r>
                    </w:p>
                  </w:txbxContent>
                </v:textbox>
                <w10:anchorlock/>
              </v:shape>
            </w:pict>
          </mc:Fallback>
        </mc:AlternateContent>
      </w:r>
    </w:p>
    <w:p w14:paraId="5104F4D1" w14:textId="2428E816" w:rsidR="0090145F" w:rsidRDefault="0090145F" w:rsidP="00C923A2">
      <w:pPr>
        <w:rPr>
          <w:rFonts w:eastAsia="SimSun"/>
          <w:lang w:eastAsia="ja-JP" w:bidi="hi-IN"/>
        </w:rPr>
      </w:pPr>
    </w:p>
    <w:p w14:paraId="505C5A6D" w14:textId="62310515" w:rsidR="0090145F" w:rsidRDefault="00A56963" w:rsidP="00C923A2">
      <w:pPr>
        <w:rPr>
          <w:rFonts w:eastAsia="SimSun"/>
          <w:lang w:eastAsia="ja-JP" w:bidi="hi-IN"/>
        </w:rPr>
      </w:pPr>
      <w:r>
        <w:rPr>
          <w:rFonts w:eastAsia="SimSun"/>
          <w:lang w:eastAsia="ja-JP" w:bidi="hi-IN"/>
        </w:rPr>
        <w:t xml:space="preserve">In principle, the lower limit of the new band should be determined </w:t>
      </w:r>
      <w:r w:rsidR="005F2CAD">
        <w:rPr>
          <w:rFonts w:eastAsia="SimSun"/>
          <w:lang w:eastAsia="ja-JP" w:bidi="hi-IN"/>
        </w:rPr>
        <w:t>as a tradeoff between the span of the corresponding spectrum allocations and requirements on the RF front end design</w:t>
      </w:r>
      <w:r w:rsidR="00B26D3A">
        <w:rPr>
          <w:rFonts w:eastAsia="SimSun"/>
          <w:lang w:eastAsia="ja-JP" w:bidi="hi-IN"/>
        </w:rPr>
        <w:t>, such that the new band encompasses spectrum corresponding to market-driven needs</w:t>
      </w:r>
      <w:r>
        <w:rPr>
          <w:rFonts w:eastAsia="SimSun"/>
          <w:lang w:eastAsia="ja-JP" w:bidi="hi-IN"/>
        </w:rPr>
        <w:t xml:space="preserve">.  As stated in the justification section of the work item description, no </w:t>
      </w:r>
      <w:r w:rsidR="002241C5">
        <w:rPr>
          <w:rFonts w:eastAsia="SimSun"/>
          <w:lang w:eastAsia="ja-JP" w:bidi="hi-IN"/>
        </w:rPr>
        <w:t xml:space="preserve">regulatory </w:t>
      </w:r>
      <w:r>
        <w:rPr>
          <w:rFonts w:eastAsia="SimSun"/>
          <w:lang w:eastAsia="ja-JP" w:bidi="hi-IN"/>
        </w:rPr>
        <w:t xml:space="preserve">requirements </w:t>
      </w:r>
      <w:r w:rsidR="002241C5">
        <w:rPr>
          <w:rFonts w:eastAsia="SimSun"/>
          <w:lang w:eastAsia="ja-JP" w:bidi="hi-IN"/>
        </w:rPr>
        <w:t>which are</w:t>
      </w:r>
      <w:r w:rsidR="008E7940">
        <w:rPr>
          <w:rFonts w:eastAsia="SimSun"/>
          <w:lang w:eastAsia="ja-JP" w:bidi="hi-IN"/>
        </w:rPr>
        <w:t xml:space="preserve"> </w:t>
      </w:r>
      <w:r>
        <w:rPr>
          <w:rFonts w:eastAsia="SimSun"/>
          <w:lang w:eastAsia="ja-JP" w:bidi="hi-IN"/>
        </w:rPr>
        <w:t>explicitly defined for a sub-range of 37 – 40 GHz exist.</w:t>
      </w:r>
    </w:p>
    <w:p w14:paraId="561BD28D" w14:textId="04693C13" w:rsidR="00A41DE1" w:rsidRDefault="00A41DE1" w:rsidP="00C923A2">
      <w:pPr>
        <w:rPr>
          <w:rFonts w:eastAsia="SimSun"/>
          <w:lang w:eastAsia="ja-JP" w:bidi="hi-IN"/>
        </w:rPr>
      </w:pPr>
    </w:p>
    <w:p w14:paraId="54325801" w14:textId="1BA904BC" w:rsidR="00A41DE1" w:rsidRDefault="00A41DE1" w:rsidP="00C923A2">
      <w:pPr>
        <w:rPr>
          <w:rFonts w:eastAsia="SimSun"/>
          <w:lang w:eastAsia="ja-JP" w:bidi="hi-IN"/>
        </w:rPr>
      </w:pPr>
      <w:r>
        <w:rPr>
          <w:rFonts w:eastAsia="SimSun"/>
          <w:lang w:eastAsia="ja-JP" w:bidi="hi-IN"/>
        </w:rPr>
        <w:t xml:space="preserve">It can be observed that the frequency range from 39.5 GHz to 43.5 GHz, which is the baseline span of the new Band n259, is already a record-breaking 4 GHz wide band from the 3GPP perspective:  the second-widest band </w:t>
      </w:r>
      <w:r w:rsidR="00E2562D">
        <w:rPr>
          <w:rFonts w:eastAsia="SimSun"/>
          <w:lang w:eastAsia="ja-JP" w:bidi="hi-IN"/>
        </w:rPr>
        <w:t>is</w:t>
      </w:r>
      <w:r>
        <w:rPr>
          <w:rFonts w:eastAsia="SimSun"/>
          <w:lang w:eastAsia="ja-JP" w:bidi="hi-IN"/>
        </w:rPr>
        <w:t xml:space="preserve"> n258 with a span of 3.25 GHz.  As a result of these wide bands, </w:t>
      </w:r>
      <w:r w:rsidR="00EE01AF">
        <w:rPr>
          <w:rFonts w:eastAsia="SimSun"/>
          <w:lang w:eastAsia="ja-JP" w:bidi="hi-IN"/>
        </w:rPr>
        <w:t>the Rel-15 RF specification</w:t>
      </w:r>
      <w:r>
        <w:rPr>
          <w:rFonts w:eastAsia="SimSun"/>
          <w:lang w:eastAsia="ja-JP" w:bidi="hi-IN"/>
        </w:rPr>
        <w:t xml:space="preserve"> has defined </w:t>
      </w:r>
      <w:r w:rsidR="00EE01AF">
        <w:rPr>
          <w:rFonts w:eastAsia="SimSun"/>
          <w:lang w:eastAsia="ja-JP" w:bidi="hi-IN"/>
        </w:rPr>
        <w:t xml:space="preserve">cumulative aggregate bandwidth capabilities, restricting the separation of non-contiguous downlink carriers to 1400 MHz.  In the uplink, a restriction of 800 MHz (and with contiguous UL CA only) exists in Rel-15.  Discussions in the scope of the Rel-16 enhancements for FR2 RF are expected to address these limitations, although the choices of these </w:t>
      </w:r>
      <w:r w:rsidR="00EE01AF">
        <w:rPr>
          <w:rFonts w:eastAsia="SimSun"/>
          <w:lang w:eastAsia="ja-JP" w:bidi="hi-IN"/>
        </w:rPr>
        <w:lastRenderedPageBreak/>
        <w:t xml:space="preserve">parameters already made for Rel-15 indicate a level of practical feasibility.  Taking these observations together, it can be concluded that </w:t>
      </w:r>
      <w:r w:rsidR="000449EE">
        <w:rPr>
          <w:rFonts w:eastAsia="SimSun"/>
          <w:lang w:eastAsia="ja-JP" w:bidi="hi-IN"/>
        </w:rPr>
        <w:t>4 GHz is a sufficiently wide span for the new Band n259.</w:t>
      </w:r>
    </w:p>
    <w:p w14:paraId="041C915E" w14:textId="212E77CE" w:rsidR="00A56963" w:rsidRDefault="00A56963" w:rsidP="00C923A2">
      <w:pPr>
        <w:rPr>
          <w:rFonts w:eastAsia="SimSun"/>
          <w:lang w:eastAsia="ja-JP" w:bidi="hi-IN"/>
        </w:rPr>
      </w:pPr>
    </w:p>
    <w:p w14:paraId="18892062" w14:textId="77777777" w:rsidR="000449EE" w:rsidRDefault="000449EE" w:rsidP="000449EE">
      <w:pPr>
        <w:keepNext/>
        <w:jc w:val="center"/>
      </w:pPr>
      <w:r w:rsidRPr="000449EE">
        <w:rPr>
          <w:rFonts w:eastAsia="SimSun"/>
          <w:noProof/>
          <w:lang w:eastAsia="ja-JP" w:bidi="hi-IN"/>
        </w:rPr>
        <w:drawing>
          <wp:inline distT="0" distB="0" distL="0" distR="0" wp14:anchorId="5D319290" wp14:editId="59794356">
            <wp:extent cx="3657600" cy="33821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7600" cy="3382113"/>
                    </a:xfrm>
                    <a:prstGeom prst="rect">
                      <a:avLst/>
                    </a:prstGeom>
                  </pic:spPr>
                </pic:pic>
              </a:graphicData>
            </a:graphic>
          </wp:inline>
        </w:drawing>
      </w:r>
    </w:p>
    <w:p w14:paraId="0EB6CC44" w14:textId="178D0468" w:rsidR="000449EE" w:rsidRDefault="000449EE" w:rsidP="000449EE">
      <w:pPr>
        <w:pStyle w:val="Caption"/>
        <w:jc w:val="center"/>
        <w:rPr>
          <w:rFonts w:eastAsia="SimSun"/>
          <w:lang w:eastAsia="ja-JP" w:bidi="hi-IN"/>
        </w:rPr>
      </w:pPr>
      <w:r>
        <w:t xml:space="preserve">Figure </w:t>
      </w:r>
      <w:fldSimple w:instr=" SEQ Figure \* ARABIC ">
        <w:r>
          <w:rPr>
            <w:noProof/>
          </w:rPr>
          <w:t>1</w:t>
        </w:r>
      </w:fldSimple>
      <w:r>
        <w:t>: FR2 bands</w:t>
      </w:r>
    </w:p>
    <w:p w14:paraId="0FC60638" w14:textId="77777777" w:rsidR="000449EE" w:rsidRDefault="000449EE" w:rsidP="00C923A2">
      <w:pPr>
        <w:rPr>
          <w:rFonts w:eastAsia="SimSun"/>
          <w:lang w:eastAsia="ja-JP" w:bidi="hi-IN"/>
        </w:rPr>
      </w:pPr>
    </w:p>
    <w:p w14:paraId="49573C0B" w14:textId="3E275845" w:rsidR="008B1249" w:rsidRDefault="00A56963" w:rsidP="00C923A2">
      <w:pPr>
        <w:rPr>
          <w:rFonts w:eastAsia="SimSun"/>
          <w:lang w:eastAsia="ja-JP" w:bidi="hi-IN"/>
        </w:rPr>
      </w:pPr>
      <w:r w:rsidRPr="00A56963">
        <w:rPr>
          <w:rFonts w:eastAsia="SimSun"/>
          <w:b/>
          <w:lang w:eastAsia="ja-JP" w:bidi="hi-IN"/>
        </w:rPr>
        <w:t>Proposal 1</w:t>
      </w:r>
      <w:r>
        <w:rPr>
          <w:rFonts w:eastAsia="SimSun"/>
          <w:lang w:eastAsia="ja-JP" w:bidi="hi-IN"/>
        </w:rPr>
        <w:t xml:space="preserve">: </w:t>
      </w:r>
      <w:r w:rsidR="000449EE">
        <w:rPr>
          <w:rFonts w:eastAsia="SimSun"/>
          <w:lang w:eastAsia="ja-JP" w:bidi="hi-IN"/>
        </w:rPr>
        <w:t>D</w:t>
      </w:r>
      <w:r>
        <w:rPr>
          <w:rFonts w:eastAsia="SimSun"/>
          <w:lang w:eastAsia="ja-JP" w:bidi="hi-IN"/>
        </w:rPr>
        <w:t>efine the lower limit of the new Band n259 to be 3</w:t>
      </w:r>
      <w:r w:rsidR="000449EE">
        <w:rPr>
          <w:rFonts w:eastAsia="SimSun"/>
          <w:lang w:eastAsia="ja-JP" w:bidi="hi-IN"/>
        </w:rPr>
        <w:t>9</w:t>
      </w:r>
      <w:r>
        <w:rPr>
          <w:rFonts w:eastAsia="SimSun"/>
          <w:lang w:eastAsia="ja-JP" w:bidi="hi-IN"/>
        </w:rPr>
        <w:t>.5 GHz</w:t>
      </w:r>
      <w:r w:rsidR="00E2562D">
        <w:rPr>
          <w:rFonts w:eastAsia="SimSun"/>
          <w:lang w:eastAsia="ja-JP" w:bidi="hi-IN"/>
        </w:rPr>
        <w:t>.</w:t>
      </w:r>
    </w:p>
    <w:p w14:paraId="40AB6148" w14:textId="15BD9425" w:rsidR="00980BAA" w:rsidRDefault="00C923A2" w:rsidP="00C923A2">
      <w:pPr>
        <w:pStyle w:val="Heading2"/>
        <w:rPr>
          <w:rFonts w:eastAsia="SimSun"/>
        </w:rPr>
      </w:pPr>
      <w:r>
        <w:rPr>
          <w:rFonts w:eastAsia="SimSun"/>
        </w:rPr>
        <w:t>Handling the overlap with Band n260</w:t>
      </w:r>
    </w:p>
    <w:p w14:paraId="1001FB75" w14:textId="501526F7" w:rsidR="00A1243D" w:rsidRDefault="008E7940" w:rsidP="00A1243D">
      <w:pPr>
        <w:rPr>
          <w:rFonts w:eastAsia="SimSun"/>
          <w:lang w:eastAsia="ja-JP" w:bidi="hi-IN"/>
        </w:rPr>
      </w:pPr>
      <w:r>
        <w:rPr>
          <w:rFonts w:eastAsia="SimSun"/>
          <w:lang w:eastAsia="ja-JP" w:bidi="hi-IN"/>
        </w:rPr>
        <w:t xml:space="preserve">The overlap between Band n259, if defined according to Proposal 1, and Band n260 is </w:t>
      </w:r>
      <w:r w:rsidR="00852E4C">
        <w:rPr>
          <w:rFonts w:eastAsia="SimSun"/>
          <w:lang w:eastAsia="ja-JP" w:bidi="hi-IN"/>
        </w:rPr>
        <w:t>in</w:t>
      </w:r>
      <w:r>
        <w:rPr>
          <w:rFonts w:eastAsia="SimSun"/>
          <w:lang w:eastAsia="ja-JP" w:bidi="hi-IN"/>
        </w:rPr>
        <w:t xml:space="preserve"> the frequency range of 3</w:t>
      </w:r>
      <w:r w:rsidR="00A1243D">
        <w:rPr>
          <w:rFonts w:eastAsia="SimSun"/>
          <w:lang w:eastAsia="ja-JP" w:bidi="hi-IN"/>
        </w:rPr>
        <w:t>9</w:t>
      </w:r>
      <w:r>
        <w:rPr>
          <w:rFonts w:eastAsia="SimSun"/>
          <w:lang w:eastAsia="ja-JP" w:bidi="hi-IN"/>
        </w:rPr>
        <w:t xml:space="preserve">.5 to 40.0 GHz.  </w:t>
      </w:r>
      <w:r w:rsidR="00A1243D">
        <w:rPr>
          <w:rFonts w:eastAsia="SimSun"/>
          <w:lang w:eastAsia="ja-JP" w:bidi="hi-IN"/>
        </w:rPr>
        <w:t>One recent development, which may be related to this discussion, is the anticipated FCC reconfiguration of the 39 GHz spectrum, as announced on March 20</w:t>
      </w:r>
      <w:r w:rsidR="00A1243D" w:rsidRPr="00A56963">
        <w:rPr>
          <w:rFonts w:eastAsia="SimSun"/>
          <w:vertAlign w:val="superscript"/>
          <w:lang w:eastAsia="ja-JP" w:bidi="hi-IN"/>
        </w:rPr>
        <w:t>th</w:t>
      </w:r>
      <w:r w:rsidR="00A1243D">
        <w:rPr>
          <w:rFonts w:eastAsia="SimSun"/>
          <w:lang w:eastAsia="ja-JP" w:bidi="hi-IN"/>
        </w:rPr>
        <w:t xml:space="preserve">, 2019 </w:t>
      </w:r>
      <w:r w:rsidR="00A1243D">
        <w:rPr>
          <w:rFonts w:eastAsia="SimSun"/>
          <w:lang w:eastAsia="ja-JP" w:bidi="hi-IN"/>
        </w:rPr>
        <w:fldChar w:fldCharType="begin"/>
      </w:r>
      <w:r w:rsidR="00A1243D">
        <w:rPr>
          <w:rFonts w:eastAsia="SimSun"/>
          <w:lang w:eastAsia="ja-JP" w:bidi="hi-IN"/>
        </w:rPr>
        <w:instrText xml:space="preserve"> REF _Ref4600087 \r \h </w:instrText>
      </w:r>
      <w:r w:rsidR="00A1243D">
        <w:rPr>
          <w:rFonts w:eastAsia="SimSun"/>
          <w:lang w:eastAsia="ja-JP" w:bidi="hi-IN"/>
        </w:rPr>
      </w:r>
      <w:r w:rsidR="00A1243D">
        <w:rPr>
          <w:rFonts w:eastAsia="SimSun"/>
          <w:lang w:eastAsia="ja-JP" w:bidi="hi-IN"/>
        </w:rPr>
        <w:fldChar w:fldCharType="separate"/>
      </w:r>
      <w:r w:rsidR="00A1243D">
        <w:rPr>
          <w:rFonts w:eastAsia="SimSun"/>
          <w:lang w:eastAsia="ja-JP" w:bidi="hi-IN"/>
        </w:rPr>
        <w:t>[2]</w:t>
      </w:r>
      <w:r w:rsidR="00A1243D">
        <w:rPr>
          <w:rFonts w:eastAsia="SimSun"/>
          <w:lang w:eastAsia="ja-JP" w:bidi="hi-IN"/>
        </w:rPr>
        <w:fldChar w:fldCharType="end"/>
      </w:r>
      <w:r w:rsidR="00A1243D">
        <w:rPr>
          <w:rFonts w:eastAsia="SimSun"/>
          <w:lang w:eastAsia="ja-JP" w:bidi="hi-IN"/>
        </w:rPr>
        <w:t>:</w:t>
      </w:r>
    </w:p>
    <w:p w14:paraId="37186762" w14:textId="77777777" w:rsidR="00A1243D" w:rsidRDefault="00A1243D" w:rsidP="00A1243D">
      <w:pPr>
        <w:rPr>
          <w:rFonts w:eastAsia="SimSun"/>
          <w:lang w:eastAsia="ja-JP" w:bidi="hi-IN"/>
        </w:rPr>
      </w:pPr>
    </w:p>
    <w:p w14:paraId="3E42F710" w14:textId="77777777" w:rsidR="00A1243D" w:rsidRDefault="00A1243D" w:rsidP="00A1243D">
      <w:pPr>
        <w:rPr>
          <w:rFonts w:eastAsia="SimSun"/>
          <w:lang w:eastAsia="ja-JP" w:bidi="hi-IN"/>
        </w:rPr>
      </w:pPr>
      <w:r>
        <w:rPr>
          <w:noProof/>
        </w:rPr>
        <mc:AlternateContent>
          <mc:Choice Requires="wps">
            <w:drawing>
              <wp:inline distT="0" distB="0" distL="0" distR="0" wp14:anchorId="150640E8" wp14:editId="2BF4C7DE">
                <wp:extent cx="1828800" cy="1828800"/>
                <wp:effectExtent l="0" t="0" r="6985" b="10160"/>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F991D32" w14:textId="77777777" w:rsidR="00A1243D" w:rsidRPr="008E7940" w:rsidRDefault="00A1243D" w:rsidP="00A1243D">
                            <w:pPr>
                              <w:rPr>
                                <w:rFonts w:eastAsia="SimSun"/>
                                <w:sz w:val="20"/>
                                <w:szCs w:val="20"/>
                                <w:lang w:eastAsia="ja-JP" w:bidi="hi-IN"/>
                              </w:rPr>
                            </w:pPr>
                            <w:r w:rsidRPr="008E7940">
                              <w:rPr>
                                <w:rFonts w:eastAsia="SimSun"/>
                                <w:i/>
                                <w:sz w:val="20"/>
                                <w:szCs w:val="20"/>
                                <w:lang w:eastAsia="ja-JP" w:bidi="hi-IN"/>
                              </w:rPr>
                              <w:t>Reconfigured 39 GHz Incumbent Holdings Public Notice.</w:t>
                            </w:r>
                            <w:r w:rsidRPr="008E7940">
                              <w:rPr>
                                <w:rFonts w:eastAsia="SimSun"/>
                                <w:sz w:val="20"/>
                                <w:szCs w:val="20"/>
                                <w:lang w:eastAsia="ja-JP" w:bidi="hi-IN"/>
                              </w:rPr>
                              <w:t xml:space="preserve"> After the updated 39 GHz band reconfiguration procedures are adopted, the adopted procedures and methodologies will be applied to reconfigure each incumbent’s holdings to match the new band plan and service areas. The Reconfigured 39 GHz Incumbent Holdings Public Notice will show the license holdings the incumbent would receive if in its Initial Commitment it chose to receive modified licenses based on the Commission’s proposed reconfiguration (Option 1 under the Initial Commitment Process). The Public Notice will inform each incumbent of the PEAs in which it would receive modified 100 megahertz licenses and the number of such licenses if it chooses to accept the modified licenses based on the Commission’s proposed reconfiguration. The final frequencies of the licenses will be determined later; any licensee receiving more than one modified license in a PEA will receive licenses for contiguous frequencies within the PEA.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50640E8" id="_x0000_t202" coordsize="21600,21600" o:spt="202" path="m,l,21600r21600,l21600,xe">
                <v:stroke joinstyle="miter"/>
                <v:path gradientshapeok="t" o:connecttype="rect"/>
              </v:shapetype>
              <v:shape id="Text Box 7"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gfsg09AgAAfwQAAA4AAAAAAAAA&#13;&#10;AAAAAAAALgIAAGRycy9lMm9Eb2MueG1sUEsBAi0AFAAGAAgAAAAhAAUyY4naAAAACgEAAA8AAAAA&#13;&#10;AAAAAAAAAAAAlwQAAGRycy9kb3ducmV2LnhtbFBLBQYAAAAABAAEAPMAAACeBQAAAAA=&#13;&#10;" filled="f" strokeweight=".5pt">
                <v:textbox style="mso-fit-shape-to-text:t">
                  <w:txbxContent>
                    <w:p w14:paraId="5F991D32" w14:textId="77777777" w:rsidR="00A1243D" w:rsidRPr="008E7940" w:rsidRDefault="00A1243D" w:rsidP="00A1243D">
                      <w:pPr>
                        <w:rPr>
                          <w:rFonts w:eastAsia="SimSun"/>
                          <w:sz w:val="20"/>
                          <w:szCs w:val="20"/>
                          <w:lang w:eastAsia="ja-JP" w:bidi="hi-IN"/>
                        </w:rPr>
                      </w:pPr>
                      <w:r w:rsidRPr="008E7940">
                        <w:rPr>
                          <w:rFonts w:eastAsia="SimSun"/>
                          <w:i/>
                          <w:sz w:val="20"/>
                          <w:szCs w:val="20"/>
                          <w:lang w:eastAsia="ja-JP" w:bidi="hi-IN"/>
                        </w:rPr>
                        <w:t>Reconfigured 39 GHz Incumbent Holdings Public Notice.</w:t>
                      </w:r>
                      <w:r w:rsidRPr="008E7940">
                        <w:rPr>
                          <w:rFonts w:eastAsia="SimSun"/>
                          <w:sz w:val="20"/>
                          <w:szCs w:val="20"/>
                          <w:lang w:eastAsia="ja-JP" w:bidi="hi-IN"/>
                        </w:rPr>
                        <w:t xml:space="preserve"> After the updated 39 GHz band reconfiguration procedures are adopted, the adopted procedures and methodologies will be applied to reconfigure each incumbent’s holdings to match the new band plan and service areas. The Reconfigured 39 GHz Incumbent Holdings Public Notice will show the license holdings the incumbent would receive if in its Initial Commitment it chose to receive modified licenses based on the Commission’s proposed reconfiguration (Option 1 under the Initial Commitment Process). The Public Notice will inform each incumbent of the PEAs in which it would receive modified 100 megahertz licenses and the number of such licenses if it chooses to accept the modified licenses based on the Commission’s proposed reconfiguration. The final frequencies of the licenses will be determined later; any licensee receiving more than one modified license in a PEA will receive licenses for contiguous frequencies within the PEA.</w:t>
                      </w:r>
                    </w:p>
                  </w:txbxContent>
                </v:textbox>
                <w10:anchorlock/>
              </v:shape>
            </w:pict>
          </mc:Fallback>
        </mc:AlternateContent>
      </w:r>
    </w:p>
    <w:p w14:paraId="2A0D0033" w14:textId="77777777" w:rsidR="00A1243D" w:rsidRDefault="00A1243D" w:rsidP="00A1243D">
      <w:pPr>
        <w:rPr>
          <w:rFonts w:eastAsia="SimSun"/>
          <w:lang w:eastAsia="ja-JP" w:bidi="hi-IN"/>
        </w:rPr>
      </w:pPr>
    </w:p>
    <w:p w14:paraId="4FCD60C5" w14:textId="77777777" w:rsidR="00A1243D" w:rsidRDefault="00A1243D" w:rsidP="00A1243D">
      <w:pPr>
        <w:rPr>
          <w:rFonts w:eastAsia="SimSun"/>
          <w:lang w:eastAsia="ja-JP" w:bidi="hi-IN"/>
        </w:rPr>
      </w:pPr>
      <w:r>
        <w:rPr>
          <w:rFonts w:eastAsia="SimSun"/>
          <w:lang w:eastAsia="ja-JP" w:bidi="hi-IN"/>
        </w:rPr>
        <w:t>The 39 GHz reconfiguration targets spectrum in the range of 38.6 to 40.0 GHz.  It is our understanding that upon the conclusion of this activity, FCC licensees would hold spectrum with granularity of 100 MHz within this range, and it may be useful to consider this development in the discussion.</w:t>
      </w:r>
    </w:p>
    <w:p w14:paraId="5A0DD45F" w14:textId="77777777" w:rsidR="00A1243D" w:rsidRDefault="00A1243D" w:rsidP="00A56963">
      <w:pPr>
        <w:rPr>
          <w:rFonts w:eastAsia="SimSun"/>
          <w:lang w:eastAsia="ja-JP" w:bidi="hi-IN"/>
        </w:rPr>
      </w:pPr>
    </w:p>
    <w:p w14:paraId="24E8FD39" w14:textId="5684A294" w:rsidR="00A56963" w:rsidRDefault="00852E4C" w:rsidP="00A56963">
      <w:pPr>
        <w:rPr>
          <w:rFonts w:eastAsia="SimSun"/>
          <w:lang w:eastAsia="ja-JP" w:bidi="hi-IN"/>
        </w:rPr>
      </w:pPr>
      <w:r>
        <w:rPr>
          <w:rFonts w:eastAsia="SimSun"/>
          <w:lang w:eastAsia="ja-JP" w:bidi="hi-IN"/>
        </w:rPr>
        <w:t>Because FR2 RF requirements are defined according to OTA metrics, factors related to antenna performance over all bands supported by the UE impact the requirement values.</w:t>
      </w:r>
      <w:r w:rsidR="00D32144">
        <w:rPr>
          <w:rFonts w:eastAsia="SimSun"/>
          <w:lang w:eastAsia="ja-JP" w:bidi="hi-IN"/>
        </w:rPr>
        <w:t xml:space="preserve">  An operator may be interested in devices customized for operation just in this frequency range or to aggregate with </w:t>
      </w:r>
      <w:r w:rsidR="00D32144">
        <w:rPr>
          <w:rFonts w:eastAsia="SimSun"/>
          <w:lang w:eastAsia="ja-JP" w:bidi="hi-IN"/>
        </w:rPr>
        <w:lastRenderedPageBreak/>
        <w:t xml:space="preserve">other bands.  Because Band n259 is introduced in Rel-16, and because scope for inter-band carrier aggregation is included in the Rel-16 FR2 RF work item </w:t>
      </w:r>
      <w:r w:rsidR="00D32144">
        <w:rPr>
          <w:rFonts w:eastAsia="SimSun"/>
          <w:lang w:eastAsia="ja-JP" w:bidi="hi-IN"/>
        </w:rPr>
        <w:fldChar w:fldCharType="begin"/>
      </w:r>
      <w:r w:rsidR="00D32144">
        <w:rPr>
          <w:rFonts w:eastAsia="SimSun"/>
          <w:lang w:eastAsia="ja-JP" w:bidi="hi-IN"/>
        </w:rPr>
        <w:instrText xml:space="preserve"> REF _Ref4615322 \r \h </w:instrText>
      </w:r>
      <w:r w:rsidR="00D32144">
        <w:rPr>
          <w:rFonts w:eastAsia="SimSun"/>
          <w:lang w:eastAsia="ja-JP" w:bidi="hi-IN"/>
        </w:rPr>
      </w:r>
      <w:r w:rsidR="00D32144">
        <w:rPr>
          <w:rFonts w:eastAsia="SimSun"/>
          <w:lang w:eastAsia="ja-JP" w:bidi="hi-IN"/>
        </w:rPr>
        <w:fldChar w:fldCharType="separate"/>
      </w:r>
      <w:r w:rsidR="00D32144">
        <w:rPr>
          <w:rFonts w:eastAsia="SimSun"/>
          <w:lang w:eastAsia="ja-JP" w:bidi="hi-IN"/>
        </w:rPr>
        <w:t>[3]</w:t>
      </w:r>
      <w:r w:rsidR="00D32144">
        <w:rPr>
          <w:rFonts w:eastAsia="SimSun"/>
          <w:lang w:eastAsia="ja-JP" w:bidi="hi-IN"/>
        </w:rPr>
        <w:fldChar w:fldCharType="end"/>
      </w:r>
      <w:r w:rsidR="00D32144">
        <w:rPr>
          <w:rFonts w:eastAsia="SimSun"/>
          <w:lang w:eastAsia="ja-JP" w:bidi="hi-IN"/>
        </w:rPr>
        <w:t>, this scenario becomes feasible.</w:t>
      </w:r>
    </w:p>
    <w:p w14:paraId="395DE13B" w14:textId="619669A0" w:rsidR="00A1243D" w:rsidRDefault="00A1243D" w:rsidP="00A56963">
      <w:pPr>
        <w:rPr>
          <w:rFonts w:eastAsia="SimSun"/>
          <w:lang w:eastAsia="ja-JP" w:bidi="hi-IN"/>
        </w:rPr>
      </w:pPr>
    </w:p>
    <w:p w14:paraId="625F0D1E" w14:textId="1750A576" w:rsidR="00A1243D" w:rsidRDefault="00A1243D" w:rsidP="00A56963">
      <w:pPr>
        <w:rPr>
          <w:rFonts w:eastAsia="SimSun"/>
          <w:lang w:eastAsia="ja-JP" w:bidi="hi-IN"/>
        </w:rPr>
      </w:pPr>
      <w:r>
        <w:rPr>
          <w:rFonts w:eastAsia="SimSun"/>
          <w:lang w:eastAsia="ja-JP" w:bidi="hi-IN"/>
        </w:rPr>
        <w:t xml:space="preserve">Thus, taking the n259/n260 </w:t>
      </w:r>
      <w:r w:rsidR="00C32AAF">
        <w:rPr>
          <w:rFonts w:eastAsia="SimSun"/>
          <w:lang w:eastAsia="ja-JP" w:bidi="hi-IN"/>
        </w:rPr>
        <w:t>overlap</w:t>
      </w:r>
      <w:r>
        <w:rPr>
          <w:rFonts w:eastAsia="SimSun"/>
          <w:lang w:eastAsia="ja-JP" w:bidi="hi-IN"/>
        </w:rPr>
        <w:t xml:space="preserve"> region and extending it down to 38.5 GHz may be a useful band definition on its own.</w:t>
      </w:r>
    </w:p>
    <w:p w14:paraId="03B4ED2F" w14:textId="7609D701" w:rsidR="00D32144" w:rsidRDefault="00D32144" w:rsidP="00A56963">
      <w:pPr>
        <w:rPr>
          <w:rFonts w:eastAsia="SimSun"/>
          <w:lang w:eastAsia="ja-JP" w:bidi="hi-IN"/>
        </w:rPr>
      </w:pPr>
    </w:p>
    <w:p w14:paraId="3D330726" w14:textId="77777777" w:rsidR="00A1243D" w:rsidRDefault="00A1243D" w:rsidP="00A1243D">
      <w:pPr>
        <w:keepNext/>
        <w:jc w:val="center"/>
      </w:pPr>
      <w:r w:rsidRPr="005F2CAD">
        <w:rPr>
          <w:rFonts w:eastAsia="SimSun"/>
          <w:noProof/>
          <w:lang w:eastAsia="ja-JP" w:bidi="hi-IN"/>
        </w:rPr>
        <w:drawing>
          <wp:inline distT="0" distB="0" distL="0" distR="0" wp14:anchorId="24B0FEC0" wp14:editId="3529E43E">
            <wp:extent cx="3657600" cy="15774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7600" cy="1577409"/>
                    </a:xfrm>
                    <a:prstGeom prst="rect">
                      <a:avLst/>
                    </a:prstGeom>
                  </pic:spPr>
                </pic:pic>
              </a:graphicData>
            </a:graphic>
          </wp:inline>
        </w:drawing>
      </w:r>
    </w:p>
    <w:p w14:paraId="69A61CEF" w14:textId="77777777" w:rsidR="00A1243D" w:rsidRDefault="00A1243D" w:rsidP="00A1243D">
      <w:pPr>
        <w:pStyle w:val="Caption"/>
        <w:jc w:val="center"/>
        <w:rPr>
          <w:rFonts w:eastAsia="SimSun"/>
          <w:lang w:eastAsia="ja-JP" w:bidi="hi-IN"/>
        </w:rPr>
      </w:pPr>
      <w:r>
        <w:t xml:space="preserve">Figure </w:t>
      </w:r>
      <w:r w:rsidR="006E681B">
        <w:fldChar w:fldCharType="begin"/>
      </w:r>
      <w:r w:rsidR="006E681B">
        <w:instrText xml:space="preserve"> SEQ Figure \* ARABIC </w:instrText>
      </w:r>
      <w:r w:rsidR="006E681B">
        <w:fldChar w:fldCharType="separate"/>
      </w:r>
      <w:r>
        <w:rPr>
          <w:noProof/>
        </w:rPr>
        <w:t>2</w:t>
      </w:r>
      <w:r w:rsidR="006E681B">
        <w:rPr>
          <w:noProof/>
        </w:rPr>
        <w:fldChar w:fldCharType="end"/>
      </w:r>
      <w:r>
        <w:t>: Possible new band covering the FCC 39 GHz reconfiguration region as well as the n259/n260 overlap</w:t>
      </w:r>
    </w:p>
    <w:p w14:paraId="728A42D6" w14:textId="77777777" w:rsidR="00A1243D" w:rsidRDefault="00A1243D" w:rsidP="00A56963">
      <w:pPr>
        <w:rPr>
          <w:rFonts w:eastAsia="SimSun"/>
          <w:lang w:eastAsia="ja-JP" w:bidi="hi-IN"/>
        </w:rPr>
      </w:pPr>
    </w:p>
    <w:p w14:paraId="45818ED7" w14:textId="2325E5DB" w:rsidR="000429EF" w:rsidRPr="00A56963" w:rsidRDefault="00D32144" w:rsidP="00A56963">
      <w:pPr>
        <w:rPr>
          <w:rFonts w:eastAsia="SimSun"/>
          <w:lang w:eastAsia="ja-JP" w:bidi="hi-IN"/>
        </w:rPr>
      </w:pPr>
      <w:r w:rsidRPr="00D32144">
        <w:rPr>
          <w:rFonts w:eastAsia="SimSun"/>
          <w:b/>
          <w:lang w:eastAsia="ja-JP" w:bidi="hi-IN"/>
        </w:rPr>
        <w:t>Proposal 2</w:t>
      </w:r>
      <w:r>
        <w:rPr>
          <w:rFonts w:eastAsia="SimSun"/>
          <w:lang w:eastAsia="ja-JP" w:bidi="hi-IN"/>
        </w:rPr>
        <w:t>: It may be beneficial to consider defining a new FR2 band covering the frequency range of 38.5 GHz to 40.0 GHz</w:t>
      </w:r>
      <w:r w:rsidR="00A1243D">
        <w:rPr>
          <w:rFonts w:eastAsia="SimSun"/>
          <w:lang w:eastAsia="ja-JP" w:bidi="hi-IN"/>
        </w:rPr>
        <w:t>, and further discussion on this aspect is encouraged</w:t>
      </w:r>
      <w:r>
        <w:rPr>
          <w:rFonts w:eastAsia="SimSun"/>
          <w:lang w:eastAsia="ja-JP" w:bidi="hi-IN"/>
        </w:rPr>
        <w:t>.</w:t>
      </w:r>
    </w:p>
    <w:p w14:paraId="022DEB65" w14:textId="6CA0B7C7" w:rsidR="00D14C26" w:rsidRPr="00871EA3" w:rsidRDefault="0036017F" w:rsidP="00F93EB0">
      <w:pPr>
        <w:pStyle w:val="Heading1"/>
        <w:rPr>
          <w:lang w:val="en-US"/>
        </w:rPr>
      </w:pPr>
      <w:r>
        <w:rPr>
          <w:lang w:val="en-US"/>
        </w:rPr>
        <w:t>Conclusions</w:t>
      </w:r>
    </w:p>
    <w:p w14:paraId="38AD26A9" w14:textId="4A24413F"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3E31C800" w14:textId="5FF74B8A" w:rsidR="00A61863" w:rsidRDefault="00A61863" w:rsidP="00B9532A"/>
    <w:p w14:paraId="5B25363F" w14:textId="03B9021B" w:rsidR="00086BFB" w:rsidRDefault="00086BFB" w:rsidP="00086BFB">
      <w:pPr>
        <w:rPr>
          <w:rFonts w:eastAsia="SimSun"/>
          <w:lang w:eastAsia="ja-JP" w:bidi="hi-IN"/>
        </w:rPr>
      </w:pPr>
      <w:r w:rsidRPr="00A56963">
        <w:rPr>
          <w:rFonts w:eastAsia="SimSun"/>
          <w:b/>
          <w:lang w:eastAsia="ja-JP" w:bidi="hi-IN"/>
        </w:rPr>
        <w:t>Proposal 1</w:t>
      </w:r>
      <w:r>
        <w:rPr>
          <w:rFonts w:eastAsia="SimSun"/>
          <w:lang w:eastAsia="ja-JP" w:bidi="hi-IN"/>
        </w:rPr>
        <w:t>: Define the lower limit of the new Band n259 to be 39.5 GHz.</w:t>
      </w:r>
    </w:p>
    <w:p w14:paraId="6B9282CC" w14:textId="6EB0C6C4" w:rsidR="00086BFB" w:rsidRDefault="00086BFB" w:rsidP="00086BFB">
      <w:pPr>
        <w:rPr>
          <w:rFonts w:eastAsia="SimSun"/>
          <w:lang w:eastAsia="ja-JP" w:bidi="hi-IN"/>
        </w:rPr>
      </w:pPr>
    </w:p>
    <w:p w14:paraId="0EC63462" w14:textId="77D1AB8F" w:rsidR="00086BFB" w:rsidRDefault="00086BFB" w:rsidP="00086BFB">
      <w:pPr>
        <w:rPr>
          <w:rFonts w:eastAsia="SimSun"/>
          <w:lang w:eastAsia="ja-JP" w:bidi="hi-IN"/>
        </w:rPr>
      </w:pPr>
      <w:r w:rsidRPr="00D32144">
        <w:rPr>
          <w:rFonts w:eastAsia="SimSun"/>
          <w:b/>
          <w:lang w:eastAsia="ja-JP" w:bidi="hi-IN"/>
        </w:rPr>
        <w:t>Proposal 2</w:t>
      </w:r>
      <w:r>
        <w:rPr>
          <w:rFonts w:eastAsia="SimSun"/>
          <w:lang w:eastAsia="ja-JP" w:bidi="hi-IN"/>
        </w:rPr>
        <w:t>: It may be beneficial to consider defining a new FR2 band covering the frequency range of 38.5 GHz to 40.0 GHz, and further discussion on this aspect is encouraged.</w:t>
      </w:r>
    </w:p>
    <w:p w14:paraId="47BA569A" w14:textId="77777777" w:rsidR="0017048A" w:rsidRPr="00871EA3" w:rsidRDefault="0017048A" w:rsidP="00342BBF">
      <w:pPr>
        <w:pStyle w:val="Heading1"/>
        <w:rPr>
          <w:lang w:val="en-US"/>
        </w:rPr>
      </w:pPr>
      <w:r w:rsidRPr="00871EA3">
        <w:rPr>
          <w:lang w:val="en-US"/>
        </w:rPr>
        <w:t>References</w:t>
      </w:r>
    </w:p>
    <w:p w14:paraId="2AFDDED3" w14:textId="62FA4CDD" w:rsidR="008B2A22" w:rsidRDefault="008B2A22" w:rsidP="00A60163">
      <w:pPr>
        <w:widowControl w:val="0"/>
        <w:numPr>
          <w:ilvl w:val="0"/>
          <w:numId w:val="5"/>
        </w:numPr>
      </w:pPr>
      <w:bookmarkStart w:id="1" w:name="_Ref4588121"/>
      <w:bookmarkStart w:id="2" w:name="_Ref525858808"/>
      <w:r w:rsidRPr="008B2A22">
        <w:t>RP-190765</w:t>
      </w:r>
      <w:r>
        <w:t>, “</w:t>
      </w:r>
      <w:r w:rsidRPr="008B2A22">
        <w:t>New WID: introduction of Band n259</w:t>
      </w:r>
      <w:r>
        <w:t>,” Ericsson, Huawei, HiSilicon, 3GPP RAN #83, March 2019</w:t>
      </w:r>
      <w:bookmarkEnd w:id="1"/>
    </w:p>
    <w:p w14:paraId="7D371EC3" w14:textId="6AA9EA73" w:rsidR="00A56963" w:rsidRDefault="00A56963" w:rsidP="00A56963">
      <w:pPr>
        <w:widowControl w:val="0"/>
        <w:numPr>
          <w:ilvl w:val="0"/>
          <w:numId w:val="5"/>
        </w:numPr>
      </w:pPr>
      <w:bookmarkStart w:id="3" w:name="_Ref4600087"/>
      <w:r>
        <w:t>DA 19-196, “</w:t>
      </w:r>
      <w:r w:rsidRPr="00A56963">
        <w:rPr>
          <w:bCs/>
        </w:rPr>
        <w:t>Notice Of Initial 39 G</w:t>
      </w:r>
      <w:r w:rsidR="00C32AAF">
        <w:rPr>
          <w:bCs/>
        </w:rPr>
        <w:t>H</w:t>
      </w:r>
      <w:r w:rsidRPr="00A56963">
        <w:rPr>
          <w:bCs/>
        </w:rPr>
        <w:t>z Reconfiguration Procedures</w:t>
      </w:r>
      <w:r>
        <w:rPr>
          <w:bCs/>
        </w:rPr>
        <w:t>,” FCC, March, 2019</w:t>
      </w:r>
      <w:bookmarkEnd w:id="3"/>
    </w:p>
    <w:p w14:paraId="204B9882" w14:textId="13D1C5FA" w:rsidR="00D32144" w:rsidRDefault="00D32144" w:rsidP="00A60163">
      <w:pPr>
        <w:widowControl w:val="0"/>
        <w:numPr>
          <w:ilvl w:val="0"/>
          <w:numId w:val="5"/>
        </w:numPr>
      </w:pPr>
      <w:bookmarkStart w:id="4" w:name="_Ref4615322"/>
      <w:r w:rsidRPr="00D32144">
        <w:t>RP-190761</w:t>
      </w:r>
      <w:r>
        <w:t>, “</w:t>
      </w:r>
      <w:r w:rsidRPr="00D32144">
        <w:t>NR RF requirements for FR2</w:t>
      </w:r>
      <w:r>
        <w:t>,” Nokia, Nokia Shanghai Bell, 3GPP RAN #83, March 2019</w:t>
      </w:r>
      <w:bookmarkEnd w:id="4"/>
    </w:p>
    <w:p w14:paraId="32EC013D" w14:textId="59BC1A58" w:rsidR="005007F2" w:rsidRDefault="008B2A22" w:rsidP="00A60163">
      <w:pPr>
        <w:widowControl w:val="0"/>
        <w:numPr>
          <w:ilvl w:val="0"/>
          <w:numId w:val="5"/>
        </w:numPr>
      </w:pPr>
      <w:r>
        <w:t xml:space="preserve">3GPP </w:t>
      </w:r>
      <w:r w:rsidR="0036017F">
        <w:t>TS38.101-2</w:t>
      </w:r>
      <w:bookmarkEnd w:id="2"/>
      <w:r>
        <w:t>, “</w:t>
      </w:r>
      <w:r w:rsidRPr="008B2A22">
        <w:t>User Equipment (UE) radio transmission and reception; Part 2: Range 2</w:t>
      </w:r>
      <w:r>
        <w:t xml:space="preserve"> </w:t>
      </w:r>
      <w:r w:rsidRPr="008B2A22">
        <w:t>Standalone</w:t>
      </w:r>
      <w:r>
        <w:t>,” V15.5.0, 3GPP RAN #83, March 2019</w:t>
      </w:r>
    </w:p>
    <w:p w14:paraId="67FF803D" w14:textId="42965A45" w:rsidR="005A7F6B" w:rsidRDefault="008B2A22" w:rsidP="00A60163">
      <w:pPr>
        <w:widowControl w:val="0"/>
        <w:numPr>
          <w:ilvl w:val="0"/>
          <w:numId w:val="5"/>
        </w:numPr>
      </w:pPr>
      <w:r>
        <w:t>3GPP TR38.817-01, “</w:t>
      </w:r>
      <w:r w:rsidRPr="008B2A22">
        <w:t>General aspects for User Equipment (UE) Radio Frequency (RF) for NR</w:t>
      </w:r>
      <w:r>
        <w:t>,” V15.2.0, 3GPP RAN #82, December 2018</w:t>
      </w:r>
    </w:p>
    <w:p w14:paraId="774865BF" w14:textId="65C2D960" w:rsidR="00546E72" w:rsidRPr="00636092" w:rsidRDefault="00546E72" w:rsidP="00636092">
      <w:pPr>
        <w:rPr>
          <w:rFonts w:ascii="Arial" w:eastAsia="SimSun" w:hAnsi="Arial"/>
          <w:sz w:val="36"/>
          <w:szCs w:val="20"/>
        </w:rPr>
      </w:pPr>
    </w:p>
    <w:sectPr w:rsidR="00546E72" w:rsidRPr="00636092"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2A93C" w14:textId="77777777" w:rsidR="006E681B" w:rsidRDefault="006E681B">
      <w:r>
        <w:separator/>
      </w:r>
    </w:p>
  </w:endnote>
  <w:endnote w:type="continuationSeparator" w:id="0">
    <w:p w14:paraId="53AB354E" w14:textId="77777777" w:rsidR="006E681B" w:rsidRDefault="006E681B">
      <w:r>
        <w:continuationSeparator/>
      </w:r>
    </w:p>
  </w:endnote>
  <w:endnote w:type="continuationNotice" w:id="1">
    <w:p w14:paraId="3B54C005" w14:textId="77777777" w:rsidR="006E681B" w:rsidRDefault="006E6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D2C2A" w14:textId="77777777" w:rsidR="006E681B" w:rsidRDefault="006E681B">
      <w:r>
        <w:separator/>
      </w:r>
    </w:p>
  </w:footnote>
  <w:footnote w:type="continuationSeparator" w:id="0">
    <w:p w14:paraId="3B57400C" w14:textId="77777777" w:rsidR="006E681B" w:rsidRDefault="006E681B">
      <w:r>
        <w:continuationSeparator/>
      </w:r>
    </w:p>
  </w:footnote>
  <w:footnote w:type="continuationNotice" w:id="1">
    <w:p w14:paraId="5B819E95" w14:textId="77777777" w:rsidR="006E681B" w:rsidRDefault="006E68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9"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9"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3"/>
  </w:num>
  <w:num w:numId="4">
    <w:abstractNumId w:val="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2"/>
  </w:num>
  <w:num w:numId="8">
    <w:abstractNumId w:val="17"/>
  </w:num>
  <w:num w:numId="9">
    <w:abstractNumId w:val="19"/>
  </w:num>
  <w:num w:numId="10">
    <w:abstractNumId w:val="29"/>
  </w:num>
  <w:num w:numId="11">
    <w:abstractNumId w:val="6"/>
  </w:num>
  <w:num w:numId="12">
    <w:abstractNumId w:val="2"/>
  </w:num>
  <w:num w:numId="13">
    <w:abstractNumId w:val="20"/>
  </w:num>
  <w:num w:numId="14">
    <w:abstractNumId w:val="25"/>
  </w:num>
  <w:num w:numId="15">
    <w:abstractNumId w:val="24"/>
  </w:num>
  <w:num w:numId="16">
    <w:abstractNumId w:val="10"/>
  </w:num>
  <w:num w:numId="17">
    <w:abstractNumId w:val="18"/>
  </w:num>
  <w:num w:numId="18">
    <w:abstractNumId w:val="21"/>
  </w:num>
  <w:num w:numId="19">
    <w:abstractNumId w:val="14"/>
  </w:num>
  <w:num w:numId="20">
    <w:abstractNumId w:val="16"/>
  </w:num>
  <w:num w:numId="21">
    <w:abstractNumId w:val="23"/>
  </w:num>
  <w:num w:numId="22">
    <w:abstractNumId w:val="0"/>
  </w:num>
  <w:num w:numId="23">
    <w:abstractNumId w:val="9"/>
  </w:num>
  <w:num w:numId="24">
    <w:abstractNumId w:val="15"/>
  </w:num>
  <w:num w:numId="25">
    <w:abstractNumId w:val="3"/>
  </w:num>
  <w:num w:numId="26">
    <w:abstractNumId w:val="26"/>
  </w:num>
  <w:num w:numId="27">
    <w:abstractNumId w:val="27"/>
  </w:num>
  <w:num w:numId="28">
    <w:abstractNumId w:val="4"/>
  </w:num>
  <w:num w:numId="29">
    <w:abstractNumId w:val="5"/>
  </w:num>
  <w:num w:numId="3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9EF"/>
    <w:rsid w:val="00042BFC"/>
    <w:rsid w:val="000430CF"/>
    <w:rsid w:val="00043607"/>
    <w:rsid w:val="00043703"/>
    <w:rsid w:val="0004403C"/>
    <w:rsid w:val="000441EC"/>
    <w:rsid w:val="00044225"/>
    <w:rsid w:val="00044359"/>
    <w:rsid w:val="000444AD"/>
    <w:rsid w:val="00044576"/>
    <w:rsid w:val="000449EE"/>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2E0"/>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BFB"/>
    <w:rsid w:val="00086C4D"/>
    <w:rsid w:val="00086CF2"/>
    <w:rsid w:val="0008731C"/>
    <w:rsid w:val="0008760B"/>
    <w:rsid w:val="00087881"/>
    <w:rsid w:val="00087BAB"/>
    <w:rsid w:val="00087E29"/>
    <w:rsid w:val="00087F45"/>
    <w:rsid w:val="00087F91"/>
    <w:rsid w:val="00090573"/>
    <w:rsid w:val="00090586"/>
    <w:rsid w:val="00090653"/>
    <w:rsid w:val="00091714"/>
    <w:rsid w:val="00091767"/>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3CE2"/>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EBF"/>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5"/>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50"/>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CAD"/>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81B"/>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139"/>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E4C"/>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249"/>
    <w:rsid w:val="008B130E"/>
    <w:rsid w:val="008B1651"/>
    <w:rsid w:val="008B175A"/>
    <w:rsid w:val="008B1C8C"/>
    <w:rsid w:val="008B1E55"/>
    <w:rsid w:val="008B1EFF"/>
    <w:rsid w:val="008B1F30"/>
    <w:rsid w:val="008B20B6"/>
    <w:rsid w:val="008B20E5"/>
    <w:rsid w:val="008B21F5"/>
    <w:rsid w:val="008B269F"/>
    <w:rsid w:val="008B2A22"/>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D7F40"/>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940"/>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45F"/>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EF9"/>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BAA"/>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0A3"/>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43D"/>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1DE1"/>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963"/>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6D3A"/>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012"/>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AAF"/>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A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144"/>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7D5"/>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0EC"/>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62D"/>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1AF"/>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4A5"/>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0226546">
      <w:bodyDiv w:val="1"/>
      <w:marLeft w:val="0"/>
      <w:marRight w:val="0"/>
      <w:marTop w:val="0"/>
      <w:marBottom w:val="0"/>
      <w:divBdr>
        <w:top w:val="none" w:sz="0" w:space="0" w:color="auto"/>
        <w:left w:val="none" w:sz="0" w:space="0" w:color="auto"/>
        <w:bottom w:val="none" w:sz="0" w:space="0" w:color="auto"/>
        <w:right w:val="none" w:sz="0" w:space="0" w:color="auto"/>
      </w:divBdr>
      <w:divsChild>
        <w:div w:id="42949916">
          <w:marLeft w:val="0"/>
          <w:marRight w:val="0"/>
          <w:marTop w:val="0"/>
          <w:marBottom w:val="0"/>
          <w:divBdr>
            <w:top w:val="none" w:sz="0" w:space="0" w:color="auto"/>
            <w:left w:val="none" w:sz="0" w:space="0" w:color="auto"/>
            <w:bottom w:val="none" w:sz="0" w:space="0" w:color="auto"/>
            <w:right w:val="none" w:sz="0" w:space="0" w:color="auto"/>
          </w:divBdr>
          <w:divsChild>
            <w:div w:id="390271751">
              <w:marLeft w:val="0"/>
              <w:marRight w:val="0"/>
              <w:marTop w:val="0"/>
              <w:marBottom w:val="0"/>
              <w:divBdr>
                <w:top w:val="none" w:sz="0" w:space="0" w:color="auto"/>
                <w:left w:val="none" w:sz="0" w:space="0" w:color="auto"/>
                <w:bottom w:val="none" w:sz="0" w:space="0" w:color="auto"/>
                <w:right w:val="none" w:sz="0" w:space="0" w:color="auto"/>
              </w:divBdr>
              <w:divsChild>
                <w:div w:id="106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699707">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630589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A32F5DB-C664-3E43-8AD9-DE5AEE5FBDC8}">
  <ds:schemaRefs>
    <ds:schemaRef ds:uri="http://schemas.openxmlformats.org/officeDocument/2006/bibliography"/>
  </ds:schemaRefs>
</ds:datastoreItem>
</file>

<file path=customXml/itemProps4.xml><?xml version="1.0" encoding="utf-8"?>
<ds:datastoreItem xmlns:ds="http://schemas.openxmlformats.org/officeDocument/2006/customXml" ds:itemID="{04F23FC6-CCDD-4D4E-9372-04E5C6C1E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37</TotalTime>
  <Pages>3</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12</cp:revision>
  <cp:lastPrinted>2017-11-08T23:02:00Z</cp:lastPrinted>
  <dcterms:created xsi:type="dcterms:W3CDTF">2019-03-29T16:16:00Z</dcterms:created>
  <dcterms:modified xsi:type="dcterms:W3CDTF">2019-04-01T19:04:00Z</dcterms:modified>
  <cp:category/>
</cp:coreProperties>
</file>