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FDF" w:rsidRPr="00F25FDF" w:rsidRDefault="00F25FDF" w:rsidP="005841B7">
      <w:pPr>
        <w:pStyle w:val="Header-3gppTdoc"/>
      </w:pPr>
      <w:r w:rsidRPr="00F25FDF">
        <w:t>3GPP TSG-RAN WG4 Meeting #</w:t>
      </w:r>
      <w:r w:rsidRPr="00F25FDF">
        <w:rPr>
          <w:rFonts w:hint="eastAsia"/>
        </w:rPr>
        <w:t>8</w:t>
      </w:r>
      <w:r w:rsidRPr="00F25FDF">
        <w:t>9</w:t>
      </w:r>
      <w:r w:rsidRPr="00F25FDF">
        <w:tab/>
      </w:r>
      <w:r w:rsidRPr="00F25FDF">
        <w:tab/>
        <w:t xml:space="preserve">         R4-</w:t>
      </w:r>
      <w:bookmarkStart w:id="0" w:name="_GoBack"/>
      <w:bookmarkEnd w:id="0"/>
      <w:r w:rsidR="00B66F15">
        <w:t>1814560</w:t>
      </w:r>
    </w:p>
    <w:p w:rsidR="00F25FDF" w:rsidRPr="00F25FDF" w:rsidRDefault="00F25FDF" w:rsidP="005841B7">
      <w:pPr>
        <w:pStyle w:val="Header-3gppTdoc"/>
      </w:pPr>
      <w:r w:rsidRPr="00F25FDF">
        <w:t>Spokane</w:t>
      </w:r>
      <w:r w:rsidRPr="00F25FDF">
        <w:rPr>
          <w:rFonts w:hint="eastAsia"/>
        </w:rPr>
        <w:t xml:space="preserve">, </w:t>
      </w:r>
      <w:r w:rsidRPr="00F25FDF">
        <w:t>US, 12th –</w:t>
      </w:r>
      <w:r w:rsidRPr="00F25FDF">
        <w:rPr>
          <w:rFonts w:hint="eastAsia"/>
        </w:rPr>
        <w:t xml:space="preserve"> </w:t>
      </w:r>
      <w:r w:rsidRPr="00F25FDF">
        <w:t>16th Nov, 2018</w:t>
      </w:r>
    </w:p>
    <w:p w:rsidR="00F25FDF" w:rsidRPr="00F25FDF" w:rsidRDefault="00F25FDF" w:rsidP="005841B7">
      <w:pPr>
        <w:pStyle w:val="Header-3gppTdoc"/>
      </w:pPr>
    </w:p>
    <w:p w:rsidR="00F25FDF" w:rsidRPr="00F25FDF" w:rsidRDefault="00F25FDF" w:rsidP="005841B7">
      <w:pPr>
        <w:pStyle w:val="Header-3gppTdoc"/>
      </w:pPr>
      <w:r w:rsidRPr="00F25FDF">
        <w:t xml:space="preserve">Agenda item:      </w:t>
      </w:r>
      <w:r w:rsidR="004B26D4">
        <w:t>6.6.4.2</w:t>
      </w:r>
    </w:p>
    <w:p w:rsidR="00F25FDF" w:rsidRPr="00F25FDF" w:rsidRDefault="00F25FDF" w:rsidP="005841B7">
      <w:pPr>
        <w:pStyle w:val="Header-3gppTdoc"/>
      </w:pPr>
      <w:r w:rsidRPr="00F25FDF">
        <w:t>Source:                Intel Corporation</w:t>
      </w:r>
    </w:p>
    <w:p w:rsidR="00F25FDF" w:rsidRPr="00F25FDF" w:rsidRDefault="005841B7" w:rsidP="005841B7">
      <w:pPr>
        <w:pStyle w:val="Header-3gppTdoc"/>
      </w:pPr>
      <w:r>
        <w:t xml:space="preserve">Title:                     </w:t>
      </w:r>
      <w:r w:rsidR="00F504DE">
        <w:t xml:space="preserve">SDR </w:t>
      </w:r>
      <w:r w:rsidR="00716299">
        <w:t>Requirements with 1024QAM</w:t>
      </w:r>
    </w:p>
    <w:p w:rsidR="00F25FDF" w:rsidRPr="00F25FDF" w:rsidRDefault="00F25FDF" w:rsidP="005841B7">
      <w:pPr>
        <w:pStyle w:val="Header-3gppTdoc"/>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F25FDF" w:rsidP="005841B7">
      <w:r>
        <w:t>In RAN4#88bis</w:t>
      </w:r>
      <w:r w:rsidR="005841B7">
        <w:t xml:space="preserve"> the SDR requirements for 1024QAM were discussed and way forward was agreed. The agreements related to SDR tests are summarized below:</w:t>
      </w:r>
    </w:p>
    <w:tbl>
      <w:tblPr>
        <w:tblStyle w:val="TableGrid"/>
        <w:tblW w:w="0" w:type="auto"/>
        <w:tblLook w:val="04A0" w:firstRow="1" w:lastRow="0" w:firstColumn="1" w:lastColumn="0" w:noHBand="0" w:noVBand="1"/>
      </w:tblPr>
      <w:tblGrid>
        <w:gridCol w:w="9350"/>
      </w:tblGrid>
      <w:tr w:rsidR="005841B7" w:rsidTr="005841B7">
        <w:tc>
          <w:tcPr>
            <w:tcW w:w="9350" w:type="dxa"/>
          </w:tcPr>
          <w:p w:rsidR="00A6589B" w:rsidRPr="005841B7" w:rsidRDefault="009538EF" w:rsidP="005841B7">
            <w:pPr>
              <w:rPr>
                <w:i/>
              </w:rPr>
            </w:pPr>
            <w:r w:rsidRPr="005841B7">
              <w:rPr>
                <w:i/>
              </w:rPr>
              <w:t>Not define 8-layer + 1024QAM SDR test in Rel-15</w:t>
            </w:r>
          </w:p>
          <w:p w:rsidR="00A6589B" w:rsidRPr="005841B7" w:rsidRDefault="009538EF" w:rsidP="005841B7">
            <w:pPr>
              <w:rPr>
                <w:i/>
              </w:rPr>
            </w:pPr>
            <w:r w:rsidRPr="005841B7">
              <w:rPr>
                <w:i/>
              </w:rPr>
              <w:t>SDR test applicability</w:t>
            </w:r>
          </w:p>
          <w:p w:rsidR="00A6589B" w:rsidRPr="005841B7" w:rsidRDefault="009538EF" w:rsidP="005841B7">
            <w:pPr>
              <w:numPr>
                <w:ilvl w:val="0"/>
                <w:numId w:val="24"/>
              </w:numPr>
              <w:rPr>
                <w:i/>
              </w:rPr>
            </w:pPr>
            <w:r w:rsidRPr="005841B7">
              <w:rPr>
                <w:i/>
              </w:rPr>
              <w:t>Option 1: Do not consider mixed modulation order, only test on those band or band combinations that support 1024QAM, follow 4Rx SDR structure</w:t>
            </w:r>
          </w:p>
          <w:p w:rsidR="005841B7" w:rsidRDefault="009538EF" w:rsidP="005841B7">
            <w:pPr>
              <w:numPr>
                <w:ilvl w:val="0"/>
                <w:numId w:val="24"/>
              </w:numPr>
            </w:pPr>
            <w:r w:rsidRPr="005841B7">
              <w:rPr>
                <w:i/>
              </w:rPr>
              <w:t xml:space="preserve"> Option 2: Consider mixed modulation order, the possible combinations: [64QAM, 1024QAM], [256QAM,1024QAM],[1024QAM]</w:t>
            </w:r>
            <w:r w:rsidRPr="005841B7">
              <w:t xml:space="preserve"> </w:t>
            </w:r>
          </w:p>
        </w:tc>
      </w:tr>
    </w:tbl>
    <w:p w:rsidR="005841B7" w:rsidRPr="005841B7" w:rsidRDefault="005841B7" w:rsidP="005841B7"/>
    <w:p w:rsidR="00F25FDF" w:rsidRDefault="005841B7" w:rsidP="005841B7">
      <w:r>
        <w:t>In this contribution we present our views on SDR test methodology.</w:t>
      </w:r>
    </w:p>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5841B7" w:rsidRDefault="005841B7" w:rsidP="005841B7">
      <w:pPr>
        <w:rPr>
          <w:lang w:eastAsia="en-GB"/>
        </w:rPr>
      </w:pPr>
      <w:r>
        <w:rPr>
          <w:lang w:eastAsia="en-GB"/>
        </w:rPr>
        <w:t>The SDR requirements are derived for single carrier and multiple CCs. For SDR requirements with 64QAM and 256QAM are defined based on UE aggregated bandwidth that depends on the MIMO layers supported and bandwidth of the CC. From TS 36.101, section 8.7.9:</w:t>
      </w:r>
    </w:p>
    <w:tbl>
      <w:tblPr>
        <w:tblStyle w:val="TableGrid"/>
        <w:tblW w:w="0" w:type="auto"/>
        <w:tblLook w:val="04A0" w:firstRow="1" w:lastRow="0" w:firstColumn="1" w:lastColumn="0" w:noHBand="0" w:noVBand="1"/>
      </w:tblPr>
      <w:tblGrid>
        <w:gridCol w:w="9350"/>
      </w:tblGrid>
      <w:tr w:rsidR="005841B7" w:rsidTr="00682AB7">
        <w:tc>
          <w:tcPr>
            <w:tcW w:w="9350" w:type="dxa"/>
          </w:tcPr>
          <w:p w:rsidR="005841B7" w:rsidRPr="00E8548F" w:rsidRDefault="005841B7" w:rsidP="00682AB7">
            <w:r w:rsidRPr="00E8548F">
              <w:t>CA configuration, bandwidth combination and MIMO layer on each CC is determined by following procedure.</w:t>
            </w:r>
          </w:p>
          <w:p w:rsidR="005841B7" w:rsidRPr="00E8548F" w:rsidRDefault="005841B7" w:rsidP="00682AB7">
            <w:pPr>
              <w:pStyle w:val="B1"/>
            </w:pPr>
            <w:r w:rsidRPr="00E8548F">
              <w:t>-</w:t>
            </w:r>
            <w:r w:rsidRPr="00E8548F">
              <w:tab/>
              <w:t>Select one CA bandwidth combination among all supported CA configurations with bandwidth combination and MIMO layer on each CC that leads to largest equivalent aggregated bandwidth among all CA bandwidth combinations supported by UE. Equivalent aggregated bandwidth is defined as</w:t>
            </w:r>
          </w:p>
          <w:p w:rsidR="005841B7" w:rsidRPr="00E8548F" w:rsidRDefault="005841B7" w:rsidP="00682AB7">
            <w:pPr>
              <w:pStyle w:val="EQ"/>
            </w:pPr>
            <w:r w:rsidRPr="00E8548F">
              <w:tab/>
            </w:r>
            <w:r w:rsidRPr="00E8548F">
              <w:rPr>
                <w:position w:val="-28"/>
              </w:rPr>
              <w:object w:dxaOrig="14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65pt" o:ole="">
                  <v:imagedata r:id="rId5" o:title=""/>
                </v:shape>
                <o:OLEObject Type="Embed" ProgID="Equation.3" ShapeID="_x0000_i1025" DrawAspect="Content" ObjectID="_1602655161" r:id="rId6"/>
              </w:object>
            </w:r>
          </w:p>
          <w:p w:rsidR="005841B7" w:rsidRPr="00E8548F" w:rsidRDefault="005841B7" w:rsidP="00682AB7">
            <w:pPr>
              <w:pStyle w:val="B2"/>
            </w:pPr>
            <w:proofErr w:type="gramStart"/>
            <w:r w:rsidRPr="00E8548F">
              <w:t>where</w:t>
            </w:r>
            <w:proofErr w:type="gramEnd"/>
            <w:r w:rsidRPr="00E8548F">
              <w:t xml:space="preserve"> </w:t>
            </w:r>
            <w:r w:rsidRPr="00E8548F">
              <w:rPr>
                <w:position w:val="-6"/>
              </w:rPr>
              <w:object w:dxaOrig="279" w:dyaOrig="279">
                <v:shape id="_x0000_i1026" type="#_x0000_t75" style="width:13.1pt;height:13.1pt" o:ole="">
                  <v:imagedata r:id="rId7" o:title=""/>
                </v:shape>
                <o:OLEObject Type="Embed" ProgID="Equation.3" ShapeID="_x0000_i1026" DrawAspect="Content" ObjectID="_1602655162" r:id="rId8"/>
              </w:object>
            </w:r>
            <w:r w:rsidRPr="00E8548F">
              <w:t xml:space="preserve"> is number of CCs, </w:t>
            </w:r>
            <w:r w:rsidRPr="00E8548F">
              <w:rPr>
                <w:position w:val="-12"/>
              </w:rPr>
              <w:object w:dxaOrig="999" w:dyaOrig="360">
                <v:shape id="_x0000_i1027" type="#_x0000_t75" style="width:49.55pt;height:17.75pt" o:ole="">
                  <v:imagedata r:id="rId9" o:title=""/>
                </v:shape>
                <o:OLEObject Type="Embed" ProgID="Equation.3" ShapeID="_x0000_i1027" DrawAspect="Content" ObjectID="_1602655163" r:id="rId10"/>
              </w:object>
            </w:r>
            <w:r w:rsidRPr="00E8548F">
              <w:t xml:space="preserve"> and </w:t>
            </w:r>
            <w:r w:rsidRPr="00E8548F">
              <w:rPr>
                <w:position w:val="-12"/>
              </w:rPr>
              <w:object w:dxaOrig="1660" w:dyaOrig="360">
                <v:shape id="_x0000_i1028" type="#_x0000_t75" style="width:83.7pt;height:17.75pt" o:ole="">
                  <v:imagedata r:id="rId11" o:title=""/>
                </v:shape>
                <o:OLEObject Type="Embed" ProgID="Equation.3" ShapeID="_x0000_i1028" DrawAspect="Content" ObjectID="_1602655164" r:id="rId12"/>
              </w:object>
            </w:r>
            <w:r w:rsidRPr="00E8548F">
              <w:t xml:space="preserve">is MIMO layer  and bandwidth of CC </w:t>
            </w:r>
            <w:r w:rsidRPr="00E8548F">
              <w:rPr>
                <w:position w:val="-6"/>
              </w:rPr>
              <w:object w:dxaOrig="139" w:dyaOrig="260">
                <v:shape id="_x0000_i1029" type="#_x0000_t75" style="width:7.5pt;height:13.1pt" o:ole="">
                  <v:imagedata r:id="rId13" o:title=""/>
                </v:shape>
                <o:OLEObject Type="Embed" ProgID="Equation.3" ShapeID="_x0000_i1029" DrawAspect="Content" ObjectID="_1602655165" r:id="rId14"/>
              </w:object>
            </w:r>
            <w:r w:rsidRPr="00E8548F">
              <w:t>.</w:t>
            </w:r>
          </w:p>
          <w:p w:rsidR="005841B7" w:rsidRDefault="005841B7" w:rsidP="00682AB7">
            <w:pPr>
              <w:pStyle w:val="B1"/>
            </w:pPr>
            <w:r w:rsidRPr="00E8548F">
              <w:t>-</w:t>
            </w:r>
            <w:r w:rsidRPr="00E8548F">
              <w:tab/>
              <w:t xml:space="preserve">When there are multiple sets of {CA configuration, bandwidth combination, MIMO layer} with same largest aggregated bandwidth, select one among sets with largest number of 4 layer CCs. </w:t>
            </w:r>
          </w:p>
        </w:tc>
      </w:tr>
    </w:tbl>
    <w:p w:rsidR="005841B7" w:rsidRDefault="005841B7" w:rsidP="005841B7">
      <w:pPr>
        <w:rPr>
          <w:lang w:eastAsia="en-GB"/>
        </w:rPr>
      </w:pPr>
    </w:p>
    <w:p w:rsidR="005841B7" w:rsidRDefault="005841B7" w:rsidP="005841B7">
      <w:pPr>
        <w:rPr>
          <w:color w:val="000000"/>
        </w:rPr>
      </w:pPr>
      <w:r>
        <w:rPr>
          <w:lang w:eastAsia="en-GB"/>
        </w:rPr>
        <w:t xml:space="preserve">The </w:t>
      </w:r>
      <w:r>
        <w:rPr>
          <w:color w:val="000000"/>
        </w:rPr>
        <w:t xml:space="preserve">UE capability for support of 1024QAM is reported per band/band combination. For the band combinations supported by the UE, some bands might not be 1024QAM capable and the UE would need to use 256QAM with maximum supported MIMO layers in order to obtain the aggregated bandwidth. </w:t>
      </w:r>
    </w:p>
    <w:p w:rsidR="005841B7" w:rsidRDefault="009538EF" w:rsidP="005841B7">
      <w:pPr>
        <w:rPr>
          <w:lang w:eastAsia="en-GB"/>
        </w:rPr>
      </w:pPr>
      <w:r>
        <w:rPr>
          <w:lang w:eastAsia="en-GB"/>
        </w:rPr>
        <w:lastRenderedPageBreak/>
        <w:t>In RAN4#88bis 2 options were proposed for 1024QAM SDR methodology:</w:t>
      </w:r>
    </w:p>
    <w:p w:rsidR="009538EF" w:rsidRPr="009538EF" w:rsidRDefault="009538EF" w:rsidP="009538EF">
      <w:pPr>
        <w:numPr>
          <w:ilvl w:val="0"/>
          <w:numId w:val="25"/>
        </w:numPr>
        <w:rPr>
          <w:lang w:eastAsia="en-GB"/>
        </w:rPr>
      </w:pPr>
      <w:r w:rsidRPr="009538EF">
        <w:rPr>
          <w:lang w:eastAsia="en-GB"/>
        </w:rPr>
        <w:t>Option 1: Do not consider mixed modulation order, only test on those band or band combinations that support 1024QAM, follow 4Rx SDR structure</w:t>
      </w:r>
    </w:p>
    <w:p w:rsidR="009538EF" w:rsidRPr="009538EF" w:rsidRDefault="009538EF" w:rsidP="009538EF">
      <w:pPr>
        <w:pStyle w:val="ListParagraph"/>
        <w:numPr>
          <w:ilvl w:val="0"/>
          <w:numId w:val="25"/>
        </w:numPr>
        <w:rPr>
          <w:lang w:eastAsia="en-GB"/>
        </w:rPr>
      </w:pPr>
      <w:r w:rsidRPr="009538EF">
        <w:rPr>
          <w:lang w:eastAsia="en-GB"/>
        </w:rPr>
        <w:t>Option 2: Consider mixed modulation order, the possible combinations: [64QAM, 1024QAM], [256QAM,1024QAM],[1024QAM]</w:t>
      </w:r>
    </w:p>
    <w:p w:rsidR="009538EF" w:rsidRDefault="009538EF" w:rsidP="005841B7">
      <w:pPr>
        <w:rPr>
          <w:lang w:eastAsia="en-GB"/>
        </w:rPr>
      </w:pPr>
      <w:r>
        <w:rPr>
          <w:lang w:eastAsia="en-GB"/>
        </w:rPr>
        <w:t xml:space="preserve">In order to simplify the SDR methodology for 1024QAM, we propose option #1 to test bands or band </w:t>
      </w:r>
      <w:r w:rsidR="000E495B">
        <w:rPr>
          <w:lang w:eastAsia="en-GB"/>
        </w:rPr>
        <w:t>combinations</w:t>
      </w:r>
      <w:r>
        <w:rPr>
          <w:lang w:eastAsia="en-GB"/>
        </w:rPr>
        <w:t xml:space="preserve"> that support 1024QAM and follow 4Rx SDR methodology.</w:t>
      </w:r>
    </w:p>
    <w:p w:rsidR="009538EF" w:rsidRPr="009538EF" w:rsidRDefault="009538EF" w:rsidP="005841B7">
      <w:pPr>
        <w:rPr>
          <w:i/>
          <w:lang w:eastAsia="en-GB"/>
        </w:rPr>
      </w:pPr>
      <w:r w:rsidRPr="009538EF">
        <w:rPr>
          <w:b/>
          <w:i/>
          <w:lang w:eastAsia="en-GB"/>
        </w:rPr>
        <w:t>Proposal #1:</w:t>
      </w:r>
      <w:r w:rsidRPr="009538EF">
        <w:rPr>
          <w:i/>
          <w:lang w:eastAsia="en-GB"/>
        </w:rPr>
        <w:t xml:space="preserve"> 1024QAM SDR tests are defined for bands or band combinations that support 1024QAM</w:t>
      </w:r>
    </w:p>
    <w:p w:rsidR="009538EF" w:rsidRPr="009538EF" w:rsidRDefault="009538EF" w:rsidP="005841B7">
      <w:pPr>
        <w:rPr>
          <w:i/>
          <w:lang w:eastAsia="en-GB"/>
        </w:rPr>
      </w:pPr>
      <w:r w:rsidRPr="009538EF">
        <w:rPr>
          <w:b/>
          <w:i/>
          <w:lang w:eastAsia="en-GB"/>
        </w:rPr>
        <w:t>Proposal #2:</w:t>
      </w:r>
      <w:r w:rsidRPr="009538EF">
        <w:rPr>
          <w:i/>
          <w:lang w:eastAsia="en-GB"/>
        </w:rPr>
        <w:t xml:space="preserve"> Follow 4Rx SDR methodology for 1024QAM</w:t>
      </w:r>
    </w:p>
    <w:p w:rsidR="00F25FDF"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5841B7">
      <w:pPr>
        <w:rPr>
          <w:lang w:eastAsia="en-GB"/>
        </w:rPr>
      </w:pPr>
      <w:r>
        <w:rPr>
          <w:lang w:eastAsia="en-GB"/>
        </w:rPr>
        <w:t>In this paper</w:t>
      </w:r>
      <w:r w:rsidR="009538EF">
        <w:rPr>
          <w:lang w:eastAsia="en-GB"/>
        </w:rPr>
        <w:t xml:space="preserve"> we present our views on SDR test methodology for 1024QAM and have the following proposals:</w:t>
      </w:r>
    </w:p>
    <w:p w:rsidR="009538EF" w:rsidRPr="009538EF" w:rsidRDefault="009538EF" w:rsidP="009538EF">
      <w:pPr>
        <w:rPr>
          <w:i/>
          <w:lang w:eastAsia="en-GB"/>
        </w:rPr>
      </w:pPr>
      <w:r w:rsidRPr="009538EF">
        <w:rPr>
          <w:b/>
          <w:i/>
          <w:lang w:eastAsia="en-GB"/>
        </w:rPr>
        <w:t>Proposal #1:</w:t>
      </w:r>
      <w:r w:rsidRPr="009538EF">
        <w:rPr>
          <w:i/>
          <w:lang w:eastAsia="en-GB"/>
        </w:rPr>
        <w:t xml:space="preserve"> 1024QAM SDR tests are defined for bands or band combinations that support 1024QAM</w:t>
      </w:r>
    </w:p>
    <w:p w:rsidR="009538EF" w:rsidRPr="009538EF" w:rsidRDefault="009538EF" w:rsidP="009538EF">
      <w:pPr>
        <w:rPr>
          <w:i/>
          <w:lang w:eastAsia="en-GB"/>
        </w:rPr>
      </w:pPr>
      <w:r w:rsidRPr="009538EF">
        <w:rPr>
          <w:b/>
          <w:i/>
          <w:lang w:eastAsia="en-GB"/>
        </w:rPr>
        <w:t>Proposal #2:</w:t>
      </w:r>
      <w:r w:rsidRPr="009538EF">
        <w:rPr>
          <w:i/>
          <w:lang w:eastAsia="en-GB"/>
        </w:rPr>
        <w:t xml:space="preserve"> Follow 4Rx SDR methodology for 1024QAM</w:t>
      </w:r>
    </w:p>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9538EF" w:rsidRDefault="009538EF" w:rsidP="009538EF">
      <w:pPr>
        <w:pStyle w:val="ListParagraph"/>
        <w:numPr>
          <w:ilvl w:val="0"/>
          <w:numId w:val="23"/>
        </w:numPr>
      </w:pPr>
      <w:r w:rsidRPr="00A34935">
        <w:t>R4-1814231, “Way forward on demodulation and CSI requirements for high cap</w:t>
      </w:r>
      <w:r>
        <w:t>acity stationary wireless link a</w:t>
      </w:r>
      <w:r w:rsidRPr="00A34935">
        <w:t xml:space="preserve">nd 1024QAM”, Huawei, </w:t>
      </w:r>
      <w:proofErr w:type="spellStart"/>
      <w:r w:rsidRPr="00A34935">
        <w:t>HiSilicon</w:t>
      </w:r>
      <w:proofErr w:type="spellEnd"/>
    </w:p>
    <w:p w:rsidR="00F25FDF" w:rsidRDefault="00F25FDF" w:rsidP="009538EF">
      <w:pPr>
        <w:pStyle w:val="ListParagraph"/>
        <w:ind w:left="432"/>
      </w:pPr>
    </w:p>
    <w:p w:rsidR="00F25FDF" w:rsidRPr="00F25FDF" w:rsidRDefault="00F25FDF" w:rsidP="005841B7">
      <w:pPr>
        <w:rPr>
          <w:lang w:eastAsia="en-GB"/>
        </w:rPr>
      </w:pPr>
    </w:p>
    <w:p w:rsidR="00F25FDF" w:rsidRPr="00F25FDF" w:rsidRDefault="00F25FDF" w:rsidP="005841B7"/>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5DB4C63"/>
    <w:multiLevelType w:val="hybridMultilevel"/>
    <w:tmpl w:val="7ED8A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73215B9"/>
    <w:multiLevelType w:val="hybridMultilevel"/>
    <w:tmpl w:val="38F22ACC"/>
    <w:lvl w:ilvl="0" w:tplc="5E7E8178">
      <w:start w:val="1"/>
      <w:numFmt w:val="bullet"/>
      <w:lvlText w:val="•"/>
      <w:lvlJc w:val="left"/>
      <w:pPr>
        <w:tabs>
          <w:tab w:val="num" w:pos="360"/>
        </w:tabs>
        <w:ind w:left="360" w:hanging="360"/>
      </w:pPr>
      <w:rPr>
        <w:rFonts w:ascii="Arial" w:hAnsi="Arial" w:hint="default"/>
      </w:rPr>
    </w:lvl>
    <w:lvl w:ilvl="1" w:tplc="3942F30A">
      <w:start w:val="302"/>
      <w:numFmt w:val="bullet"/>
      <w:lvlText w:val="–"/>
      <w:lvlJc w:val="left"/>
      <w:pPr>
        <w:tabs>
          <w:tab w:val="num" w:pos="1080"/>
        </w:tabs>
        <w:ind w:left="1080" w:hanging="360"/>
      </w:pPr>
      <w:rPr>
        <w:rFonts w:ascii="Arial" w:hAnsi="Arial" w:hint="default"/>
      </w:rPr>
    </w:lvl>
    <w:lvl w:ilvl="2" w:tplc="893AD7F8" w:tentative="1">
      <w:start w:val="1"/>
      <w:numFmt w:val="bullet"/>
      <w:lvlText w:val="•"/>
      <w:lvlJc w:val="left"/>
      <w:pPr>
        <w:tabs>
          <w:tab w:val="num" w:pos="1800"/>
        </w:tabs>
        <w:ind w:left="1800" w:hanging="360"/>
      </w:pPr>
      <w:rPr>
        <w:rFonts w:ascii="Arial" w:hAnsi="Arial" w:hint="default"/>
      </w:rPr>
    </w:lvl>
    <w:lvl w:ilvl="3" w:tplc="CC0ED3D4" w:tentative="1">
      <w:start w:val="1"/>
      <w:numFmt w:val="bullet"/>
      <w:lvlText w:val="•"/>
      <w:lvlJc w:val="left"/>
      <w:pPr>
        <w:tabs>
          <w:tab w:val="num" w:pos="2520"/>
        </w:tabs>
        <w:ind w:left="2520" w:hanging="360"/>
      </w:pPr>
      <w:rPr>
        <w:rFonts w:ascii="Arial" w:hAnsi="Arial" w:hint="default"/>
      </w:rPr>
    </w:lvl>
    <w:lvl w:ilvl="4" w:tplc="08609A62" w:tentative="1">
      <w:start w:val="1"/>
      <w:numFmt w:val="bullet"/>
      <w:lvlText w:val="•"/>
      <w:lvlJc w:val="left"/>
      <w:pPr>
        <w:tabs>
          <w:tab w:val="num" w:pos="3240"/>
        </w:tabs>
        <w:ind w:left="3240" w:hanging="360"/>
      </w:pPr>
      <w:rPr>
        <w:rFonts w:ascii="Arial" w:hAnsi="Arial" w:hint="default"/>
      </w:rPr>
    </w:lvl>
    <w:lvl w:ilvl="5" w:tplc="2D22CE22" w:tentative="1">
      <w:start w:val="1"/>
      <w:numFmt w:val="bullet"/>
      <w:lvlText w:val="•"/>
      <w:lvlJc w:val="left"/>
      <w:pPr>
        <w:tabs>
          <w:tab w:val="num" w:pos="3960"/>
        </w:tabs>
        <w:ind w:left="3960" w:hanging="360"/>
      </w:pPr>
      <w:rPr>
        <w:rFonts w:ascii="Arial" w:hAnsi="Arial" w:hint="default"/>
      </w:rPr>
    </w:lvl>
    <w:lvl w:ilvl="6" w:tplc="8CB2277C" w:tentative="1">
      <w:start w:val="1"/>
      <w:numFmt w:val="bullet"/>
      <w:lvlText w:val="•"/>
      <w:lvlJc w:val="left"/>
      <w:pPr>
        <w:tabs>
          <w:tab w:val="num" w:pos="4680"/>
        </w:tabs>
        <w:ind w:left="4680" w:hanging="360"/>
      </w:pPr>
      <w:rPr>
        <w:rFonts w:ascii="Arial" w:hAnsi="Arial" w:hint="default"/>
      </w:rPr>
    </w:lvl>
    <w:lvl w:ilvl="7" w:tplc="16E00966" w:tentative="1">
      <w:start w:val="1"/>
      <w:numFmt w:val="bullet"/>
      <w:lvlText w:val="•"/>
      <w:lvlJc w:val="left"/>
      <w:pPr>
        <w:tabs>
          <w:tab w:val="num" w:pos="5400"/>
        </w:tabs>
        <w:ind w:left="5400" w:hanging="360"/>
      </w:pPr>
      <w:rPr>
        <w:rFonts w:ascii="Arial" w:hAnsi="Arial" w:hint="default"/>
      </w:rPr>
    </w:lvl>
    <w:lvl w:ilvl="8" w:tplc="FEE07FAC" w:tentative="1">
      <w:start w:val="1"/>
      <w:numFmt w:val="bullet"/>
      <w:lvlText w:val="•"/>
      <w:lvlJc w:val="left"/>
      <w:pPr>
        <w:tabs>
          <w:tab w:val="num" w:pos="6120"/>
        </w:tabs>
        <w:ind w:left="6120" w:hanging="360"/>
      </w:pPr>
      <w:rPr>
        <w:rFonts w:ascii="Arial" w:hAnsi="Aria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5"/>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A5AEE"/>
    <w:rsid w:val="000D6425"/>
    <w:rsid w:val="000E495B"/>
    <w:rsid w:val="00265ECE"/>
    <w:rsid w:val="00314BC5"/>
    <w:rsid w:val="00390B7D"/>
    <w:rsid w:val="003A4A46"/>
    <w:rsid w:val="004B26D4"/>
    <w:rsid w:val="005841B7"/>
    <w:rsid w:val="005C774C"/>
    <w:rsid w:val="006534F9"/>
    <w:rsid w:val="006B319F"/>
    <w:rsid w:val="006F55C0"/>
    <w:rsid w:val="00716299"/>
    <w:rsid w:val="007267F1"/>
    <w:rsid w:val="008816F3"/>
    <w:rsid w:val="009538EF"/>
    <w:rsid w:val="00A6589B"/>
    <w:rsid w:val="00A81355"/>
    <w:rsid w:val="00B13CAE"/>
    <w:rsid w:val="00B66F15"/>
    <w:rsid w:val="00C51C71"/>
    <w:rsid w:val="00C546F9"/>
    <w:rsid w:val="00C5515C"/>
    <w:rsid w:val="00C629E4"/>
    <w:rsid w:val="00CA62D1"/>
    <w:rsid w:val="00CA7E13"/>
    <w:rsid w:val="00DB24FD"/>
    <w:rsid w:val="00DC0E02"/>
    <w:rsid w:val="00F25FDF"/>
    <w:rsid w:val="00F50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1B7"/>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584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rsid w:val="005841B7"/>
    <w:pPr>
      <w:keepLines/>
      <w:tabs>
        <w:tab w:val="center" w:pos="4536"/>
        <w:tab w:val="right" w:pos="9072"/>
      </w:tabs>
      <w:overflowPunct w:val="0"/>
      <w:autoSpaceDE w:val="0"/>
      <w:autoSpaceDN w:val="0"/>
      <w:adjustRightInd w:val="0"/>
      <w:spacing w:after="180"/>
      <w:jc w:val="left"/>
      <w:textAlignment w:val="baseline"/>
    </w:pPr>
    <w:rPr>
      <w:rFonts w:eastAsia="Times New Roman"/>
      <w:noProof/>
      <w:lang w:val="en-GB" w:eastAsia="x-none"/>
    </w:rPr>
  </w:style>
  <w:style w:type="paragraph" w:customStyle="1" w:styleId="B2">
    <w:name w:val="B2"/>
    <w:basedOn w:val="List2"/>
    <w:link w:val="B2Char"/>
    <w:rsid w:val="005841B7"/>
    <w:pPr>
      <w:overflowPunct w:val="0"/>
      <w:autoSpaceDE w:val="0"/>
      <w:autoSpaceDN w:val="0"/>
      <w:adjustRightInd w:val="0"/>
      <w:spacing w:after="180"/>
      <w:ind w:left="851" w:hanging="284"/>
      <w:contextualSpacing w:val="0"/>
      <w:jc w:val="left"/>
      <w:textAlignment w:val="baseline"/>
    </w:pPr>
    <w:rPr>
      <w:rFonts w:eastAsia="Times New Roman"/>
      <w:lang w:val="en-GB" w:eastAsia="x-none"/>
    </w:rPr>
  </w:style>
  <w:style w:type="paragraph" w:customStyle="1" w:styleId="B1">
    <w:name w:val="B1"/>
    <w:basedOn w:val="List"/>
    <w:link w:val="B1Char"/>
    <w:rsid w:val="005841B7"/>
    <w:pPr>
      <w:overflowPunct w:val="0"/>
      <w:autoSpaceDE w:val="0"/>
      <w:autoSpaceDN w:val="0"/>
      <w:adjustRightInd w:val="0"/>
      <w:spacing w:after="180"/>
      <w:ind w:left="568" w:hanging="284"/>
      <w:contextualSpacing w:val="0"/>
      <w:jc w:val="left"/>
      <w:textAlignment w:val="baseline"/>
    </w:pPr>
    <w:rPr>
      <w:rFonts w:eastAsia="Times New Roman"/>
      <w:lang w:val="en-GB" w:eastAsia="x-none"/>
    </w:rPr>
  </w:style>
  <w:style w:type="character" w:customStyle="1" w:styleId="B1Char">
    <w:name w:val="B1 Char"/>
    <w:link w:val="B1"/>
    <w:rsid w:val="005841B7"/>
    <w:rPr>
      <w:rFonts w:eastAsia="Times New Roman"/>
      <w:lang w:val="en-GB" w:eastAsia="x-none"/>
    </w:rPr>
  </w:style>
  <w:style w:type="character" w:customStyle="1" w:styleId="B2Char">
    <w:name w:val="B2 Char"/>
    <w:link w:val="B2"/>
    <w:rsid w:val="005841B7"/>
    <w:rPr>
      <w:rFonts w:eastAsia="Times New Roman"/>
      <w:lang w:val="en-GB" w:eastAsia="x-none"/>
    </w:rPr>
  </w:style>
  <w:style w:type="character" w:customStyle="1" w:styleId="EQChar">
    <w:name w:val="EQ Char"/>
    <w:link w:val="EQ"/>
    <w:rsid w:val="005841B7"/>
    <w:rPr>
      <w:rFonts w:eastAsia="Times New Roman"/>
      <w:noProof/>
      <w:lang w:val="en-GB" w:eastAsia="x-none"/>
    </w:rPr>
  </w:style>
  <w:style w:type="paragraph" w:styleId="List2">
    <w:name w:val="List 2"/>
    <w:basedOn w:val="Normal"/>
    <w:uiPriority w:val="99"/>
    <w:semiHidden/>
    <w:unhideWhenUsed/>
    <w:rsid w:val="005841B7"/>
    <w:pPr>
      <w:ind w:left="720" w:hanging="360"/>
      <w:contextualSpacing/>
    </w:pPr>
  </w:style>
  <w:style w:type="paragraph" w:styleId="List">
    <w:name w:val="List"/>
    <w:basedOn w:val="Normal"/>
    <w:uiPriority w:val="99"/>
    <w:semiHidden/>
    <w:unhideWhenUsed/>
    <w:rsid w:val="005841B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254362">
      <w:bodyDiv w:val="1"/>
      <w:marLeft w:val="0"/>
      <w:marRight w:val="0"/>
      <w:marTop w:val="0"/>
      <w:marBottom w:val="0"/>
      <w:divBdr>
        <w:top w:val="none" w:sz="0" w:space="0" w:color="auto"/>
        <w:left w:val="none" w:sz="0" w:space="0" w:color="auto"/>
        <w:bottom w:val="none" w:sz="0" w:space="0" w:color="auto"/>
        <w:right w:val="none" w:sz="0" w:space="0" w:color="auto"/>
      </w:divBdr>
      <w:divsChild>
        <w:div w:id="449014799">
          <w:marLeft w:val="547"/>
          <w:marRight w:val="0"/>
          <w:marTop w:val="154"/>
          <w:marBottom w:val="0"/>
          <w:divBdr>
            <w:top w:val="none" w:sz="0" w:space="0" w:color="auto"/>
            <w:left w:val="none" w:sz="0" w:space="0" w:color="auto"/>
            <w:bottom w:val="none" w:sz="0" w:space="0" w:color="auto"/>
            <w:right w:val="none" w:sz="0" w:space="0" w:color="auto"/>
          </w:divBdr>
        </w:div>
        <w:div w:id="1175998487">
          <w:marLeft w:val="547"/>
          <w:marRight w:val="0"/>
          <w:marTop w:val="154"/>
          <w:marBottom w:val="0"/>
          <w:divBdr>
            <w:top w:val="none" w:sz="0" w:space="0" w:color="auto"/>
            <w:left w:val="none" w:sz="0" w:space="0" w:color="auto"/>
            <w:bottom w:val="none" w:sz="0" w:space="0" w:color="auto"/>
            <w:right w:val="none" w:sz="0" w:space="0" w:color="auto"/>
          </w:divBdr>
        </w:div>
        <w:div w:id="1962225677">
          <w:marLeft w:val="1166"/>
          <w:marRight w:val="0"/>
          <w:marTop w:val="134"/>
          <w:marBottom w:val="0"/>
          <w:divBdr>
            <w:top w:val="none" w:sz="0" w:space="0" w:color="auto"/>
            <w:left w:val="none" w:sz="0" w:space="0" w:color="auto"/>
            <w:bottom w:val="none" w:sz="0" w:space="0" w:color="auto"/>
            <w:right w:val="none" w:sz="0" w:space="0" w:color="auto"/>
          </w:divBdr>
        </w:div>
        <w:div w:id="208734066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458</Words>
  <Characters>2532</Characters>
  <Application>Microsoft Office Word</Application>
  <DocSecurity>0</DocSecurity>
  <Lines>53</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7</cp:revision>
  <dcterms:created xsi:type="dcterms:W3CDTF">2018-10-29T19:16:00Z</dcterms:created>
  <dcterms:modified xsi:type="dcterms:W3CDTF">2018-11-02T16:13:00Z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5a9aedbf-e281-4c77-b363-825202ef0168</vt:lpwstr>
  </property>
  <property fmtid="{D5CDD505-2E9C-101B-9397-08002B2CF9AE}" pid="3" name="CTP_TimeStamp">
    <vt:lpwstr>2018-11-02 16:13:14Z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