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2E0" w:rsidRPr="009F09AF" w:rsidRDefault="007E22E0" w:rsidP="007E22E0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#8</w:t>
      </w:r>
      <w:r>
        <w:rPr>
          <w:rFonts w:ascii="Times New Roman" w:hAnsi="Times New Roman"/>
          <w:b/>
          <w:bCs/>
          <w:sz w:val="24"/>
        </w:rPr>
        <w:t>9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      </w:t>
      </w:r>
      <w:r w:rsidR="00750E67">
        <w:rPr>
          <w:rFonts w:ascii="Times New Roman" w:hAnsi="Times New Roman"/>
          <w:b/>
          <w:bCs/>
          <w:sz w:val="24"/>
        </w:rPr>
        <w:t xml:space="preserve">    </w:t>
      </w:r>
      <w:r w:rsidR="001B79C1" w:rsidRPr="001B79C1">
        <w:rPr>
          <w:rFonts w:ascii="Times New Roman" w:hAnsi="Times New Roman"/>
          <w:b/>
          <w:bCs/>
          <w:sz w:val="24"/>
        </w:rPr>
        <w:t>R4-1814527</w:t>
      </w:r>
    </w:p>
    <w:p w:rsidR="007E22E0" w:rsidRPr="009F09AF" w:rsidRDefault="007E22E0" w:rsidP="007E22E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noProof/>
          <w:sz w:val="24"/>
          <w:lang w:val="en-GB"/>
        </w:rPr>
        <w:t>Spokane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US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12</w:t>
      </w:r>
      <w:r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6</w:t>
      </w:r>
      <w:r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November</w:t>
      </w:r>
      <w:r w:rsidRPr="009F09AF">
        <w:rPr>
          <w:b/>
          <w:noProof/>
          <w:sz w:val="24"/>
          <w:lang w:val="en-GB"/>
        </w:rPr>
        <w:t>, 2018</w:t>
      </w:r>
    </w:p>
    <w:p w:rsidR="00D63702" w:rsidRPr="007E22E0" w:rsidRDefault="00D63702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:rsidR="00090426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Agenda Item:</w:t>
      </w:r>
      <w:r w:rsidRPr="007156DB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1B79C1">
        <w:rPr>
          <w:rFonts w:ascii="Times New Roman" w:hAnsi="Times New Roman"/>
          <w:b/>
          <w:bCs/>
          <w:sz w:val="24"/>
        </w:rPr>
        <w:t>7.12.1</w:t>
      </w:r>
    </w:p>
    <w:p w:rsidR="00090426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Source:</w:t>
      </w:r>
      <w:r w:rsidRPr="007156DB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Title:</w:t>
      </w:r>
      <w:r w:rsidRPr="007156DB">
        <w:rPr>
          <w:rFonts w:ascii="Times New Roman" w:hAnsi="Times New Roman"/>
          <w:b/>
          <w:bCs/>
          <w:sz w:val="24"/>
        </w:rPr>
        <w:tab/>
      </w:r>
      <w:r w:rsidR="007E22E0" w:rsidRPr="007E22E0">
        <w:rPr>
          <w:rFonts w:ascii="Times New Roman" w:hAnsi="Times New Roman"/>
          <w:b/>
          <w:bCs/>
          <w:sz w:val="24"/>
        </w:rPr>
        <w:t>Discussion about inter-frequency accuracy requirement</w:t>
      </w:r>
    </w:p>
    <w:p w:rsidR="009F18E7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Document for:</w:t>
      </w:r>
      <w:r w:rsidRPr="007156DB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7156DB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156DB">
        <w:rPr>
          <w:rFonts w:ascii="Times New Roman" w:hAnsi="Times New Roman"/>
        </w:rPr>
        <w:tab/>
        <w:t>Introduction</w:t>
      </w:r>
    </w:p>
    <w:p w:rsidR="00F70AB2" w:rsidRDefault="00090426" w:rsidP="007E22E0">
      <w:pPr>
        <w:jc w:val="bo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In </w:t>
      </w:r>
      <w:r w:rsidR="00905654" w:rsidRPr="007156DB">
        <w:rPr>
          <w:rFonts w:ascii="Times New Roman" w:hAnsi="Times New Roman"/>
        </w:rPr>
        <w:t xml:space="preserve">last meeting, there is </w:t>
      </w:r>
      <w:r w:rsidR="007E22E0">
        <w:rPr>
          <w:rFonts w:ascii="Times New Roman" w:hAnsi="Times New Roman"/>
        </w:rPr>
        <w:t>a WF</w:t>
      </w:r>
      <w:r w:rsidR="00060D75">
        <w:rPr>
          <w:rFonts w:ascii="Times New Roman" w:hAnsi="Times New Roman"/>
        </w:rPr>
        <w:t>[1]</w:t>
      </w:r>
      <w:r w:rsidR="007E22E0">
        <w:rPr>
          <w:rFonts w:ascii="Times New Roman" w:hAnsi="Times New Roman"/>
        </w:rPr>
        <w:t xml:space="preserve"> about inter-frequency accuracy requirement and asked companies to provide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22E0" w:rsidTr="007E22E0">
        <w:tc>
          <w:tcPr>
            <w:tcW w:w="9350" w:type="dxa"/>
          </w:tcPr>
          <w:p w:rsidR="007E22E0" w:rsidRPr="007E22E0" w:rsidRDefault="007E22E0" w:rsidP="007E22E0">
            <w:pPr>
              <w:rPr>
                <w:rFonts w:ascii="Times New Roman" w:hAnsi="Times New Roman"/>
                <w:u w:val="single"/>
              </w:rPr>
            </w:pPr>
            <w:r w:rsidRPr="007E22E0">
              <w:rPr>
                <w:rFonts w:ascii="Times New Roman" w:hAnsi="Times New Roman"/>
                <w:u w:val="single"/>
              </w:rPr>
              <w:t>On inter-frequency measurement accuracy and side condition:</w:t>
            </w:r>
          </w:p>
          <w:p w:rsidR="007E22E0" w:rsidRPr="007E22E0" w:rsidRDefault="007E22E0" w:rsidP="007E22E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7E22E0">
              <w:rPr>
                <w:rFonts w:ascii="Times New Roman" w:hAnsi="Times New Roman"/>
              </w:rPr>
              <w:t>Option 1: If the side condition is -6dB, the LTE inter-frequency measurement accuracy is reused for NR FR1 inter-frequency measurement.</w:t>
            </w:r>
          </w:p>
          <w:p w:rsidR="007E22E0" w:rsidRPr="007E22E0" w:rsidRDefault="007E22E0" w:rsidP="007E22E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7E22E0">
              <w:rPr>
                <w:rFonts w:ascii="Times New Roman" w:hAnsi="Times New Roman"/>
              </w:rPr>
              <w:t>Option 2: If the side condition is -4dB, the NR FR1 inter-frequency measurement accuracy need to be updated according to the simulation results.</w:t>
            </w:r>
          </w:p>
          <w:p w:rsidR="007E22E0" w:rsidRPr="007E22E0" w:rsidRDefault="007E22E0" w:rsidP="007E22E0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7E22E0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e simulation assumption is R4-18</w:t>
            </w:r>
            <w:r w:rsidRPr="007E22E0">
              <w:rPr>
                <w:rFonts w:ascii="Times New Roman" w:hAnsi="Times New Roman"/>
              </w:rPr>
              <w:t>06551</w:t>
            </w:r>
          </w:p>
          <w:p w:rsidR="007E22E0" w:rsidRDefault="007E22E0" w:rsidP="007E22E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7E22E0">
              <w:rPr>
                <w:rFonts w:ascii="Times New Roman" w:hAnsi="Times New Roman"/>
              </w:rPr>
              <w:t>Other options are not precluded</w:t>
            </w:r>
          </w:p>
        </w:tc>
      </w:tr>
    </w:tbl>
    <w:p w:rsidR="007E22E0" w:rsidRPr="007156DB" w:rsidRDefault="007E22E0" w:rsidP="007E22E0">
      <w:pPr>
        <w:jc w:val="both"/>
        <w:rPr>
          <w:rFonts w:ascii="Times New Roman" w:hAnsi="Times New Roman"/>
        </w:rPr>
      </w:pPr>
    </w:p>
    <w:p w:rsidR="00090426" w:rsidRPr="007156DB" w:rsidRDefault="007D1894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SS RSRP for </w:t>
      </w:r>
      <w:r w:rsidR="00D4302B" w:rsidRPr="007156DB">
        <w:rPr>
          <w:rFonts w:ascii="Times New Roman" w:hAnsi="Times New Roman"/>
        </w:rPr>
        <w:t>inter-frequency with SNR = -4dB</w:t>
      </w:r>
      <w:r w:rsidR="00F022EC" w:rsidRPr="007156DB">
        <w:rPr>
          <w:rFonts w:ascii="Times New Roman" w:hAnsi="Times New Roman"/>
        </w:rPr>
        <w:t xml:space="preserve"> in FR1</w:t>
      </w:r>
    </w:p>
    <w:p w:rsidR="00090426" w:rsidRPr="007156DB" w:rsidRDefault="00D4302B" w:rsidP="00F70AB2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 xml:space="preserve">From our simulation, the </w:t>
      </w:r>
      <w:r w:rsidR="00C96BC6" w:rsidRPr="007156DB">
        <w:rPr>
          <w:rFonts w:ascii="Times New Roman" w:hAnsi="Times New Roman"/>
          <w:lang w:val="en-GB" w:eastAsia="en-US"/>
        </w:rPr>
        <w:t xml:space="preserve">absolute </w:t>
      </w:r>
      <w:r w:rsidR="00284D7A" w:rsidRPr="007156DB">
        <w:rPr>
          <w:rFonts w:ascii="Times New Roman" w:hAnsi="Times New Roman"/>
          <w:lang w:val="en-GB" w:eastAsia="en-US"/>
        </w:rPr>
        <w:t xml:space="preserve">and relative </w:t>
      </w:r>
      <w:r w:rsidRPr="007156DB">
        <w:rPr>
          <w:rFonts w:ascii="Times New Roman" w:hAnsi="Times New Roman"/>
          <w:lang w:val="en-GB" w:eastAsia="en-US"/>
        </w:rPr>
        <w:t xml:space="preserve">RSRP delta error </w:t>
      </w:r>
      <w:r w:rsidR="00750E67">
        <w:rPr>
          <w:rFonts w:ascii="Times New Roman" w:hAnsi="Times New Roman"/>
          <w:lang w:val="en-GB" w:eastAsia="en-US"/>
        </w:rPr>
        <w:t xml:space="preserve">is </w:t>
      </w:r>
      <w:r w:rsidRPr="007156DB">
        <w:rPr>
          <w:rFonts w:ascii="Times New Roman" w:hAnsi="Times New Roman"/>
          <w:lang w:val="en-GB" w:eastAsia="en-US"/>
        </w:rPr>
        <w:t xml:space="preserve">reduced by </w:t>
      </w:r>
      <w:r w:rsidR="00750E67">
        <w:rPr>
          <w:rFonts w:ascii="Times New Roman" w:hAnsi="Times New Roman"/>
          <w:lang w:val="en-GB" w:eastAsia="en-US"/>
        </w:rPr>
        <w:t xml:space="preserve">less than </w:t>
      </w:r>
      <w:r w:rsidR="00284D7A" w:rsidRPr="007156DB">
        <w:rPr>
          <w:rFonts w:ascii="Times New Roman" w:hAnsi="Times New Roman"/>
          <w:lang w:val="en-GB" w:eastAsia="en-US"/>
        </w:rPr>
        <w:t>0.4dB where the gain is not obvious. We suggest to keep the requirement of SNR=-4 dB as the same with that of SNR=-6dB.</w:t>
      </w:r>
    </w:p>
    <w:p w:rsidR="001A1423" w:rsidRPr="007156DB" w:rsidRDefault="001A1423" w:rsidP="00F70AB2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noProof/>
        </w:rPr>
        <w:drawing>
          <wp:inline distT="0" distB="0" distL="0" distR="0" wp14:anchorId="2C66CE95" wp14:editId="7F10041D">
            <wp:extent cx="2889738" cy="2164891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13" cy="218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6DB">
        <w:rPr>
          <w:rFonts w:ascii="Times New Roman" w:hAnsi="Times New Roman"/>
          <w:noProof/>
        </w:rPr>
        <w:drawing>
          <wp:inline distT="0" distB="0" distL="0" distR="0" wp14:anchorId="4097AFDA" wp14:editId="164202E8">
            <wp:extent cx="2919046" cy="218684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308" cy="219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2B" w:rsidRPr="007156DB" w:rsidRDefault="0048612E" w:rsidP="0048612E">
      <w:pPr>
        <w:jc w:val="center"/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lastRenderedPageBreak/>
        <w:t>Fig.1 RSRP delta CDF for SNR= -3dB/-4dB/-6dB with 5 samples</w:t>
      </w:r>
    </w:p>
    <w:p w:rsidR="00D8255C" w:rsidRDefault="00D8255C" w:rsidP="007E22E0">
      <w:pPr>
        <w:pStyle w:val="TH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1</w:t>
      </w:r>
      <w:r w:rsidR="00D4302B" w:rsidRPr="00721FC7">
        <w:rPr>
          <w:rFonts w:ascii="Times New Roman" w:hAnsi="Times New Roman"/>
          <w:sz w:val="22"/>
          <w:szCs w:val="22"/>
        </w:rPr>
        <w:t xml:space="preserve">: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721FC7">
        <w:rPr>
          <w:rFonts w:ascii="Times New Roman" w:hAnsi="Times New Roman"/>
          <w:sz w:val="22"/>
          <w:szCs w:val="22"/>
        </w:rPr>
        <w:t>SS-RSRP</w:t>
      </w:r>
      <w:r>
        <w:rPr>
          <w:rFonts w:ascii="Times New Roman" w:hAnsi="Times New Roman"/>
          <w:sz w:val="22"/>
          <w:szCs w:val="22"/>
        </w:rPr>
        <w:t xml:space="preserve"> accuracy gain</w:t>
      </w:r>
      <w:r w:rsidR="00C77780">
        <w:rPr>
          <w:rFonts w:ascii="Times New Roman" w:hAnsi="Times New Roman"/>
          <w:sz w:val="22"/>
          <w:szCs w:val="22"/>
        </w:rPr>
        <w:t xml:space="preserve"> (smaller than 0.4dB)</w:t>
      </w:r>
      <w:r>
        <w:rPr>
          <w:rFonts w:ascii="Times New Roman" w:hAnsi="Times New Roman"/>
          <w:sz w:val="22"/>
          <w:szCs w:val="22"/>
        </w:rPr>
        <w:t xml:space="preserve"> is not obvious </w:t>
      </w:r>
      <w:r w:rsidR="00C77780">
        <w:rPr>
          <w:rFonts w:ascii="Times New Roman" w:hAnsi="Times New Roman"/>
          <w:sz w:val="22"/>
          <w:szCs w:val="22"/>
        </w:rPr>
        <w:t xml:space="preserve">when </w:t>
      </w:r>
      <w:r w:rsidR="00A76F1B">
        <w:rPr>
          <w:rFonts w:ascii="Times New Roman" w:hAnsi="Times New Roman"/>
          <w:sz w:val="22"/>
          <w:szCs w:val="22"/>
        </w:rPr>
        <w:t xml:space="preserve">side condition </w:t>
      </w:r>
      <w:r w:rsidR="00C77780">
        <w:rPr>
          <w:rFonts w:ascii="Times New Roman" w:hAnsi="Times New Roman"/>
          <w:sz w:val="22"/>
          <w:szCs w:val="22"/>
        </w:rPr>
        <w:t>increases from</w:t>
      </w:r>
      <w:r>
        <w:rPr>
          <w:rFonts w:ascii="Times New Roman" w:hAnsi="Times New Roman"/>
          <w:sz w:val="22"/>
          <w:szCs w:val="22"/>
        </w:rPr>
        <w:t xml:space="preserve"> -4dB </w:t>
      </w:r>
      <w:r w:rsidR="00C77780">
        <w:rPr>
          <w:rFonts w:ascii="Times New Roman" w:hAnsi="Times New Roman"/>
          <w:sz w:val="22"/>
          <w:szCs w:val="22"/>
        </w:rPr>
        <w:t xml:space="preserve">to </w:t>
      </w:r>
      <w:r>
        <w:rPr>
          <w:rFonts w:ascii="Times New Roman" w:hAnsi="Times New Roman"/>
          <w:sz w:val="22"/>
          <w:szCs w:val="22"/>
        </w:rPr>
        <w:t>-6dB.</w:t>
      </w:r>
    </w:p>
    <w:p w:rsidR="00F022EC" w:rsidRPr="007156DB" w:rsidRDefault="00F022EC" w:rsidP="00F022E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SS RSRQ </w:t>
      </w:r>
      <w:r w:rsidR="001A0897" w:rsidRPr="007156DB">
        <w:rPr>
          <w:rFonts w:ascii="Times New Roman" w:hAnsi="Times New Roman"/>
        </w:rPr>
        <w:t xml:space="preserve">in </w:t>
      </w:r>
      <w:r w:rsidRPr="007156DB">
        <w:rPr>
          <w:rFonts w:ascii="Times New Roman" w:hAnsi="Times New Roman"/>
        </w:rPr>
        <w:t>FR1</w:t>
      </w:r>
    </w:p>
    <w:p w:rsidR="00A411E6" w:rsidRPr="00721FC7" w:rsidRDefault="00D8255C" w:rsidP="00A411E6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S</w:t>
      </w:r>
      <w:r w:rsidR="00A411E6" w:rsidRPr="00721FC7">
        <w:rPr>
          <w:rFonts w:ascii="Times New Roman" w:hAnsi="Times New Roman"/>
          <w:lang w:val="en-GB"/>
        </w:rPr>
        <w:t xml:space="preserve">ince </w:t>
      </w:r>
      <w:r w:rsidR="00A411E6" w:rsidRPr="00721FC7">
        <w:rPr>
          <w:rFonts w:ascii="Times New Roman" w:hAnsi="Times New Roman"/>
          <w:vanish/>
          <w:lang w:val="en-GB"/>
        </w:rPr>
        <w:t>e frequency relative  RQ req</w:t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  <w:vanish/>
          <w:lang w:val="en-GB"/>
        </w:rPr>
        <w:pgNum/>
      </w:r>
      <w:r w:rsidR="00A411E6" w:rsidRPr="00721FC7">
        <w:rPr>
          <w:rFonts w:ascii="Times New Roman" w:hAnsi="Times New Roman"/>
        </w:rPr>
        <w:t xml:space="preserve">RSRP </w:t>
      </w:r>
      <w:r w:rsidR="00863429" w:rsidRPr="00721FC7">
        <w:rPr>
          <w:rFonts w:ascii="Times New Roman" w:hAnsi="Times New Roman"/>
        </w:rPr>
        <w:t xml:space="preserve">and RSSI </w:t>
      </w:r>
      <w:r w:rsidR="00A411E6" w:rsidRPr="00721FC7">
        <w:rPr>
          <w:rFonts w:ascii="Times New Roman" w:hAnsi="Times New Roman"/>
        </w:rPr>
        <w:t xml:space="preserve">can be measured </w:t>
      </w:r>
      <w:r w:rsidR="00863429" w:rsidRPr="00721FC7">
        <w:rPr>
          <w:rFonts w:ascii="Times New Roman" w:hAnsi="Times New Roman"/>
        </w:rPr>
        <w:t>w</w:t>
      </w:r>
      <w:r>
        <w:rPr>
          <w:rFonts w:ascii="Times New Roman" w:hAnsi="Times New Roman"/>
        </w:rPr>
        <w:t>ith comparable accuracy as LTE, the RSRQ gain is not obvious either.</w:t>
      </w:r>
    </w:p>
    <w:p w:rsidR="00D8255C" w:rsidRDefault="00D8255C" w:rsidP="00D8255C">
      <w:pPr>
        <w:pStyle w:val="TH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2</w:t>
      </w:r>
      <w:r w:rsidRPr="00721FC7">
        <w:rPr>
          <w:rFonts w:ascii="Times New Roman" w:hAnsi="Times New Roman"/>
          <w:sz w:val="22"/>
          <w:szCs w:val="22"/>
        </w:rPr>
        <w:t xml:space="preserve">: </w:t>
      </w:r>
      <w:r>
        <w:rPr>
          <w:rFonts w:ascii="Times New Roman" w:hAnsi="Times New Roman"/>
          <w:sz w:val="22"/>
          <w:szCs w:val="22"/>
        </w:rPr>
        <w:t xml:space="preserve">the SS-RSRQ accuracy gain is not obvious </w:t>
      </w:r>
      <w:r w:rsidR="00C77780">
        <w:rPr>
          <w:rFonts w:ascii="Times New Roman" w:hAnsi="Times New Roman"/>
          <w:sz w:val="22"/>
          <w:szCs w:val="22"/>
        </w:rPr>
        <w:t xml:space="preserve">when </w:t>
      </w:r>
      <w:r w:rsidR="00A76F1B">
        <w:rPr>
          <w:rFonts w:ascii="Times New Roman" w:hAnsi="Times New Roman"/>
          <w:sz w:val="22"/>
          <w:szCs w:val="22"/>
        </w:rPr>
        <w:t>side condition</w:t>
      </w:r>
      <w:r w:rsidR="00C77780">
        <w:rPr>
          <w:rFonts w:ascii="Times New Roman" w:hAnsi="Times New Roman"/>
          <w:sz w:val="22"/>
          <w:szCs w:val="22"/>
        </w:rPr>
        <w:t xml:space="preserve"> increases from -4dB to -6dB</w:t>
      </w:r>
      <w:r>
        <w:rPr>
          <w:rFonts w:ascii="Times New Roman" w:hAnsi="Times New Roman"/>
          <w:sz w:val="22"/>
          <w:szCs w:val="22"/>
        </w:rPr>
        <w:t>.</w:t>
      </w:r>
    </w:p>
    <w:p w:rsidR="00863429" w:rsidRPr="007156DB" w:rsidRDefault="006C1C0F" w:rsidP="0086342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>SS-</w:t>
      </w:r>
      <w:r w:rsidR="00863429" w:rsidRPr="007156DB">
        <w:rPr>
          <w:rFonts w:ascii="Times New Roman" w:hAnsi="Times New Roman"/>
        </w:rPr>
        <w:t>SINR in FR1</w:t>
      </w:r>
    </w:p>
    <w:p w:rsidR="00120180" w:rsidRPr="00721FC7" w:rsidRDefault="00120180" w:rsidP="00863429">
      <w:pPr>
        <w:rPr>
          <w:rFonts w:ascii="Times New Roman" w:hAnsi="Times New Roman"/>
          <w:lang w:val="en-GB" w:eastAsia="en-US"/>
        </w:rPr>
      </w:pPr>
      <w:r w:rsidRPr="00721FC7">
        <w:rPr>
          <w:rFonts w:ascii="Times New Roman" w:hAnsi="Times New Roman"/>
          <w:lang w:val="en-GB" w:eastAsia="en-US"/>
        </w:rPr>
        <w:t>Our simulation results are as follows:</w:t>
      </w:r>
    </w:p>
    <w:p w:rsidR="00120180" w:rsidRPr="00721FC7" w:rsidRDefault="00120180" w:rsidP="00863429">
      <w:pPr>
        <w:rPr>
          <w:rFonts w:ascii="Times New Roman" w:hAnsi="Times New Roman"/>
          <w:lang w:val="en-GB" w:eastAsia="en-US"/>
        </w:rPr>
      </w:pPr>
      <w:r w:rsidRPr="00721FC7">
        <w:rPr>
          <w:rFonts w:ascii="Times New Roman" w:hAnsi="Times New Roman"/>
          <w:noProof/>
        </w:rPr>
        <w:drawing>
          <wp:inline distT="0" distB="0" distL="0" distR="0" wp14:anchorId="7F361B57" wp14:editId="59C3C480">
            <wp:extent cx="2901462" cy="21769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30" cy="219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FC7">
        <w:rPr>
          <w:rFonts w:ascii="Times New Roman" w:hAnsi="Times New Roman"/>
          <w:noProof/>
        </w:rPr>
        <w:drawing>
          <wp:inline distT="0" distB="0" distL="0" distR="0" wp14:anchorId="013648B3" wp14:editId="1A8F9BC6">
            <wp:extent cx="2895600" cy="217256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30" cy="2195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4D5" w:rsidRPr="00721FC7" w:rsidRDefault="00F444D5" w:rsidP="00863429">
      <w:pPr>
        <w:rPr>
          <w:rFonts w:ascii="Times New Roman" w:hAnsi="Times New Roman"/>
          <w:lang w:val="en-GB" w:eastAsia="en-US"/>
        </w:rPr>
      </w:pPr>
      <w:r w:rsidRPr="00721FC7">
        <w:rPr>
          <w:rFonts w:ascii="Times New Roman" w:hAnsi="Times New Roman"/>
          <w:noProof/>
        </w:rPr>
        <w:drawing>
          <wp:inline distT="0" distB="0" distL="0" distR="0" wp14:anchorId="5B988F02" wp14:editId="06B32A81">
            <wp:extent cx="2875635" cy="215758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49" cy="217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FC7">
        <w:rPr>
          <w:rFonts w:ascii="Times New Roman" w:hAnsi="Times New Roman"/>
          <w:noProof/>
        </w:rPr>
        <w:drawing>
          <wp:inline distT="0" distB="0" distL="0" distR="0" wp14:anchorId="2B87D142" wp14:editId="1473A679">
            <wp:extent cx="2890543" cy="216876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078" cy="218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2E" w:rsidRPr="00721FC7" w:rsidRDefault="0048612E" w:rsidP="0048612E">
      <w:pPr>
        <w:jc w:val="center"/>
        <w:rPr>
          <w:rFonts w:ascii="Times New Roman" w:hAnsi="Times New Roman"/>
          <w:lang w:val="en-GB" w:eastAsia="en-US"/>
        </w:rPr>
      </w:pPr>
      <w:r w:rsidRPr="00721FC7">
        <w:rPr>
          <w:rFonts w:ascii="Times New Roman" w:hAnsi="Times New Roman"/>
          <w:lang w:val="en-GB" w:eastAsia="en-US"/>
        </w:rPr>
        <w:t>Fig.2 SINR delta CDF for SNR= -3dB/-4dB/-6dB with 5 samples</w:t>
      </w:r>
    </w:p>
    <w:p w:rsidR="00284D7A" w:rsidRPr="00721FC7" w:rsidRDefault="00863429" w:rsidP="00863429">
      <w:pPr>
        <w:rPr>
          <w:rFonts w:ascii="Times New Roman" w:hAnsi="Times New Roman"/>
          <w:lang w:val="en-GB" w:eastAsia="en-US"/>
        </w:rPr>
      </w:pPr>
      <w:r w:rsidRPr="00721FC7">
        <w:rPr>
          <w:rFonts w:ascii="Times New Roman" w:hAnsi="Times New Roman"/>
          <w:lang w:val="en-GB" w:eastAsia="en-US"/>
        </w:rPr>
        <w:lastRenderedPageBreak/>
        <w:t xml:space="preserve">From our simulation, </w:t>
      </w:r>
      <w:r w:rsidR="00F444D5" w:rsidRPr="00721FC7">
        <w:rPr>
          <w:rFonts w:ascii="Times New Roman" w:hAnsi="Times New Roman"/>
          <w:lang w:val="en-GB" w:eastAsia="en-US"/>
        </w:rPr>
        <w:t xml:space="preserve">the SINR accuracy requirement </w:t>
      </w:r>
      <w:r w:rsidR="00284D7A" w:rsidRPr="00721FC7">
        <w:rPr>
          <w:rFonts w:ascii="Times New Roman" w:hAnsi="Times New Roman"/>
          <w:lang w:val="en-GB" w:eastAsia="en-US"/>
        </w:rPr>
        <w:t>can improved</w:t>
      </w:r>
      <w:r w:rsidR="00750E67">
        <w:rPr>
          <w:rFonts w:ascii="Times New Roman" w:hAnsi="Times New Roman"/>
          <w:lang w:val="en-GB" w:eastAsia="en-US"/>
        </w:rPr>
        <w:t xml:space="preserve"> by 0.4dB</w:t>
      </w:r>
      <w:r w:rsidR="00D075DA">
        <w:rPr>
          <w:rFonts w:ascii="Times New Roman" w:hAnsi="Times New Roman"/>
          <w:lang w:val="en-GB" w:eastAsia="en-US"/>
        </w:rPr>
        <w:t xml:space="preserve"> when SNR=-4dB compared with SNR = -6dB</w:t>
      </w:r>
      <w:r w:rsidR="00750E67">
        <w:rPr>
          <w:rFonts w:ascii="Times New Roman" w:hAnsi="Times New Roman"/>
          <w:lang w:val="en-GB" w:eastAsia="en-US"/>
        </w:rPr>
        <w:t>.</w:t>
      </w:r>
    </w:p>
    <w:p w:rsidR="00D8255C" w:rsidRDefault="00D8255C" w:rsidP="00D8255C">
      <w:pPr>
        <w:pStyle w:val="TH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3</w:t>
      </w:r>
      <w:r w:rsidRPr="00721FC7">
        <w:rPr>
          <w:rFonts w:ascii="Times New Roman" w:hAnsi="Times New Roman"/>
          <w:sz w:val="22"/>
          <w:szCs w:val="22"/>
        </w:rPr>
        <w:t xml:space="preserve">: </w:t>
      </w:r>
      <w:r w:rsidR="00D075DA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 xml:space="preserve">he SS-SINR accuracy gain is 0.4dB </w:t>
      </w:r>
      <w:r w:rsidR="00A76F1B">
        <w:rPr>
          <w:rFonts w:ascii="Times New Roman" w:hAnsi="Times New Roman"/>
          <w:sz w:val="22"/>
          <w:szCs w:val="22"/>
        </w:rPr>
        <w:t>when side condition increases from -4dB to -6dB</w:t>
      </w:r>
      <w:r>
        <w:rPr>
          <w:rFonts w:ascii="Times New Roman" w:hAnsi="Times New Roman"/>
          <w:sz w:val="22"/>
          <w:szCs w:val="22"/>
        </w:rPr>
        <w:t>.</w:t>
      </w:r>
      <w:bookmarkStart w:id="1" w:name="_GoBack"/>
      <w:bookmarkEnd w:id="1"/>
    </w:p>
    <w:p w:rsidR="00F5352E" w:rsidRPr="007156DB" w:rsidRDefault="00F5352E" w:rsidP="006245F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>Conclusion</w:t>
      </w:r>
    </w:p>
    <w:p w:rsidR="0048612E" w:rsidRDefault="0048612E" w:rsidP="0048612E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 xml:space="preserve">In this contribution, we </w:t>
      </w:r>
      <w:r w:rsidR="00D8255C">
        <w:rPr>
          <w:rFonts w:ascii="Times New Roman" w:hAnsi="Times New Roman"/>
          <w:lang w:val="en-GB" w:eastAsia="en-US"/>
        </w:rPr>
        <w:t>provide observation for</w:t>
      </w:r>
      <w:r w:rsidRPr="007156DB">
        <w:rPr>
          <w:rFonts w:ascii="Times New Roman" w:hAnsi="Times New Roman"/>
          <w:lang w:val="en-GB" w:eastAsia="en-US"/>
        </w:rPr>
        <w:t xml:space="preserve"> SS based measurement requirements for RSRP/RSRQ/SINR.</w:t>
      </w:r>
    </w:p>
    <w:p w:rsidR="0082704C" w:rsidRDefault="0082704C" w:rsidP="0082704C">
      <w:pPr>
        <w:pStyle w:val="TH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1</w:t>
      </w:r>
      <w:r w:rsidRPr="00721FC7">
        <w:rPr>
          <w:rFonts w:ascii="Times New Roman" w:hAnsi="Times New Roman"/>
          <w:sz w:val="22"/>
          <w:szCs w:val="22"/>
        </w:rPr>
        <w:t xml:space="preserve">: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721FC7">
        <w:rPr>
          <w:rFonts w:ascii="Times New Roman" w:hAnsi="Times New Roman"/>
          <w:sz w:val="22"/>
          <w:szCs w:val="22"/>
        </w:rPr>
        <w:t>SS-RSRP</w:t>
      </w:r>
      <w:r>
        <w:rPr>
          <w:rFonts w:ascii="Times New Roman" w:hAnsi="Times New Roman"/>
          <w:sz w:val="22"/>
          <w:szCs w:val="22"/>
        </w:rPr>
        <w:t xml:space="preserve"> accuracy gain (smaller than 0.4dB) is not obvious when side condition increases from -4dB to -6dB.</w:t>
      </w:r>
    </w:p>
    <w:p w:rsidR="0082704C" w:rsidRDefault="0082704C" w:rsidP="0082704C">
      <w:pPr>
        <w:pStyle w:val="TH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2</w:t>
      </w:r>
      <w:r w:rsidRPr="00721FC7">
        <w:rPr>
          <w:rFonts w:ascii="Times New Roman" w:hAnsi="Times New Roman"/>
          <w:sz w:val="22"/>
          <w:szCs w:val="22"/>
        </w:rPr>
        <w:t xml:space="preserve">: </w:t>
      </w:r>
      <w:r>
        <w:rPr>
          <w:rFonts w:ascii="Times New Roman" w:hAnsi="Times New Roman"/>
          <w:sz w:val="22"/>
          <w:szCs w:val="22"/>
        </w:rPr>
        <w:t>the SS-RSRQ accuracy gain is not obvious when side condition increases from -4dB to -6dB.</w:t>
      </w:r>
    </w:p>
    <w:p w:rsidR="0082704C" w:rsidRDefault="0082704C" w:rsidP="0082704C">
      <w:pPr>
        <w:pStyle w:val="TH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Observation 3</w:t>
      </w:r>
      <w:r w:rsidRPr="00721FC7">
        <w:rPr>
          <w:rFonts w:ascii="Times New Roman" w:hAnsi="Times New Roman"/>
          <w:sz w:val="22"/>
          <w:szCs w:val="22"/>
        </w:rPr>
        <w:t xml:space="preserve">: </w:t>
      </w:r>
      <w:r w:rsidR="00D075DA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he SS-SINR accuracy gain is 0.4dB when side condition increases from -4dB to -6dB.</w:t>
      </w:r>
    </w:p>
    <w:p w:rsidR="0048612E" w:rsidRPr="009648FE" w:rsidRDefault="00F5352E" w:rsidP="001045A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648FE">
        <w:rPr>
          <w:rFonts w:ascii="Times New Roman" w:hAnsi="Times New Roman"/>
        </w:rPr>
        <w:t>References</w:t>
      </w:r>
    </w:p>
    <w:p w:rsidR="00F5352E" w:rsidRPr="007156DB" w:rsidRDefault="00F5352E" w:rsidP="007E22E0">
      <w:pPr>
        <w:tabs>
          <w:tab w:val="left" w:pos="1985"/>
        </w:tabs>
        <w:spacing w:after="0"/>
        <w:ind w:left="1980" w:right="531" w:hanging="1980"/>
        <w:jc w:val="both"/>
        <w:rPr>
          <w:rFonts w:ascii="Times New Roman" w:hAnsi="Times New Roman"/>
        </w:rPr>
      </w:pPr>
      <w:bookmarkStart w:id="2" w:name="_Ref446505138"/>
      <w:r w:rsidRPr="007156DB">
        <w:rPr>
          <w:rFonts w:ascii="Times New Roman" w:hAnsi="Times New Roman"/>
          <w:lang w:val="en-GB"/>
        </w:rPr>
        <w:t xml:space="preserve">[1] </w:t>
      </w:r>
      <w:r w:rsidRPr="007156DB">
        <w:rPr>
          <w:rFonts w:ascii="Times New Roman" w:hAnsi="Times New Roman"/>
        </w:rPr>
        <w:t>R4-1</w:t>
      </w:r>
      <w:r w:rsidR="0048612E" w:rsidRPr="007156DB">
        <w:rPr>
          <w:rFonts w:ascii="Times New Roman" w:hAnsi="Times New Roman"/>
        </w:rPr>
        <w:t>8</w:t>
      </w:r>
      <w:r w:rsidR="007E22E0">
        <w:rPr>
          <w:rFonts w:ascii="Times New Roman" w:hAnsi="Times New Roman"/>
        </w:rPr>
        <w:t>14065</w:t>
      </w:r>
      <w:r w:rsidRPr="007156DB">
        <w:rPr>
          <w:rFonts w:ascii="Times New Roman" w:hAnsi="Times New Roman"/>
        </w:rPr>
        <w:t>, “</w:t>
      </w:r>
      <w:r w:rsidR="007E22E0" w:rsidRPr="007E22E0">
        <w:rPr>
          <w:rFonts w:ascii="Times New Roman" w:hAnsi="Times New Roman"/>
        </w:rPr>
        <w:t>Way forward on inter-frequency measurement accuracy</w:t>
      </w:r>
      <w:r w:rsidRPr="007156DB">
        <w:rPr>
          <w:rFonts w:ascii="Times New Roman" w:hAnsi="Times New Roman"/>
        </w:rPr>
        <w:t xml:space="preserve">”, </w:t>
      </w:r>
      <w:r w:rsidR="007E22E0">
        <w:rPr>
          <w:rFonts w:ascii="Times New Roman" w:hAnsi="Times New Roman"/>
        </w:rPr>
        <w:t>CMCC</w:t>
      </w:r>
    </w:p>
    <w:bookmarkEnd w:id="2"/>
    <w:p w:rsidR="00F5352E" w:rsidRPr="007156DB" w:rsidRDefault="00F5352E">
      <w:pPr>
        <w:rPr>
          <w:rFonts w:ascii="Times New Roman" w:hAnsi="Times New Roman"/>
        </w:rPr>
      </w:pPr>
    </w:p>
    <w:sectPr w:rsidR="00F5352E" w:rsidRPr="00715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B1BA0"/>
    <w:multiLevelType w:val="multilevel"/>
    <w:tmpl w:val="8C7C0F26"/>
    <w:lvl w:ilvl="0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B60F79"/>
    <w:multiLevelType w:val="hybridMultilevel"/>
    <w:tmpl w:val="B45A6250"/>
    <w:lvl w:ilvl="0" w:tplc="0088E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2A9C98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CEB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AD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CA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62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25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20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4AB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60D75"/>
    <w:rsid w:val="00071177"/>
    <w:rsid w:val="00090426"/>
    <w:rsid w:val="000A1E35"/>
    <w:rsid w:val="000E5A26"/>
    <w:rsid w:val="00120180"/>
    <w:rsid w:val="00177299"/>
    <w:rsid w:val="00187AD0"/>
    <w:rsid w:val="001A0897"/>
    <w:rsid w:val="001A1423"/>
    <w:rsid w:val="001B79C1"/>
    <w:rsid w:val="001D41BB"/>
    <w:rsid w:val="002429DD"/>
    <w:rsid w:val="0025476E"/>
    <w:rsid w:val="0026715F"/>
    <w:rsid w:val="002773B3"/>
    <w:rsid w:val="00284D7A"/>
    <w:rsid w:val="00291363"/>
    <w:rsid w:val="003630AE"/>
    <w:rsid w:val="004156C9"/>
    <w:rsid w:val="004226C6"/>
    <w:rsid w:val="0042505E"/>
    <w:rsid w:val="004718C0"/>
    <w:rsid w:val="0047728D"/>
    <w:rsid w:val="0048612E"/>
    <w:rsid w:val="004C2F5C"/>
    <w:rsid w:val="00520C1D"/>
    <w:rsid w:val="00523D5A"/>
    <w:rsid w:val="00582DCE"/>
    <w:rsid w:val="00612DE5"/>
    <w:rsid w:val="006245FA"/>
    <w:rsid w:val="00643C3B"/>
    <w:rsid w:val="0069335F"/>
    <w:rsid w:val="006C1C0F"/>
    <w:rsid w:val="006D0CE8"/>
    <w:rsid w:val="00706983"/>
    <w:rsid w:val="00713349"/>
    <w:rsid w:val="007156DB"/>
    <w:rsid w:val="00721FC7"/>
    <w:rsid w:val="00722AB5"/>
    <w:rsid w:val="007326FA"/>
    <w:rsid w:val="00750E67"/>
    <w:rsid w:val="00753D9D"/>
    <w:rsid w:val="00762241"/>
    <w:rsid w:val="007D1894"/>
    <w:rsid w:val="007E22E0"/>
    <w:rsid w:val="007F5997"/>
    <w:rsid w:val="0082704C"/>
    <w:rsid w:val="00836529"/>
    <w:rsid w:val="008602F5"/>
    <w:rsid w:val="00863429"/>
    <w:rsid w:val="00864D5E"/>
    <w:rsid w:val="00877F67"/>
    <w:rsid w:val="00895D36"/>
    <w:rsid w:val="008A3E63"/>
    <w:rsid w:val="008B53FD"/>
    <w:rsid w:val="008F43B4"/>
    <w:rsid w:val="0090519A"/>
    <w:rsid w:val="00905654"/>
    <w:rsid w:val="00932B6E"/>
    <w:rsid w:val="009648FE"/>
    <w:rsid w:val="00985A85"/>
    <w:rsid w:val="00990E52"/>
    <w:rsid w:val="0099746A"/>
    <w:rsid w:val="009F18E7"/>
    <w:rsid w:val="00A05CCE"/>
    <w:rsid w:val="00A411E6"/>
    <w:rsid w:val="00A76F1B"/>
    <w:rsid w:val="00A8079F"/>
    <w:rsid w:val="00AE2970"/>
    <w:rsid w:val="00BA2342"/>
    <w:rsid w:val="00BB3576"/>
    <w:rsid w:val="00C22D2D"/>
    <w:rsid w:val="00C77780"/>
    <w:rsid w:val="00C96BC6"/>
    <w:rsid w:val="00CD4AE7"/>
    <w:rsid w:val="00CF1C88"/>
    <w:rsid w:val="00D075DA"/>
    <w:rsid w:val="00D4302B"/>
    <w:rsid w:val="00D63702"/>
    <w:rsid w:val="00D8255C"/>
    <w:rsid w:val="00DA26F2"/>
    <w:rsid w:val="00E21341"/>
    <w:rsid w:val="00E54B5F"/>
    <w:rsid w:val="00E91291"/>
    <w:rsid w:val="00F022EC"/>
    <w:rsid w:val="00F16192"/>
    <w:rsid w:val="00F3793A"/>
    <w:rsid w:val="00F41C29"/>
    <w:rsid w:val="00F444D5"/>
    <w:rsid w:val="00F5352E"/>
    <w:rsid w:val="00F70AB2"/>
    <w:rsid w:val="00FB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88A31-5B27-4245-B071-0A3808D8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TAC"/>
    <w:link w:val="TAHCar"/>
    <w:rsid w:val="00D4302B"/>
    <w:rPr>
      <w:b/>
      <w:lang w:eastAsia="x-none"/>
    </w:rPr>
  </w:style>
  <w:style w:type="paragraph" w:customStyle="1" w:styleId="TAC">
    <w:name w:val="TAC"/>
    <w:basedOn w:val="Normal"/>
    <w:link w:val="TACChar"/>
    <w:rsid w:val="00D4302B"/>
    <w:pPr>
      <w:keepNext/>
      <w:keepLines/>
      <w:spacing w:after="0" w:line="240" w:lineRule="auto"/>
      <w:jc w:val="center"/>
    </w:pPr>
    <w:rPr>
      <w:rFonts w:ascii="Tms Rmn" w:eastAsia="MS Mincho" w:hAnsi="Tms Rm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D4302B"/>
    <w:pPr>
      <w:keepNext/>
      <w:keepLines/>
      <w:spacing w:before="60" w:after="180" w:line="240" w:lineRule="auto"/>
      <w:jc w:val="center"/>
    </w:pPr>
    <w:rPr>
      <w:rFonts w:ascii="Tms Rmn" w:eastAsia="MS Mincho" w:hAnsi="Tms Rm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D4302B"/>
    <w:pPr>
      <w:keepNext/>
      <w:keepLines/>
      <w:spacing w:after="0" w:line="240" w:lineRule="auto"/>
      <w:ind w:left="851" w:hanging="851"/>
    </w:pPr>
    <w:rPr>
      <w:rFonts w:ascii="Tms Rmn" w:eastAsia="MS Mincho" w:hAnsi="Tms Rmn"/>
      <w:sz w:val="18"/>
      <w:szCs w:val="20"/>
      <w:lang w:val="en-GB" w:eastAsia="x-none"/>
    </w:rPr>
  </w:style>
  <w:style w:type="character" w:customStyle="1" w:styleId="THChar">
    <w:name w:val="TH Char"/>
    <w:link w:val="TH"/>
    <w:rsid w:val="00D4302B"/>
    <w:rPr>
      <w:rFonts w:ascii="Tms Rmn" w:eastAsia="MS Mincho" w:hAnsi="Tms Rmn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D4302B"/>
    <w:rPr>
      <w:rFonts w:ascii="Tms Rmn" w:eastAsia="MS Mincho" w:hAnsi="Tms Rmn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4302B"/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D4302B"/>
    <w:rPr>
      <w:rFonts w:ascii="Tms Rmn" w:eastAsia="MS Mincho" w:hAnsi="Tms Rmn" w:cs="Times New Roman"/>
      <w:sz w:val="18"/>
      <w:szCs w:val="20"/>
      <w:lang w:val="en-GB" w:eastAsia="x-none"/>
    </w:rPr>
  </w:style>
  <w:style w:type="paragraph" w:styleId="Header">
    <w:name w:val="header"/>
    <w:basedOn w:val="Normal"/>
    <w:link w:val="HeaderChar"/>
    <w:rsid w:val="00D63702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63702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CharChar">
    <w:name w:val="Char Char"/>
    <w:semiHidden/>
    <w:rsid w:val="00071177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table" w:styleId="TableGrid">
    <w:name w:val="Table Grid"/>
    <w:basedOn w:val="TableNormal"/>
    <w:uiPriority w:val="39"/>
    <w:rsid w:val="007E2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E2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390</Words>
  <Characters>2113</Characters>
  <Application>Microsoft Office Word</Application>
  <DocSecurity>0</DocSecurity>
  <Lines>55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2018-11-02T12:08:00Z</dcterms:created>
  <dcterms:modified xsi:type="dcterms:W3CDTF">2018-11-02T12:08:00Z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bddaca6c-f72e-4970-826e-123eacabd40a</vt:lpwstr>
  </property>
  <property fmtid="{D5CDD505-2E9C-101B-9397-08002B2CF9AE}" pid="3" name="CTP_TimeStamp">
    <vt:lpwstr>2018-11-02 12:07:27Z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