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44F" w:rsidRPr="00EF344F" w:rsidRDefault="00EF344F" w:rsidP="00EF344F">
      <w:pPr>
        <w:tabs>
          <w:tab w:val="right" w:pos="9356"/>
          <w:tab w:val="right" w:pos="10206"/>
        </w:tabs>
        <w:spacing w:after="0" w:line="240" w:lineRule="auto"/>
        <w:rPr>
          <w:rFonts w:ascii="Arial" w:eastAsia="SimSun" w:hAnsi="Arial" w:cs="Arial"/>
          <w:b/>
          <w:iCs/>
          <w:sz w:val="24"/>
          <w:szCs w:val="20"/>
          <w:lang w:val="en-US"/>
        </w:rPr>
      </w:pPr>
      <w:r w:rsidRPr="00EF344F">
        <w:rPr>
          <w:rFonts w:ascii="Arial" w:eastAsia="SimSun" w:hAnsi="Arial" w:cs="Arial"/>
          <w:b/>
          <w:sz w:val="24"/>
          <w:szCs w:val="20"/>
          <w:lang w:val="en-US"/>
        </w:rPr>
        <w:t>TSG-RAN Working Group 4 (Radio) meeting #88bis</w:t>
      </w:r>
      <w:r w:rsidRPr="00EF344F">
        <w:rPr>
          <w:rFonts w:ascii="Arial" w:eastAsia="SimSun" w:hAnsi="Arial" w:cs="Arial"/>
          <w:b/>
          <w:sz w:val="24"/>
          <w:szCs w:val="20"/>
          <w:lang w:val="en-US"/>
        </w:rPr>
        <w:tab/>
        <w:t xml:space="preserve">  </w:t>
      </w:r>
      <w:r w:rsidRPr="00EF344F">
        <w:rPr>
          <w:rFonts w:ascii="Arial" w:eastAsia="SimSun" w:hAnsi="Arial" w:cs="Arial"/>
          <w:b/>
          <w:bCs/>
          <w:iCs/>
          <w:sz w:val="24"/>
          <w:szCs w:val="20"/>
          <w:lang w:val="en-US"/>
        </w:rPr>
        <w:t>R4-18</w:t>
      </w:r>
      <w:r w:rsidR="0017095B">
        <w:rPr>
          <w:rFonts w:ascii="Arial" w:eastAsia="SimSun" w:hAnsi="Arial" w:cs="Arial"/>
          <w:b/>
          <w:bCs/>
          <w:iCs/>
          <w:sz w:val="24"/>
          <w:szCs w:val="20"/>
          <w:lang w:val="en-US"/>
        </w:rPr>
        <w:t>13846</w:t>
      </w:r>
    </w:p>
    <w:p w:rsidR="00EF344F" w:rsidRPr="00EF344F" w:rsidRDefault="00EF344F" w:rsidP="00EF344F">
      <w:pPr>
        <w:tabs>
          <w:tab w:val="center" w:pos="4153"/>
          <w:tab w:val="right" w:pos="9864"/>
        </w:tabs>
        <w:spacing w:after="120" w:line="240" w:lineRule="auto"/>
        <w:rPr>
          <w:rFonts w:ascii="Arial" w:eastAsia="SimSun" w:hAnsi="Arial" w:cs="Arial"/>
          <w:b/>
          <w:sz w:val="24"/>
          <w:szCs w:val="20"/>
          <w:lang w:val="en-US"/>
        </w:rPr>
      </w:pPr>
      <w:r w:rsidRPr="00EF344F">
        <w:rPr>
          <w:rFonts w:ascii="Arial" w:eastAsia="SimSun" w:hAnsi="Arial" w:cs="Arial"/>
          <w:b/>
          <w:sz w:val="24"/>
          <w:szCs w:val="20"/>
          <w:lang w:val="en-US"/>
        </w:rPr>
        <w:t>Chengdu, C</w:t>
      </w:r>
      <w:r>
        <w:rPr>
          <w:rFonts w:ascii="Arial" w:eastAsia="SimSun" w:hAnsi="Arial" w:cs="Arial"/>
          <w:b/>
          <w:sz w:val="24"/>
          <w:szCs w:val="20"/>
          <w:lang w:val="en-US"/>
        </w:rPr>
        <w:t>hina</w:t>
      </w:r>
      <w:r w:rsidRPr="00EF344F">
        <w:rPr>
          <w:rFonts w:ascii="Arial" w:eastAsia="SimSun" w:hAnsi="Arial" w:cs="Arial"/>
          <w:b/>
          <w:sz w:val="24"/>
          <w:szCs w:val="20"/>
          <w:lang w:val="en-US"/>
        </w:rPr>
        <w:t>, 8 – 12 October 2018</w:t>
      </w:r>
      <w:r w:rsidRPr="00EF344F">
        <w:rPr>
          <w:rFonts w:ascii="Arial" w:eastAsia="SimSun" w:hAnsi="Arial" w:cs="Arial"/>
          <w:b/>
          <w:sz w:val="24"/>
          <w:szCs w:val="20"/>
          <w:lang w:val="en-US"/>
        </w:rPr>
        <w:tab/>
      </w:r>
    </w:p>
    <w:p w:rsidR="00EF344F" w:rsidRPr="00EF344F" w:rsidRDefault="00EF344F" w:rsidP="00EF344F">
      <w:pPr>
        <w:spacing w:after="120" w:line="240" w:lineRule="auto"/>
        <w:ind w:left="1985" w:hanging="1985"/>
        <w:rPr>
          <w:rFonts w:ascii="Arial" w:eastAsia="SimSun" w:hAnsi="Arial" w:cs="Arial"/>
          <w:b/>
          <w:sz w:val="20"/>
          <w:szCs w:val="20"/>
          <w:lang w:val="en-US"/>
        </w:rPr>
      </w:pPr>
    </w:p>
    <w:p w:rsidR="00EF344F" w:rsidRPr="00EF344F" w:rsidRDefault="00EF344F" w:rsidP="00EF344F">
      <w:pPr>
        <w:spacing w:after="120" w:line="240" w:lineRule="auto"/>
        <w:ind w:left="1985" w:hanging="1985"/>
        <w:rPr>
          <w:rFonts w:ascii="Arial" w:eastAsia="SimSun" w:hAnsi="Arial" w:cs="Arial"/>
          <w:bCs/>
          <w:sz w:val="20"/>
          <w:szCs w:val="20"/>
          <w:lang w:val="en-US"/>
        </w:rPr>
      </w:pPr>
      <w:r w:rsidRPr="00EF344F">
        <w:rPr>
          <w:rFonts w:ascii="Arial" w:eastAsia="SimSun" w:hAnsi="Arial" w:cs="Arial"/>
          <w:b/>
          <w:sz w:val="20"/>
          <w:szCs w:val="20"/>
          <w:lang w:val="en-US"/>
        </w:rPr>
        <w:t>Source:</w:t>
      </w:r>
      <w:r w:rsidRPr="00EF344F">
        <w:rPr>
          <w:rFonts w:ascii="Arial" w:eastAsia="SimSun" w:hAnsi="Arial" w:cs="Arial"/>
          <w:b/>
          <w:sz w:val="20"/>
          <w:szCs w:val="20"/>
          <w:lang w:val="en-US"/>
        </w:rPr>
        <w:tab/>
      </w:r>
      <w:r>
        <w:rPr>
          <w:rFonts w:ascii="Arial" w:eastAsia="SimSun" w:hAnsi="Arial" w:cs="Arial"/>
          <w:bCs/>
          <w:sz w:val="20"/>
          <w:szCs w:val="20"/>
          <w:lang w:val="en-US"/>
        </w:rPr>
        <w:t>Sprint</w:t>
      </w:r>
    </w:p>
    <w:p w:rsidR="00EF344F" w:rsidRPr="00EF344F" w:rsidRDefault="00EF344F" w:rsidP="00EF344F">
      <w:pPr>
        <w:spacing w:after="120" w:line="240" w:lineRule="auto"/>
        <w:ind w:left="1985" w:hanging="1985"/>
        <w:rPr>
          <w:rFonts w:ascii="Arial" w:eastAsia="SimSun" w:hAnsi="Arial" w:cs="Arial"/>
          <w:sz w:val="20"/>
          <w:szCs w:val="20"/>
          <w:lang w:val="en-US"/>
        </w:rPr>
      </w:pPr>
      <w:r w:rsidRPr="00EF344F">
        <w:rPr>
          <w:rFonts w:ascii="Arial" w:eastAsia="SimSun" w:hAnsi="Arial" w:cs="Arial"/>
          <w:b/>
          <w:sz w:val="20"/>
          <w:szCs w:val="20"/>
          <w:lang w:val="en-US"/>
        </w:rPr>
        <w:t>Title:</w:t>
      </w:r>
      <w:r w:rsidRPr="00EF344F">
        <w:rPr>
          <w:rFonts w:ascii="Arial" w:eastAsia="SimSun" w:hAnsi="Arial" w:cs="Arial"/>
          <w:b/>
          <w:sz w:val="20"/>
          <w:szCs w:val="20"/>
          <w:lang w:val="en-US"/>
        </w:rPr>
        <w:tab/>
      </w:r>
      <w:r>
        <w:rPr>
          <w:rFonts w:ascii="Arial" w:eastAsia="SimSun" w:hAnsi="Arial" w:cs="Arial"/>
          <w:sz w:val="20"/>
          <w:szCs w:val="20"/>
          <w:lang w:val="en-US"/>
        </w:rPr>
        <w:t xml:space="preserve">Intra-band EN-DC </w:t>
      </w:r>
      <w:proofErr w:type="gramStart"/>
      <w:r>
        <w:rPr>
          <w:rFonts w:ascii="Arial" w:eastAsia="SimSun" w:hAnsi="Arial" w:cs="Arial"/>
          <w:sz w:val="20"/>
          <w:szCs w:val="20"/>
          <w:lang w:val="en-US"/>
        </w:rPr>
        <w:t>A-</w:t>
      </w:r>
      <w:proofErr w:type="gramEnd"/>
      <w:r>
        <w:rPr>
          <w:rFonts w:ascii="Arial" w:eastAsia="SimSun" w:hAnsi="Arial" w:cs="Arial"/>
          <w:sz w:val="20"/>
          <w:szCs w:val="20"/>
          <w:lang w:val="en-US"/>
        </w:rPr>
        <w:t>MPR</w:t>
      </w:r>
      <w:r w:rsidRPr="00EF344F">
        <w:rPr>
          <w:rFonts w:ascii="Arial" w:eastAsia="SimSun" w:hAnsi="Arial" w:cs="Arial"/>
          <w:sz w:val="20"/>
          <w:szCs w:val="20"/>
          <w:lang w:val="en-US"/>
        </w:rPr>
        <w:t xml:space="preserve"> – Ad-hoc minutes</w:t>
      </w:r>
    </w:p>
    <w:p w:rsidR="00EF344F" w:rsidRPr="00EF344F" w:rsidRDefault="00EF344F" w:rsidP="00EF344F">
      <w:pPr>
        <w:spacing w:after="120" w:line="240" w:lineRule="auto"/>
        <w:ind w:left="1985" w:hanging="1985"/>
        <w:rPr>
          <w:rFonts w:ascii="Arial" w:eastAsia="SimSun" w:hAnsi="Arial" w:cs="Arial"/>
          <w:bCs/>
          <w:sz w:val="20"/>
          <w:szCs w:val="20"/>
          <w:lang w:val="en-US"/>
        </w:rPr>
      </w:pPr>
      <w:r w:rsidRPr="00EF344F">
        <w:rPr>
          <w:rFonts w:ascii="Arial" w:eastAsia="SimSun" w:hAnsi="Arial" w:cs="Arial"/>
          <w:b/>
          <w:sz w:val="20"/>
          <w:szCs w:val="20"/>
          <w:lang w:val="en-US"/>
        </w:rPr>
        <w:t>Agenda item:</w:t>
      </w:r>
      <w:r w:rsidRPr="00EF344F">
        <w:rPr>
          <w:rFonts w:ascii="Arial" w:eastAsia="SimSun" w:hAnsi="Arial" w:cs="Arial"/>
          <w:b/>
          <w:sz w:val="20"/>
          <w:szCs w:val="20"/>
          <w:lang w:val="en-US"/>
        </w:rPr>
        <w:tab/>
      </w:r>
      <w:r w:rsidR="0017095B" w:rsidRPr="0017095B">
        <w:rPr>
          <w:rFonts w:ascii="Arial" w:eastAsia="SimSun" w:hAnsi="Arial" w:cs="Arial"/>
          <w:sz w:val="20"/>
          <w:szCs w:val="20"/>
          <w:lang w:val="en-US"/>
        </w:rPr>
        <w:t>7.6.4.3</w:t>
      </w:r>
    </w:p>
    <w:p w:rsidR="00EF344F" w:rsidRPr="00EF344F" w:rsidRDefault="00EF344F" w:rsidP="00EF344F">
      <w:pPr>
        <w:spacing w:after="120" w:line="240" w:lineRule="auto"/>
        <w:ind w:left="1985" w:hanging="1985"/>
        <w:rPr>
          <w:rFonts w:ascii="Arial" w:eastAsia="SimSun" w:hAnsi="Arial" w:cs="Arial"/>
          <w:bCs/>
          <w:sz w:val="20"/>
          <w:szCs w:val="20"/>
          <w:lang w:val="en-US"/>
        </w:rPr>
      </w:pPr>
      <w:r w:rsidRPr="00EF344F">
        <w:rPr>
          <w:rFonts w:ascii="Arial" w:eastAsia="SimSun" w:hAnsi="Arial" w:cs="Arial"/>
          <w:b/>
          <w:sz w:val="20"/>
          <w:szCs w:val="20"/>
          <w:lang w:val="en-US"/>
        </w:rPr>
        <w:t>Document for:</w:t>
      </w:r>
      <w:r w:rsidRPr="00EF344F">
        <w:rPr>
          <w:rFonts w:ascii="Arial" w:eastAsia="SimSun" w:hAnsi="Arial" w:cs="Arial"/>
          <w:b/>
          <w:sz w:val="20"/>
          <w:szCs w:val="20"/>
          <w:lang w:val="en-US"/>
        </w:rPr>
        <w:tab/>
      </w:r>
      <w:r w:rsidRPr="00EF344F">
        <w:rPr>
          <w:rFonts w:ascii="Arial" w:eastAsia="SimSun" w:hAnsi="Arial" w:cs="Arial"/>
          <w:bCs/>
          <w:sz w:val="20"/>
          <w:szCs w:val="20"/>
          <w:lang w:val="en-US"/>
        </w:rPr>
        <w:t>Information</w:t>
      </w:r>
    </w:p>
    <w:p w:rsidR="00EF344F" w:rsidRPr="00EF344F" w:rsidRDefault="00EF344F" w:rsidP="00EF344F">
      <w:pPr>
        <w:pBdr>
          <w:bottom w:val="single" w:sz="6" w:space="1" w:color="auto"/>
        </w:pBdr>
        <w:spacing w:after="120" w:line="240" w:lineRule="auto"/>
        <w:ind w:left="1985" w:hanging="1985"/>
        <w:rPr>
          <w:rFonts w:ascii="Arial" w:eastAsia="SimSun" w:hAnsi="Arial" w:cs="Arial"/>
          <w:bCs/>
          <w:sz w:val="20"/>
          <w:szCs w:val="20"/>
          <w:lang w:val="en-US"/>
        </w:rPr>
      </w:pPr>
    </w:p>
    <w:p w:rsidR="00EF344F" w:rsidRDefault="00EF344F" w:rsidP="00EF344F">
      <w:pPr>
        <w:spacing w:after="120" w:line="240" w:lineRule="auto"/>
        <w:ind w:left="1985" w:hanging="1985"/>
        <w:rPr>
          <w:rFonts w:ascii="Arial" w:eastAsia="SimSun" w:hAnsi="Arial" w:cs="Arial"/>
          <w:bCs/>
          <w:sz w:val="20"/>
          <w:szCs w:val="20"/>
          <w:lang w:val="en-US"/>
        </w:rPr>
      </w:pPr>
    </w:p>
    <w:p w:rsidR="00EB0622" w:rsidRDefault="005B606F">
      <w:pPr>
        <w:rPr>
          <w:b/>
        </w:rPr>
      </w:pPr>
      <w:r>
        <w:rPr>
          <w:b/>
        </w:rPr>
        <w:t xml:space="preserve">Conclusion: </w:t>
      </w:r>
    </w:p>
    <w:p w:rsidR="005B606F" w:rsidRDefault="005B606F" w:rsidP="005B606F">
      <w:r>
        <w:t xml:space="preserve">Need to decide between the RAN1 </w:t>
      </w:r>
      <w:proofErr w:type="gramStart"/>
      <w:r>
        <w:t>approach</w:t>
      </w:r>
      <w:proofErr w:type="gramEnd"/>
      <w:r>
        <w:t xml:space="preserve"> (all EN-DC A-MPR on NR) vs. the RAN 4 approach (equal A-MPR with LTE aware of NR allocations). </w:t>
      </w:r>
      <w:bookmarkStart w:id="0" w:name="_GoBack"/>
      <w:bookmarkEnd w:id="0"/>
    </w:p>
    <w:p w:rsidR="00EB0622" w:rsidRDefault="00EB0622">
      <w:pPr>
        <w:rPr>
          <w:b/>
        </w:rPr>
      </w:pPr>
    </w:p>
    <w:p w:rsidR="00EF344F" w:rsidRDefault="00EB0622">
      <w:r>
        <w:rPr>
          <w:b/>
        </w:rPr>
        <w:t>Attachment:</w:t>
      </w:r>
      <w:r w:rsidR="00EF344F">
        <w:t xml:space="preserve"> Companies </w:t>
      </w:r>
      <w:r w:rsidR="005B606F">
        <w:t xml:space="preserve">were </w:t>
      </w:r>
      <w:r w:rsidR="00EF344F">
        <w:t>asked to put together one slide with their approach for intra-band EN-DC A-MPR.</w:t>
      </w:r>
      <w:r w:rsidR="006113B4">
        <w:t xml:space="preserve"> Numerical examples are good as they help to illustrate the points. A flow chart where we could plug in a common scenario would be useful. </w:t>
      </w:r>
      <w:r w:rsidR="005B606F">
        <w:t xml:space="preserve">Ericsson, Skyworks, </w:t>
      </w:r>
      <w:proofErr w:type="spellStart"/>
      <w:r w:rsidR="005B606F">
        <w:t>Mediatek</w:t>
      </w:r>
      <w:proofErr w:type="spellEnd"/>
      <w:r w:rsidR="005B606F">
        <w:t xml:space="preserve"> and </w:t>
      </w:r>
    </w:p>
    <w:p w:rsidR="00EF344F" w:rsidRDefault="00EF344F"/>
    <w:p w:rsidR="00EF344F" w:rsidRPr="006113B4" w:rsidRDefault="006113B4">
      <w:pPr>
        <w:rPr>
          <w:b/>
        </w:rPr>
      </w:pPr>
      <w:r w:rsidRPr="006113B4">
        <w:rPr>
          <w:b/>
        </w:rPr>
        <w:t xml:space="preserve">Notes: </w:t>
      </w:r>
    </w:p>
    <w:p w:rsidR="00E872D7" w:rsidRDefault="00EF344F">
      <w:r>
        <w:t xml:space="preserve">Sprint: It was suggested that an hour is not a lot of time, so maybe we need to come up with a plan for simulation and testing. </w:t>
      </w:r>
    </w:p>
    <w:p w:rsidR="008C7B83" w:rsidRDefault="008C7B83">
      <w:r>
        <w:t xml:space="preserve">Qualcomm: Another issue </w:t>
      </w:r>
      <w:r w:rsidR="00EF344F">
        <w:t xml:space="preserve">is </w:t>
      </w:r>
      <w:r>
        <w:t>whet</w:t>
      </w:r>
      <w:r w:rsidR="00EF344F">
        <w:t xml:space="preserve">her we do an </w:t>
      </w:r>
      <w:r>
        <w:t xml:space="preserve">approach with LTE power, then compute NR power, or do </w:t>
      </w:r>
      <w:r w:rsidR="00EF344F">
        <w:t>together</w:t>
      </w:r>
      <w:r>
        <w:t xml:space="preserve">. </w:t>
      </w:r>
    </w:p>
    <w:p w:rsidR="008C7B83" w:rsidRDefault="008C7B83">
      <w:r>
        <w:t>Ericsson: back</w:t>
      </w:r>
      <w:r w:rsidR="00EF344F">
        <w:t>-</w:t>
      </w:r>
      <w:r>
        <w:t>off on total power for contiguous intra-band EN-DC. LTE back</w:t>
      </w:r>
      <w:r w:rsidR="00EF344F">
        <w:t>-</w:t>
      </w:r>
      <w:r>
        <w:t>off is only standalone. Total power back</w:t>
      </w:r>
      <w:r w:rsidR="00EF344F">
        <w:t>-</w:t>
      </w:r>
      <w:r>
        <w:t xml:space="preserve">off can be derived for the NR CG. Given that a decision can be taken if the NR signal needs to be reduced or dropped. Make no changes to RAN1 specs and respect concerns of RAN1. Suggest the same approach for B41/n41 contiguous, and contiguous in general. Looking at Skyworks data from Athens, may also be applicable to non-contiguous. </w:t>
      </w:r>
    </w:p>
    <w:p w:rsidR="008C7B83" w:rsidRDefault="008C7B83">
      <w:r>
        <w:t xml:space="preserve">Intel: LTE power level and PSD as input, calculate NR A-MPR. Very large table. </w:t>
      </w:r>
      <w:r w:rsidR="00D25DE9">
        <w:t>In cert</w:t>
      </w:r>
      <w:r w:rsidR="00EF344F">
        <w:t>ain conditions NR could suf</w:t>
      </w:r>
      <w:r w:rsidR="00D25DE9">
        <w:t xml:space="preserve">fer large A-MPR, drop NR. </w:t>
      </w:r>
    </w:p>
    <w:p w:rsidR="00D25DE9" w:rsidRDefault="006113B4">
      <w:r>
        <w:t>Sprint: Concern about a tipping point scenario with NR-only A-MPR. Is there a s</w:t>
      </w:r>
      <w:r w:rsidR="00D25DE9">
        <w:t>imulation capability</w:t>
      </w:r>
      <w:r>
        <w:t xml:space="preserve"> to compare the approaches</w:t>
      </w:r>
      <w:r w:rsidR="00D25DE9">
        <w:t>?</w:t>
      </w:r>
    </w:p>
    <w:p w:rsidR="00D25DE9" w:rsidRDefault="00D25DE9">
      <w:r>
        <w:t xml:space="preserve">Ericsson: </w:t>
      </w:r>
      <w:r w:rsidR="006113B4">
        <w:t>S</w:t>
      </w:r>
      <w:r>
        <w:t xml:space="preserve">imulation </w:t>
      </w:r>
      <w:r w:rsidR="006113B4">
        <w:t>is difficult. On tipping point, l</w:t>
      </w:r>
      <w:r>
        <w:t>arge allocation on why would it be beneficial to apply A-MPR onto LTE? Same PSD, power proportional to allocation. If we followed the contiguous case. Worst case is small allocations on both CGs.</w:t>
      </w:r>
      <w:r w:rsidR="006113B4">
        <w:t xml:space="preserve"> Start with well-</w:t>
      </w:r>
      <w:r>
        <w:t xml:space="preserve">known case, like forward IMD as a starting point. Simulations possible on single PA architecture. Also need to look at Skyworks measurements in </w:t>
      </w:r>
      <w:r>
        <w:lastRenderedPageBreak/>
        <w:t xml:space="preserve">2985 from Athens. Appears typical that if we take the power independently on both CGs, the IMD components are critical. Look at total output power for non-contiguous case. </w:t>
      </w:r>
    </w:p>
    <w:p w:rsidR="00D25DE9" w:rsidRDefault="006113B4">
      <w:r>
        <w:t xml:space="preserve">Sprint: </w:t>
      </w:r>
      <w:r w:rsidR="00D25DE9">
        <w:t xml:space="preserve">What is </w:t>
      </w:r>
      <w:r>
        <w:t xml:space="preserve">the </w:t>
      </w:r>
      <w:r w:rsidR="00D25DE9">
        <w:t>timeframe?</w:t>
      </w:r>
    </w:p>
    <w:p w:rsidR="00D25DE9" w:rsidRDefault="00D25DE9">
      <w:r>
        <w:t xml:space="preserve">Ericsson: Most important to agree on the method. Can avoid changes for B71/n71. </w:t>
      </w:r>
      <w:r w:rsidR="00310C5B">
        <w:t xml:space="preserve">Could be suitable methodology for non-contiguous case. </w:t>
      </w:r>
    </w:p>
    <w:p w:rsidR="00310C5B" w:rsidRDefault="00310C5B">
      <w:r>
        <w:t>Qualcomm: First need to know if we are</w:t>
      </w:r>
      <w:r w:rsidR="00EB0622">
        <w:t xml:space="preserve"> going with RAN1 approach (LTE calculates A-MPR independent of NR, all EN-DC A-MPR on NR) vs. RAN</w:t>
      </w:r>
      <w:r>
        <w:t xml:space="preserve">4 </w:t>
      </w:r>
      <w:r w:rsidR="00EB0622">
        <w:t xml:space="preserve">(Equal A-MPR/equal PSD) </w:t>
      </w:r>
      <w:r>
        <w:t xml:space="preserve">approach. </w:t>
      </w:r>
    </w:p>
    <w:p w:rsidR="00310C5B" w:rsidRDefault="006113B4">
      <w:r>
        <w:t xml:space="preserve">Sprint: </w:t>
      </w:r>
      <w:r w:rsidR="00310C5B">
        <w:t>How do we decide?</w:t>
      </w:r>
    </w:p>
    <w:p w:rsidR="00310C5B" w:rsidRDefault="00310C5B">
      <w:r>
        <w:t>Qualcomm:</w:t>
      </w:r>
      <w:r w:rsidR="006113B4">
        <w:t xml:space="preserve"> B</w:t>
      </w:r>
      <w:r>
        <w:t xml:space="preserve">ased on papers, </w:t>
      </w:r>
      <w:r w:rsidR="006113B4">
        <w:t xml:space="preserve">most companies seem to support the RAN1 approach, with calculation of </w:t>
      </w:r>
      <w:r>
        <w:t xml:space="preserve">LTE power, then NR. Nokia has a paper with RAN4 approach. </w:t>
      </w:r>
    </w:p>
    <w:p w:rsidR="00310C5B" w:rsidRDefault="00310C5B">
      <w:r>
        <w:t>Nokia: UEs that LTE knows NR allocation, and UEs that don’t know the NR allocation. Fast LTE, slow NR</w:t>
      </w:r>
    </w:p>
    <w:p w:rsidR="00310C5B" w:rsidRDefault="00310C5B">
      <w:r>
        <w:t xml:space="preserve">Ericsson: two formulas: dynamic power sharing and static power sharing. Slow LTE would use dynamic power sharing, all computations made on the NR side. A-MPR for the combined </w:t>
      </w:r>
      <w:proofErr w:type="spellStart"/>
      <w:r>
        <w:t>Tx</w:t>
      </w:r>
      <w:proofErr w:type="spellEnd"/>
      <w:r>
        <w:t xml:space="preserve">. P-EN-DC. LTE power known, remaining power for NR. </w:t>
      </w:r>
    </w:p>
    <w:p w:rsidR="00310C5B" w:rsidRDefault="00310C5B">
      <w:r>
        <w:t xml:space="preserve">Nokia: RAN1 vs. RAN4. With RAN1 approach, all Type 1 UEs can use the first formula, Type 2 UEs use the second formula. </w:t>
      </w:r>
    </w:p>
    <w:p w:rsidR="00310C5B" w:rsidRDefault="00310C5B">
      <w:r>
        <w:t>Skyworks: Proposed approach similar to Ericsson. NR applies the amount of back</w:t>
      </w:r>
      <w:r w:rsidR="006113B4">
        <w:t>-</w:t>
      </w:r>
      <w:r>
        <w:t xml:space="preserve">off needed. Allows NR to catch-up for any mismatch between the A-MPR applied on LTE and what should have been applied on EN-DC. </w:t>
      </w:r>
    </w:p>
    <w:p w:rsidR="00220AFD" w:rsidRDefault="00220AFD">
      <w:r>
        <w:t xml:space="preserve">Nokia: One slide per company for advocated approach. </w:t>
      </w:r>
    </w:p>
    <w:p w:rsidR="00220AFD" w:rsidRDefault="00220AFD">
      <w:r>
        <w:t>CMCC: UE capability</w:t>
      </w:r>
      <w:r w:rsidR="006113B4">
        <w:t xml:space="preserve"> could indicate the UE’s A-MPR method. </w:t>
      </w:r>
    </w:p>
    <w:p w:rsidR="00220AFD" w:rsidRDefault="00220AFD">
      <w:r>
        <w:t xml:space="preserve">Qualcomm: Cell </w:t>
      </w:r>
      <w:proofErr w:type="spellStart"/>
      <w:r>
        <w:t>center</w:t>
      </w:r>
      <w:proofErr w:type="spellEnd"/>
      <w:r>
        <w:t>, A-MPR doesn’t matter</w:t>
      </w:r>
      <w:r w:rsidR="006113B4">
        <w:t xml:space="preserve"> because power is so low</w:t>
      </w:r>
      <w:r>
        <w:t>. Faster LTE will cause dropping at the cell edge</w:t>
      </w:r>
      <w:r w:rsidR="006113B4">
        <w:t>, and will likely make the situation worse</w:t>
      </w:r>
      <w:r>
        <w:t xml:space="preserve">. </w:t>
      </w:r>
    </w:p>
    <w:p w:rsidR="00220AFD" w:rsidRDefault="00220AFD">
      <w:r>
        <w:t xml:space="preserve">Intel: Can simplify the A-MPR tables. For CMCC concerns single switch could be a possible solution for cell edge. </w:t>
      </w:r>
    </w:p>
    <w:p w:rsidR="00D25DE9" w:rsidRDefault="00220AFD">
      <w:r>
        <w:t xml:space="preserve">Huawei: Prefer the RAN1 approach. Even with faster LTE, if LTE cannot get the NR grant, what do we do? RAN1 approach won’t need to solve the forwarding issue. </w:t>
      </w:r>
    </w:p>
    <w:p w:rsidR="00D25DE9" w:rsidRDefault="00220AFD">
      <w:r>
        <w:t xml:space="preserve">Interdigital: </w:t>
      </w:r>
      <w:r w:rsidR="006113B4">
        <w:t>Good idea</w:t>
      </w:r>
      <w:r>
        <w:t xml:space="preserve"> to have the slides is a good way forward. Timeslot for the UE-RF ad </w:t>
      </w:r>
      <w:proofErr w:type="spellStart"/>
      <w:r>
        <w:t>hocs</w:t>
      </w:r>
      <w:proofErr w:type="spellEnd"/>
      <w:r>
        <w:t xml:space="preserve"> tomorrow. </w:t>
      </w:r>
    </w:p>
    <w:p w:rsidR="00D25DE9" w:rsidRDefault="00220AFD">
      <w:r>
        <w:t xml:space="preserve">Skyworks: </w:t>
      </w:r>
      <w:proofErr w:type="spellStart"/>
      <w:r>
        <w:t>ppt</w:t>
      </w:r>
      <w:proofErr w:type="spellEnd"/>
      <w:r>
        <w:t xml:space="preserve"> slide per company good idea. </w:t>
      </w:r>
      <w:r w:rsidR="004B23F4">
        <w:t xml:space="preserve">Numerical examples help. Illustrate the points. </w:t>
      </w:r>
    </w:p>
    <w:p w:rsidR="00D25DE9" w:rsidRDefault="00E43D22">
      <w:r>
        <w:t>11 Oct. Afternoon:</w:t>
      </w:r>
    </w:p>
    <w:p w:rsidR="00E43D22" w:rsidRDefault="00E43D22">
      <w:r>
        <w:t>Ericsson presented their A-MPR ppt.</w:t>
      </w:r>
    </w:p>
    <w:p w:rsidR="00E43D22" w:rsidRDefault="00E43D22">
      <w:r>
        <w:t>11 Oct Evening</w:t>
      </w:r>
    </w:p>
    <w:p w:rsidR="00E43D22" w:rsidRDefault="00E43D22">
      <w:r>
        <w:lastRenderedPageBreak/>
        <w:t>Skyworks presented their A-MPR ppt.</w:t>
      </w:r>
    </w:p>
    <w:p w:rsidR="00E43D22" w:rsidRDefault="00A27312">
      <w:r>
        <w:t>Huawei equal PSD?</w:t>
      </w:r>
    </w:p>
    <w:p w:rsidR="00A27312" w:rsidRDefault="00A27312">
      <w:r>
        <w:t>Ericsson: Compared to Ericsson approach</w:t>
      </w:r>
    </w:p>
    <w:p w:rsidR="00A27312" w:rsidRDefault="00A27312">
      <w:r>
        <w:t>Qualcomm: 1 dB for 1 dB may now always be valid.</w:t>
      </w:r>
    </w:p>
    <w:p w:rsidR="00A27312" w:rsidRDefault="00A27312">
      <w:r>
        <w:t xml:space="preserve">Skyworks: can fine tune. </w:t>
      </w:r>
    </w:p>
    <w:p w:rsidR="00164037" w:rsidRDefault="00EB0622">
      <w:proofErr w:type="spellStart"/>
      <w:r>
        <w:t>MediaTek</w:t>
      </w:r>
      <w:proofErr w:type="spellEnd"/>
      <w:r>
        <w:t xml:space="preserve"> presented their proposal. </w:t>
      </w:r>
    </w:p>
    <w:p w:rsidR="00EB0622" w:rsidRDefault="00EB0622" w:rsidP="00EB0622">
      <w:r>
        <w:t>Next step:</w:t>
      </w:r>
    </w:p>
    <w:p w:rsidR="00EB0622" w:rsidRDefault="00EB0622" w:rsidP="00EB0622">
      <w:r>
        <w:t>Ericsson: Need to choose a method. Start with equal PSD, and apply compensation. Eri</w:t>
      </w:r>
      <w:r>
        <w:t>c</w:t>
      </w:r>
      <w:r>
        <w:t xml:space="preserve">sson approach: assume margin included. Only looked at 1 PA case. Maybe different approach for 1 PA and 1 PA. Related to 1 PA/2 PA capability. </w:t>
      </w:r>
    </w:p>
    <w:p w:rsidR="00EB0622" w:rsidRDefault="00EB0622" w:rsidP="00EB0622">
      <w:r>
        <w:t xml:space="preserve">Use existing data and maybe collect new data to compare the approaches for the November meeting. </w:t>
      </w:r>
    </w:p>
    <w:p w:rsidR="00A52189" w:rsidRDefault="00A52189"/>
    <w:p w:rsidR="00164037" w:rsidRDefault="00164037"/>
    <w:p w:rsidR="00A27312" w:rsidRDefault="00A27312"/>
    <w:p w:rsidR="00E43D22" w:rsidRDefault="00E43D22"/>
    <w:p w:rsidR="00D25DE9" w:rsidRDefault="00D25DE9"/>
    <w:p w:rsidR="00D25DE9" w:rsidRDefault="00D25DE9"/>
    <w:p w:rsidR="00D25DE9" w:rsidRDefault="00D25DE9"/>
    <w:p w:rsidR="00D25DE9" w:rsidRDefault="00D25DE9"/>
    <w:sectPr w:rsidR="00D25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3E9"/>
    <w:rsid w:val="000A3A58"/>
    <w:rsid w:val="00164037"/>
    <w:rsid w:val="0017095B"/>
    <w:rsid w:val="00183026"/>
    <w:rsid w:val="00220AFD"/>
    <w:rsid w:val="00306BD3"/>
    <w:rsid w:val="00310C5B"/>
    <w:rsid w:val="004B23F4"/>
    <w:rsid w:val="00590EE9"/>
    <w:rsid w:val="005B606F"/>
    <w:rsid w:val="006113B4"/>
    <w:rsid w:val="006903E9"/>
    <w:rsid w:val="008C7B83"/>
    <w:rsid w:val="00A27312"/>
    <w:rsid w:val="00A52189"/>
    <w:rsid w:val="00A61E3C"/>
    <w:rsid w:val="00AE4177"/>
    <w:rsid w:val="00B054CE"/>
    <w:rsid w:val="00D25DE9"/>
    <w:rsid w:val="00E43D22"/>
    <w:rsid w:val="00E872D7"/>
    <w:rsid w:val="00EB0622"/>
    <w:rsid w:val="00EF344F"/>
    <w:rsid w:val="00F37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C718FE-C11B-4132-89A8-F91E3F46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F6C6-8497-41DC-80D1-D580F1C9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Sprint</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Sprint</dc:creator>
  <cp:keywords/>
  <dc:description/>
  <cp:lastModifiedBy>Sprint</cp:lastModifiedBy>
  <cp:revision>11</cp:revision>
  <dcterms:created xsi:type="dcterms:W3CDTF">2018-10-10T11:23:00Z</dcterms:created>
  <dcterms:modified xsi:type="dcterms:W3CDTF">2018-10-12T03:40:00Z</dcterms:modified>
</cp:coreProperties>
</file>