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6AA2" w:rsidRPr="00AB32C7" w:rsidRDefault="00446AA2" w:rsidP="00446AA2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/>
        </w:rPr>
      </w:pP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>3GPP TSG-RAN WG4 Meeting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 xml:space="preserve"> </w:t>
      </w:r>
      <w:r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RAN4#88</w:t>
      </w:r>
      <w:r w:rsidR="0094621B"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bis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 xml:space="preserve">                           </w:t>
      </w:r>
      <w:r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 xml:space="preserve">                    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>R4-1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>8</w:t>
      </w:r>
      <w:r w:rsidR="00F060C4"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12476</w:t>
      </w:r>
    </w:p>
    <w:p w:rsidR="00446AA2" w:rsidRPr="00AB32C7" w:rsidRDefault="0094621B" w:rsidP="00446AA2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/>
        </w:rPr>
      </w:pPr>
      <w:r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Chengdu</w:t>
      </w:r>
      <w:r w:rsidR="00446AA2"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 xml:space="preserve"> </w:t>
      </w:r>
      <w:r w:rsidR="00446AA2"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>,</w:t>
      </w:r>
      <w:r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China</w:t>
      </w:r>
      <w:r w:rsidR="00446AA2"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 xml:space="preserve">, </w:t>
      </w:r>
      <w:r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8</w:t>
      </w:r>
      <w:r w:rsidR="00446AA2"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 xml:space="preserve"> -</w:t>
      </w:r>
      <w:r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12</w:t>
      </w:r>
      <w:r w:rsidR="00446AA2"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 xml:space="preserve"> </w:t>
      </w:r>
      <w:r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Oct</w:t>
      </w:r>
      <w:r w:rsidR="00446AA2"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, 2018</w:t>
      </w:r>
    </w:p>
    <w:p w:rsidR="00446AA2" w:rsidRPr="00AB32C7" w:rsidRDefault="00446AA2" w:rsidP="00446AA2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/>
        </w:rPr>
      </w:pPr>
    </w:p>
    <w:p w:rsidR="00446AA2" w:rsidRPr="00AB32C7" w:rsidRDefault="00446AA2" w:rsidP="00446AA2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</w:pP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>Agenda Item: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 xml:space="preserve">  </w:t>
      </w:r>
      <w:r w:rsidR="00F060C4"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 xml:space="preserve"> 7.13.1.3</w:t>
      </w:r>
    </w:p>
    <w:p w:rsidR="00446AA2" w:rsidRPr="00AB32C7" w:rsidRDefault="00446AA2" w:rsidP="00446AA2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</w:pP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 xml:space="preserve">Source: 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 xml:space="preserve">       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>Samsung</w:t>
      </w:r>
    </w:p>
    <w:p w:rsidR="00446AA2" w:rsidRPr="00AB32C7" w:rsidRDefault="00446AA2" w:rsidP="00446AA2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</w:pP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 xml:space="preserve">Title: 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 xml:space="preserve">         </w:t>
      </w:r>
      <w:r w:rsidR="00F060C4" w:rsidRPr="00F060C4">
        <w:rPr>
          <w:rFonts w:eastAsia="宋体" w:cs="Times New Roman"/>
          <w:b/>
          <w:noProof/>
          <w:kern w:val="0"/>
          <w:sz w:val="20"/>
          <w:szCs w:val="20"/>
          <w:lang w:val="en-GB"/>
        </w:rPr>
        <w:t>Analysis on PBCH with 4Rx</w:t>
      </w:r>
    </w:p>
    <w:p w:rsidR="00446AA2" w:rsidRPr="00AB32C7" w:rsidRDefault="00446AA2" w:rsidP="00446AA2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/>
        </w:rPr>
      </w:pP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>Document for: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 xml:space="preserve">  Discussion</w:t>
      </w:r>
    </w:p>
    <w:p w:rsidR="00FF76F4" w:rsidRDefault="00FF76F4" w:rsidP="00FF76F4">
      <w:pPr>
        <w:pStyle w:val="Heading1"/>
        <w:tabs>
          <w:tab w:val="left" w:pos="9781"/>
        </w:tabs>
        <w:ind w:right="-28"/>
        <w:jc w:val="both"/>
        <w:rPr>
          <w:rFonts w:asciiTheme="minorHAnsi" w:hAnsiTheme="minorHAnsi" w:cs="Arial" w:hint="eastAsia"/>
          <w:b/>
          <w:sz w:val="20"/>
          <w:lang w:eastAsia="zh-CN"/>
        </w:rPr>
      </w:pPr>
      <w:r w:rsidRPr="00EA30A2">
        <w:rPr>
          <w:rFonts w:asciiTheme="minorHAnsi" w:hAnsiTheme="minorHAnsi" w:cs="Arial"/>
          <w:b/>
          <w:sz w:val="20"/>
        </w:rPr>
        <w:t>Introduction</w:t>
      </w:r>
    </w:p>
    <w:p w:rsidR="00F060C4" w:rsidRDefault="00F060C4" w:rsidP="00F060C4">
      <w:pPr>
        <w:rPr>
          <w:rFonts w:hint="eastAsia"/>
          <w:lang w:val="en-GB"/>
        </w:rPr>
      </w:pPr>
      <w:r>
        <w:rPr>
          <w:rFonts w:hint="eastAsia"/>
          <w:lang w:val="en-GB"/>
        </w:rPr>
        <w:t xml:space="preserve">Recently, RAN4 has discussed introducing NR PBCH requirements. One of major open issues is whether </w:t>
      </w:r>
      <w:r>
        <w:rPr>
          <w:lang w:val="en-GB"/>
        </w:rPr>
        <w:t>introducing</w:t>
      </w:r>
      <w:r>
        <w:rPr>
          <w:rFonts w:hint="eastAsia"/>
          <w:lang w:val="en-GB"/>
        </w:rPr>
        <w:t xml:space="preserve"> 4Rx </w:t>
      </w:r>
      <w:r>
        <w:rPr>
          <w:lang w:val="en-GB"/>
        </w:rPr>
        <w:t>requirements</w:t>
      </w:r>
      <w:r>
        <w:rPr>
          <w:rFonts w:hint="eastAsia"/>
          <w:lang w:val="en-GB"/>
        </w:rPr>
        <w:t xml:space="preserve">, and whether </w:t>
      </w:r>
      <w:r>
        <w:rPr>
          <w:lang w:val="en-GB"/>
        </w:rPr>
        <w:t>mandate UE to support 4Rx under certain conditions.</w:t>
      </w:r>
      <w:r>
        <w:rPr>
          <w:rFonts w:hint="eastAsia"/>
          <w:lang w:val="en-GB"/>
        </w:rPr>
        <w:t xml:space="preserve"> In </w:t>
      </w:r>
      <w:r>
        <w:rPr>
          <w:lang w:val="en-GB"/>
        </w:rPr>
        <w:t>this contribution</w:t>
      </w:r>
      <w:r>
        <w:rPr>
          <w:rFonts w:hint="eastAsia"/>
          <w:lang w:val="en-GB"/>
        </w:rPr>
        <w:t>, we try to resolve below questions:</w:t>
      </w:r>
    </w:p>
    <w:p w:rsidR="00F060C4" w:rsidRPr="00F060C4" w:rsidRDefault="00F060C4" w:rsidP="00F060C4">
      <w:pPr>
        <w:pStyle w:val="ListParagraph"/>
        <w:numPr>
          <w:ilvl w:val="0"/>
          <w:numId w:val="48"/>
        </w:numPr>
        <w:ind w:firstLineChars="0"/>
        <w:rPr>
          <w:rFonts w:asciiTheme="minorHAnsi" w:hAnsiTheme="minorHAnsi" w:cs="Arial" w:hint="eastAsia"/>
          <w:sz w:val="20"/>
          <w:szCs w:val="20"/>
          <w:lang w:val="en-GB"/>
        </w:rPr>
      </w:pPr>
      <w:r w:rsidRPr="00F060C4">
        <w:rPr>
          <w:rFonts w:asciiTheme="minorHAnsi" w:hAnsiTheme="minorHAnsi"/>
          <w:sz w:val="20"/>
          <w:szCs w:val="20"/>
          <w:lang w:val="en-GB"/>
        </w:rPr>
        <w:t>Q1:</w:t>
      </w:r>
      <w:r w:rsidRPr="00F060C4">
        <w:rPr>
          <w:rFonts w:asciiTheme="minorHAnsi" w:hAnsiTheme="minorHAnsi" w:cs="Arial" w:hint="eastAsia"/>
          <w:sz w:val="20"/>
          <w:szCs w:val="20"/>
          <w:lang w:val="en-GB"/>
        </w:rPr>
        <w:t xml:space="preserve"> What</w:t>
      </w:r>
      <w:r w:rsidRPr="00F060C4">
        <w:rPr>
          <w:rFonts w:asciiTheme="minorHAnsi" w:hAnsiTheme="minorHAnsi" w:cs="Arial"/>
          <w:sz w:val="20"/>
          <w:szCs w:val="20"/>
          <w:lang w:val="en-GB"/>
        </w:rPr>
        <w:t>’</w:t>
      </w:r>
      <w:r w:rsidRPr="00F060C4">
        <w:rPr>
          <w:rFonts w:asciiTheme="minorHAnsi" w:hAnsiTheme="minorHAnsi" w:cs="Arial" w:hint="eastAsia"/>
          <w:sz w:val="20"/>
          <w:szCs w:val="20"/>
          <w:lang w:val="en-GB"/>
        </w:rPr>
        <w:t>s previous RAN agreements for mandating 4Rx</w:t>
      </w:r>
    </w:p>
    <w:p w:rsidR="00F060C4" w:rsidRPr="00F060C4" w:rsidRDefault="00F060C4" w:rsidP="00F060C4">
      <w:pPr>
        <w:pStyle w:val="ListParagraph"/>
        <w:numPr>
          <w:ilvl w:val="0"/>
          <w:numId w:val="48"/>
        </w:numPr>
        <w:ind w:firstLineChars="0"/>
        <w:rPr>
          <w:rFonts w:asciiTheme="minorHAnsi" w:hAnsiTheme="minorHAnsi" w:cs="Arial" w:hint="eastAsia"/>
          <w:sz w:val="20"/>
          <w:szCs w:val="20"/>
          <w:lang w:val="en-GB"/>
        </w:rPr>
      </w:pPr>
      <w:r w:rsidRPr="00F060C4">
        <w:rPr>
          <w:rFonts w:asciiTheme="minorHAnsi" w:hAnsiTheme="minorHAnsi" w:hint="eastAsia"/>
          <w:sz w:val="20"/>
          <w:szCs w:val="20"/>
          <w:lang w:val="en-GB"/>
        </w:rPr>
        <w:t>Q2:</w:t>
      </w:r>
      <w:r w:rsidRPr="00F060C4">
        <w:rPr>
          <w:rFonts w:asciiTheme="minorHAnsi" w:hAnsiTheme="minorHAnsi" w:cs="Arial" w:hint="eastAsia"/>
          <w:sz w:val="20"/>
          <w:szCs w:val="20"/>
          <w:lang w:val="en-GB"/>
        </w:rPr>
        <w:t xml:space="preserve"> What</w:t>
      </w:r>
      <w:r w:rsidRPr="00F060C4">
        <w:rPr>
          <w:rFonts w:asciiTheme="minorHAnsi" w:hAnsiTheme="minorHAnsi" w:cs="Arial"/>
          <w:sz w:val="20"/>
          <w:szCs w:val="20"/>
          <w:lang w:val="en-GB"/>
        </w:rPr>
        <w:t>’</w:t>
      </w:r>
      <w:r w:rsidRPr="00F060C4">
        <w:rPr>
          <w:rFonts w:asciiTheme="minorHAnsi" w:hAnsiTheme="minorHAnsi" w:cs="Arial" w:hint="eastAsia"/>
          <w:sz w:val="20"/>
          <w:szCs w:val="20"/>
          <w:lang w:val="en-GB"/>
        </w:rPr>
        <w:t xml:space="preserve">s the benefit of </w:t>
      </w:r>
      <w:r w:rsidRPr="00F060C4">
        <w:rPr>
          <w:rFonts w:asciiTheme="minorHAnsi" w:hAnsiTheme="minorHAnsi" w:cs="Arial"/>
          <w:sz w:val="20"/>
          <w:szCs w:val="20"/>
          <w:lang w:val="en-GB"/>
        </w:rPr>
        <w:t>mandating</w:t>
      </w:r>
      <w:r w:rsidRPr="00F060C4">
        <w:rPr>
          <w:rFonts w:asciiTheme="minorHAnsi" w:hAnsiTheme="minorHAnsi" w:cs="Arial" w:hint="eastAsia"/>
          <w:sz w:val="20"/>
          <w:szCs w:val="20"/>
          <w:lang w:val="en-GB"/>
        </w:rPr>
        <w:t xml:space="preserve"> 4Rx for PBCH </w:t>
      </w:r>
      <w:r w:rsidR="00884C00">
        <w:rPr>
          <w:rFonts w:asciiTheme="minorHAnsi" w:hAnsiTheme="minorHAnsi" w:cs="Arial"/>
          <w:sz w:val="20"/>
          <w:szCs w:val="20"/>
          <w:lang w:val="en-GB"/>
        </w:rPr>
        <w:t>demodulation</w:t>
      </w:r>
    </w:p>
    <w:p w:rsidR="00F060C4" w:rsidRPr="00F060C4" w:rsidRDefault="00F060C4" w:rsidP="00F060C4">
      <w:pPr>
        <w:pStyle w:val="ListParagraph"/>
        <w:numPr>
          <w:ilvl w:val="0"/>
          <w:numId w:val="48"/>
        </w:numPr>
        <w:ind w:firstLineChars="0"/>
        <w:rPr>
          <w:rFonts w:asciiTheme="minorHAnsi" w:hAnsiTheme="minorHAnsi" w:cs="Arial"/>
          <w:sz w:val="20"/>
          <w:szCs w:val="20"/>
          <w:lang w:val="en-GB"/>
        </w:rPr>
      </w:pPr>
      <w:r w:rsidRPr="00F060C4">
        <w:rPr>
          <w:rFonts w:asciiTheme="minorHAnsi" w:hAnsiTheme="minorHAnsi" w:hint="eastAsia"/>
          <w:sz w:val="20"/>
          <w:szCs w:val="20"/>
          <w:lang w:val="en-GB"/>
        </w:rPr>
        <w:t>Q3:</w:t>
      </w:r>
      <w:r w:rsidRPr="00F060C4">
        <w:rPr>
          <w:rFonts w:asciiTheme="minorHAnsi" w:hAnsiTheme="minorHAnsi" w:cs="Arial" w:hint="eastAsia"/>
          <w:sz w:val="20"/>
          <w:szCs w:val="20"/>
          <w:lang w:val="en-GB"/>
        </w:rPr>
        <w:t xml:space="preserve"> What</w:t>
      </w:r>
      <w:r w:rsidRPr="00F060C4">
        <w:rPr>
          <w:rFonts w:asciiTheme="minorHAnsi" w:hAnsiTheme="minorHAnsi" w:cs="Arial"/>
          <w:sz w:val="20"/>
          <w:szCs w:val="20"/>
          <w:lang w:val="en-GB"/>
        </w:rPr>
        <w:t>’</w:t>
      </w:r>
      <w:r w:rsidRPr="00F060C4">
        <w:rPr>
          <w:rFonts w:asciiTheme="minorHAnsi" w:hAnsiTheme="minorHAnsi" w:cs="Arial" w:hint="eastAsia"/>
          <w:sz w:val="20"/>
          <w:szCs w:val="20"/>
          <w:lang w:val="en-GB"/>
        </w:rPr>
        <w:t xml:space="preserve">s the drawback of </w:t>
      </w:r>
      <w:r w:rsidRPr="00F060C4">
        <w:rPr>
          <w:rFonts w:asciiTheme="minorHAnsi" w:hAnsiTheme="minorHAnsi" w:cs="Arial"/>
          <w:sz w:val="20"/>
          <w:szCs w:val="20"/>
          <w:lang w:val="en-GB"/>
        </w:rPr>
        <w:t>mandating</w:t>
      </w:r>
      <w:r w:rsidRPr="00F060C4">
        <w:rPr>
          <w:rFonts w:asciiTheme="minorHAnsi" w:hAnsiTheme="minorHAnsi" w:cs="Arial" w:hint="eastAsia"/>
          <w:sz w:val="20"/>
          <w:szCs w:val="20"/>
          <w:lang w:val="en-GB"/>
        </w:rPr>
        <w:t xml:space="preserve"> 4Rx for PBCH </w:t>
      </w:r>
      <w:r w:rsidR="00884C00">
        <w:rPr>
          <w:rFonts w:asciiTheme="minorHAnsi" w:hAnsiTheme="minorHAnsi" w:cs="Arial" w:hint="eastAsia"/>
          <w:sz w:val="20"/>
          <w:szCs w:val="20"/>
          <w:lang w:val="en-GB"/>
        </w:rPr>
        <w:t>demodulation</w:t>
      </w:r>
    </w:p>
    <w:p w:rsidR="00FF76F4" w:rsidRDefault="00176EA2" w:rsidP="00FF76F4">
      <w:pPr>
        <w:pStyle w:val="Heading1"/>
        <w:rPr>
          <w:rFonts w:asciiTheme="minorHAnsi" w:hAnsiTheme="minorHAnsi" w:cs="Arial"/>
          <w:b/>
          <w:sz w:val="20"/>
          <w:lang w:eastAsia="zh-CN"/>
        </w:rPr>
      </w:pPr>
      <w:r>
        <w:rPr>
          <w:rFonts w:asciiTheme="minorHAnsi" w:hAnsiTheme="minorHAnsi" w:cs="Arial" w:hint="eastAsia"/>
          <w:b/>
          <w:sz w:val="20"/>
          <w:lang w:eastAsia="zh-CN"/>
        </w:rPr>
        <w:t>Discussion</w:t>
      </w:r>
    </w:p>
    <w:p w:rsidR="00F060C4" w:rsidRPr="00C94ECD" w:rsidRDefault="00F060C4" w:rsidP="00F060C4">
      <w:pPr>
        <w:rPr>
          <w:rFonts w:cs="Arial" w:hint="eastAsia"/>
          <w:b/>
          <w:sz w:val="20"/>
          <w:szCs w:val="20"/>
          <w:u w:val="single"/>
          <w:lang w:val="en-GB"/>
        </w:rPr>
      </w:pPr>
      <w:r w:rsidRPr="00C94ECD">
        <w:rPr>
          <w:rFonts w:cs="Arial"/>
          <w:b/>
          <w:sz w:val="20"/>
          <w:szCs w:val="20"/>
          <w:u w:val="single"/>
          <w:lang w:val="en-GB"/>
        </w:rPr>
        <w:t>What are previous RAN agreements</w:t>
      </w:r>
      <w:r w:rsidRPr="00C94ECD">
        <w:rPr>
          <w:rFonts w:cs="Arial" w:hint="eastAsia"/>
          <w:b/>
          <w:sz w:val="20"/>
          <w:szCs w:val="20"/>
          <w:u w:val="single"/>
          <w:lang w:val="en-GB"/>
        </w:rPr>
        <w:t xml:space="preserve"> for mandating 4Rx</w:t>
      </w:r>
      <w:r w:rsidRPr="00C94ECD">
        <w:rPr>
          <w:rFonts w:cs="Arial" w:hint="eastAsia"/>
          <w:b/>
          <w:sz w:val="20"/>
          <w:szCs w:val="20"/>
          <w:u w:val="single"/>
          <w:lang w:val="en-GB"/>
        </w:rPr>
        <w:t>?</w:t>
      </w:r>
    </w:p>
    <w:p w:rsidR="00F060C4" w:rsidRDefault="00F060C4" w:rsidP="00F060C4">
      <w:pPr>
        <w:rPr>
          <w:rFonts w:cs="Arial" w:hint="eastAsia"/>
          <w:sz w:val="20"/>
          <w:szCs w:val="20"/>
          <w:lang w:val="en-GB"/>
        </w:rPr>
      </w:pPr>
      <w:r w:rsidRPr="00F060C4">
        <w:rPr>
          <w:rFonts w:cs="Arial" w:hint="eastAsia"/>
          <w:sz w:val="20"/>
          <w:szCs w:val="20"/>
          <w:lang w:val="en-GB"/>
        </w:rPr>
        <w:t xml:space="preserve">Mandating 4Rx for </w:t>
      </w:r>
      <w:r w:rsidRPr="00F060C4">
        <w:rPr>
          <w:rFonts w:cs="Arial"/>
          <w:sz w:val="20"/>
          <w:szCs w:val="20"/>
          <w:lang w:val="en-GB"/>
        </w:rPr>
        <w:t>certain</w:t>
      </w:r>
      <w:r w:rsidRPr="00F060C4">
        <w:rPr>
          <w:rFonts w:cs="Arial" w:hint="eastAsia"/>
          <w:sz w:val="20"/>
          <w:szCs w:val="20"/>
          <w:lang w:val="en-GB"/>
        </w:rPr>
        <w:t xml:space="preserve"> NR bands were agreed in RP-172788</w:t>
      </w:r>
      <w:r>
        <w:rPr>
          <w:rFonts w:cs="Arial" w:hint="eastAsia"/>
          <w:sz w:val="20"/>
          <w:szCs w:val="20"/>
          <w:lang w:val="en-GB"/>
        </w:rPr>
        <w:t xml:space="preserve"> as copied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F060C4" w:rsidTr="00F060C4">
        <w:tc>
          <w:tcPr>
            <w:tcW w:w="9962" w:type="dxa"/>
          </w:tcPr>
          <w:p w:rsidR="006A0C13" w:rsidRPr="006A0C13" w:rsidRDefault="006A0C13" w:rsidP="006A0C13">
            <w:pPr>
              <w:pStyle w:val="ListParagraph"/>
              <w:widowControl w:val="0"/>
              <w:numPr>
                <w:ilvl w:val="0"/>
                <w:numId w:val="49"/>
              </w:numPr>
              <w:spacing w:after="120"/>
              <w:ind w:firstLineChars="0" w:hanging="357"/>
              <w:jc w:val="both"/>
              <w:rPr>
                <w:rFonts w:asciiTheme="minorHAnsi" w:hAnsiTheme="minorHAnsi"/>
                <w:i/>
                <w:sz w:val="18"/>
                <w:szCs w:val="18"/>
              </w:rPr>
            </w:pPr>
            <w:r w:rsidRPr="006A0C13">
              <w:rPr>
                <w:rFonts w:asciiTheme="minorHAnsi" w:hAnsiTheme="minorHAnsi"/>
                <w:i/>
                <w:sz w:val="18"/>
                <w:szCs w:val="18"/>
                <w:lang w:val="sv-SE"/>
              </w:rPr>
              <w:t xml:space="preserve">UE </w:t>
            </w:r>
            <w:r w:rsidRPr="006A0C13">
              <w:rPr>
                <w:rFonts w:asciiTheme="minorHAnsi" w:hAnsiTheme="minorHAnsi"/>
                <w:i/>
                <w:sz w:val="18"/>
                <w:szCs w:val="18"/>
              </w:rPr>
              <w:t xml:space="preserve">equipped with 4Rx ports as a baseline shall fulfil all 4Rx demodulation performance requirements defined for </w:t>
            </w:r>
            <w:r w:rsidRPr="006A0C13">
              <w:rPr>
                <w:rFonts w:asciiTheme="minorHAnsi" w:hAnsiTheme="minorHAnsi"/>
                <w:i/>
                <w:sz w:val="18"/>
                <w:szCs w:val="18"/>
                <w:highlight w:val="yellow"/>
              </w:rPr>
              <w:t>downlink data and control</w:t>
            </w:r>
          </w:p>
          <w:p w:rsidR="006A0C13" w:rsidRPr="006A0C13" w:rsidRDefault="006A0C13" w:rsidP="006A0C13">
            <w:pPr>
              <w:pStyle w:val="ListParagraph"/>
              <w:widowControl w:val="0"/>
              <w:numPr>
                <w:ilvl w:val="0"/>
                <w:numId w:val="50"/>
              </w:numPr>
              <w:spacing w:after="120"/>
              <w:ind w:firstLineChars="0" w:hanging="357"/>
              <w:jc w:val="both"/>
              <w:rPr>
                <w:rFonts w:asciiTheme="minorHAnsi" w:hAnsiTheme="minorHAnsi"/>
                <w:i/>
                <w:sz w:val="18"/>
                <w:szCs w:val="18"/>
              </w:rPr>
            </w:pPr>
            <w:r w:rsidRPr="006A0C13">
              <w:rPr>
                <w:rFonts w:asciiTheme="minorHAnsi" w:hAnsiTheme="minorHAnsi"/>
                <w:i/>
                <w:sz w:val="18"/>
                <w:szCs w:val="18"/>
              </w:rPr>
              <w:t>Fall back to 2Rx shall be allowed to save power</w:t>
            </w:r>
          </w:p>
          <w:p w:rsidR="006A0C13" w:rsidRPr="006A0C13" w:rsidRDefault="006A0C13" w:rsidP="006A0C13">
            <w:pPr>
              <w:pStyle w:val="ListParagraph"/>
              <w:widowControl w:val="0"/>
              <w:numPr>
                <w:ilvl w:val="0"/>
                <w:numId w:val="50"/>
              </w:numPr>
              <w:spacing w:after="120"/>
              <w:ind w:firstLineChars="0" w:hanging="357"/>
              <w:jc w:val="both"/>
              <w:rPr>
                <w:rFonts w:asciiTheme="minorHAnsi" w:hAnsiTheme="minorHAnsi"/>
                <w:i/>
                <w:sz w:val="18"/>
                <w:szCs w:val="18"/>
                <w:highlight w:val="yellow"/>
              </w:rPr>
            </w:pPr>
            <w:r w:rsidRPr="006A0C13">
              <w:rPr>
                <w:rFonts w:asciiTheme="minorHAnsi" w:hAnsiTheme="minorHAnsi"/>
                <w:i/>
                <w:sz w:val="18"/>
                <w:szCs w:val="18"/>
                <w:highlight w:val="yellow"/>
              </w:rPr>
              <w:t>RRM Requirements will be based on 2Rx</w:t>
            </w:r>
          </w:p>
          <w:p w:rsidR="006A0C13" w:rsidRPr="006A0C13" w:rsidRDefault="006A0C13" w:rsidP="006A0C13">
            <w:pPr>
              <w:pStyle w:val="ListParagraph"/>
              <w:widowControl w:val="0"/>
              <w:numPr>
                <w:ilvl w:val="1"/>
                <w:numId w:val="50"/>
              </w:numPr>
              <w:spacing w:after="120"/>
              <w:ind w:firstLineChars="0" w:hanging="357"/>
              <w:jc w:val="both"/>
              <w:rPr>
                <w:rFonts w:asciiTheme="minorHAnsi" w:hAnsiTheme="minorHAnsi"/>
                <w:i/>
                <w:sz w:val="18"/>
                <w:szCs w:val="18"/>
                <w:highlight w:val="yellow"/>
              </w:rPr>
            </w:pPr>
            <w:r w:rsidRPr="006A0C13">
              <w:rPr>
                <w:rFonts w:asciiTheme="minorHAnsi" w:hAnsiTheme="minorHAnsi"/>
                <w:i/>
                <w:sz w:val="18"/>
                <w:szCs w:val="18"/>
                <w:highlight w:val="yellow"/>
              </w:rPr>
              <w:t>RLM requirements shall be defined based on both 2Rx and 4Rx</w:t>
            </w:r>
          </w:p>
          <w:p w:rsidR="006A0C13" w:rsidRPr="00703BF5" w:rsidRDefault="006A0C13" w:rsidP="006A0C13">
            <w:pPr>
              <w:pStyle w:val="ListParagraph"/>
              <w:widowControl w:val="0"/>
              <w:numPr>
                <w:ilvl w:val="1"/>
                <w:numId w:val="50"/>
              </w:numPr>
              <w:spacing w:after="120"/>
              <w:ind w:firstLineChars="0" w:hanging="357"/>
              <w:jc w:val="both"/>
              <w:rPr>
                <w:rFonts w:asciiTheme="minorHAnsi" w:hAnsiTheme="minorHAnsi"/>
                <w:i/>
                <w:sz w:val="18"/>
                <w:szCs w:val="18"/>
                <w:highlight w:val="yellow"/>
              </w:rPr>
            </w:pPr>
            <w:r w:rsidRPr="00703BF5">
              <w:rPr>
                <w:rFonts w:asciiTheme="minorHAnsi" w:hAnsiTheme="minorHAnsi"/>
                <w:i/>
                <w:sz w:val="18"/>
                <w:szCs w:val="18"/>
                <w:highlight w:val="yellow"/>
              </w:rPr>
              <w:t>The proper antenna connection similar to LTE (defined in A.3.8.1 of TS36.133) will be defined to make 2Rx based RRM tests be applicable to NR UE equipped with 4Rx port.</w:t>
            </w:r>
          </w:p>
          <w:p w:rsidR="00F060C4" w:rsidRPr="006A0C13" w:rsidRDefault="006A0C13" w:rsidP="00F060C4">
            <w:pPr>
              <w:pStyle w:val="ListParagraph"/>
              <w:widowControl w:val="0"/>
              <w:numPr>
                <w:ilvl w:val="0"/>
                <w:numId w:val="50"/>
              </w:numPr>
              <w:spacing w:after="120"/>
              <w:ind w:firstLineChars="0"/>
              <w:jc w:val="both"/>
              <w:rPr>
                <w:rFonts w:hint="eastAsia"/>
                <w:i/>
                <w:sz w:val="18"/>
              </w:rPr>
            </w:pPr>
            <w:r w:rsidRPr="006A0C13">
              <w:rPr>
                <w:rFonts w:asciiTheme="minorHAnsi" w:hAnsiTheme="minorHAnsi"/>
                <w:i/>
                <w:sz w:val="18"/>
                <w:szCs w:val="18"/>
                <w:lang w:eastAsia="en-US"/>
              </w:rPr>
              <w:t>The baseline Rx antenna port assumption for LTE operation for the UE is as defined in 36 series specifications today</w:t>
            </w:r>
          </w:p>
        </w:tc>
      </w:tr>
    </w:tbl>
    <w:p w:rsidR="00F060C4" w:rsidRPr="00F060C4" w:rsidRDefault="00F060C4" w:rsidP="00F060C4">
      <w:pPr>
        <w:rPr>
          <w:rFonts w:cs="Arial" w:hint="eastAsia"/>
          <w:sz w:val="20"/>
          <w:szCs w:val="20"/>
          <w:lang w:val="en-GB"/>
        </w:rPr>
      </w:pPr>
    </w:p>
    <w:p w:rsidR="000325B2" w:rsidRDefault="006A0C13" w:rsidP="00F060C4">
      <w:pPr>
        <w:rPr>
          <w:rFonts w:hint="eastAsia"/>
          <w:lang w:val="en-GB"/>
        </w:rPr>
      </w:pPr>
      <w:r>
        <w:rPr>
          <w:rFonts w:hint="eastAsia"/>
          <w:lang w:val="en-GB"/>
        </w:rPr>
        <w:t>It</w:t>
      </w:r>
      <w:r>
        <w:rPr>
          <w:lang w:val="en-GB"/>
        </w:rPr>
        <w:t>’</w:t>
      </w:r>
      <w:r>
        <w:rPr>
          <w:rFonts w:hint="eastAsia"/>
          <w:lang w:val="en-GB"/>
        </w:rPr>
        <w:t xml:space="preserve">s </w:t>
      </w:r>
      <w:r>
        <w:rPr>
          <w:lang w:val="en-GB"/>
        </w:rPr>
        <w:t>clearly</w:t>
      </w:r>
      <w:r>
        <w:rPr>
          <w:rFonts w:hint="eastAsia"/>
          <w:lang w:val="en-GB"/>
        </w:rPr>
        <w:t xml:space="preserve"> captured mandating 4Rx only for demodulation of data and control channel. Another coming up question, whether control containing PBCH? Refer to RAN1 specification for physical layer channels </w:t>
      </w:r>
      <w:r>
        <w:rPr>
          <w:lang w:val="en-GB"/>
        </w:rPr>
        <w:t>definition</w:t>
      </w:r>
      <w:r>
        <w:rPr>
          <w:rFonts w:hint="eastAsia"/>
          <w:lang w:val="en-GB"/>
        </w:rPr>
        <w:t xml:space="preserve"> as copied below:</w:t>
      </w:r>
    </w:p>
    <w:p w:rsidR="006A0C13" w:rsidRDefault="00C94ECD" w:rsidP="00C94ECD">
      <w:pPr>
        <w:jc w:val="center"/>
        <w:rPr>
          <w:rFonts w:hint="eastAsia"/>
          <w:lang w:val="en-GB"/>
        </w:rPr>
      </w:pPr>
      <w:bookmarkStart w:id="0" w:name="_GoBack"/>
      <w:r>
        <w:rPr>
          <w:noProof/>
        </w:rPr>
        <w:drawing>
          <wp:inline distT="0" distB="0" distL="0" distR="0" wp14:anchorId="362A02A4" wp14:editId="0DEEAA55">
            <wp:extent cx="5486400" cy="15240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152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C94ECD" w:rsidRDefault="00C94ECD" w:rsidP="00C94ECD">
      <w:pPr>
        <w:jc w:val="left"/>
        <w:rPr>
          <w:rFonts w:hint="eastAsia"/>
          <w:lang w:val="en-GB"/>
        </w:rPr>
      </w:pPr>
      <w:r>
        <w:rPr>
          <w:rFonts w:hint="eastAsia"/>
          <w:lang w:val="en-GB"/>
        </w:rPr>
        <w:t>It</w:t>
      </w:r>
      <w:r>
        <w:rPr>
          <w:lang w:val="en-GB"/>
        </w:rPr>
        <w:t>’</w:t>
      </w:r>
      <w:r>
        <w:rPr>
          <w:rFonts w:hint="eastAsia"/>
          <w:lang w:val="en-GB"/>
        </w:rPr>
        <w:t xml:space="preserve">s clearly specified in RAN1 specification, Broadcast channel (PBCH), Control channel (PDCCH) and Shared channel (PDSCH) are separate </w:t>
      </w:r>
      <w:r>
        <w:rPr>
          <w:lang w:val="en-GB"/>
        </w:rPr>
        <w:t>physical</w:t>
      </w:r>
      <w:r>
        <w:rPr>
          <w:rFonts w:hint="eastAsia"/>
          <w:lang w:val="en-GB"/>
        </w:rPr>
        <w:t xml:space="preserve"> layer channels under same level.</w:t>
      </w:r>
    </w:p>
    <w:p w:rsidR="00C94ECD" w:rsidRPr="00C94ECD" w:rsidRDefault="00C94ECD" w:rsidP="00C94ECD">
      <w:pPr>
        <w:jc w:val="left"/>
        <w:rPr>
          <w:rFonts w:hint="eastAsia"/>
          <w:b/>
          <w:sz w:val="20"/>
          <w:szCs w:val="20"/>
          <w:lang w:val="en-GB"/>
        </w:rPr>
      </w:pPr>
      <w:r w:rsidRPr="00C94ECD">
        <w:rPr>
          <w:b/>
          <w:sz w:val="20"/>
          <w:szCs w:val="20"/>
          <w:lang w:val="en-GB"/>
        </w:rPr>
        <w:lastRenderedPageBreak/>
        <w:t xml:space="preserve"> </w:t>
      </w:r>
      <w:r w:rsidRPr="00C94ECD">
        <w:rPr>
          <w:rFonts w:hint="eastAsia"/>
          <w:b/>
          <w:sz w:val="20"/>
          <w:szCs w:val="20"/>
          <w:lang w:val="en-GB"/>
        </w:rPr>
        <w:t>Observation 1: RAN plenary only agreed to mandate 4Rx demodulation of control channel (PDCCH) and data channel (PDSCH).</w:t>
      </w:r>
    </w:p>
    <w:p w:rsidR="00C94ECD" w:rsidRDefault="00C94ECD" w:rsidP="00C94ECD">
      <w:pPr>
        <w:jc w:val="left"/>
        <w:rPr>
          <w:rFonts w:hint="eastAsia"/>
          <w:b/>
          <w:sz w:val="20"/>
          <w:szCs w:val="20"/>
          <w:lang w:val="en-GB"/>
        </w:rPr>
      </w:pPr>
      <w:r w:rsidRPr="00C94ECD">
        <w:rPr>
          <w:rFonts w:hint="eastAsia"/>
          <w:b/>
          <w:sz w:val="20"/>
          <w:szCs w:val="20"/>
          <w:lang w:val="en-GB"/>
        </w:rPr>
        <w:t xml:space="preserve"> Observation 2: Following RAN1 specification, control </w:t>
      </w:r>
      <w:r w:rsidRPr="00C94ECD">
        <w:rPr>
          <w:b/>
          <w:sz w:val="20"/>
          <w:szCs w:val="20"/>
          <w:lang w:val="en-GB"/>
        </w:rPr>
        <w:t>channel (</w:t>
      </w:r>
      <w:r w:rsidRPr="00C94ECD">
        <w:rPr>
          <w:rFonts w:hint="eastAsia"/>
          <w:b/>
          <w:sz w:val="20"/>
          <w:szCs w:val="20"/>
          <w:lang w:val="en-GB"/>
        </w:rPr>
        <w:t xml:space="preserve">PDCCH) and broadcast channel (PBCH) are </w:t>
      </w:r>
      <w:r w:rsidRPr="00C94ECD">
        <w:rPr>
          <w:rFonts w:hint="eastAsia"/>
          <w:b/>
          <w:sz w:val="20"/>
          <w:szCs w:val="20"/>
          <w:lang w:val="en-GB"/>
        </w:rPr>
        <w:t xml:space="preserve">separate </w:t>
      </w:r>
      <w:r w:rsidRPr="00C94ECD">
        <w:rPr>
          <w:b/>
          <w:sz w:val="20"/>
          <w:szCs w:val="20"/>
          <w:lang w:val="en-GB"/>
        </w:rPr>
        <w:t>physical</w:t>
      </w:r>
      <w:r w:rsidRPr="00C94ECD">
        <w:rPr>
          <w:rFonts w:hint="eastAsia"/>
          <w:b/>
          <w:sz w:val="20"/>
          <w:szCs w:val="20"/>
          <w:lang w:val="en-GB"/>
        </w:rPr>
        <w:t xml:space="preserve"> channel.</w:t>
      </w:r>
    </w:p>
    <w:p w:rsidR="00C94ECD" w:rsidRDefault="00C94ECD" w:rsidP="00C94ECD">
      <w:pPr>
        <w:jc w:val="left"/>
        <w:rPr>
          <w:rFonts w:cs="Arial" w:hint="eastAsia"/>
          <w:b/>
          <w:sz w:val="20"/>
          <w:szCs w:val="20"/>
          <w:u w:val="single"/>
          <w:lang w:val="en-GB"/>
        </w:rPr>
      </w:pPr>
      <w:r w:rsidRPr="00C94ECD">
        <w:rPr>
          <w:rFonts w:cs="Arial" w:hint="eastAsia"/>
          <w:b/>
          <w:sz w:val="20"/>
          <w:szCs w:val="20"/>
          <w:u w:val="single"/>
          <w:lang w:val="en-GB"/>
        </w:rPr>
        <w:t>What</w:t>
      </w:r>
      <w:r w:rsidRPr="00C94ECD">
        <w:rPr>
          <w:rFonts w:cs="Arial"/>
          <w:b/>
          <w:sz w:val="20"/>
          <w:szCs w:val="20"/>
          <w:u w:val="single"/>
          <w:lang w:val="en-GB"/>
        </w:rPr>
        <w:t>’</w:t>
      </w:r>
      <w:r w:rsidRPr="00C94ECD">
        <w:rPr>
          <w:rFonts w:cs="Arial" w:hint="eastAsia"/>
          <w:b/>
          <w:sz w:val="20"/>
          <w:szCs w:val="20"/>
          <w:u w:val="single"/>
          <w:lang w:val="en-GB"/>
        </w:rPr>
        <w:t xml:space="preserve">s the benefit of </w:t>
      </w:r>
      <w:r w:rsidRPr="00C94ECD">
        <w:rPr>
          <w:rFonts w:cs="Arial"/>
          <w:b/>
          <w:sz w:val="20"/>
          <w:szCs w:val="20"/>
          <w:u w:val="single"/>
          <w:lang w:val="en-GB"/>
        </w:rPr>
        <w:t>mandating</w:t>
      </w:r>
      <w:r w:rsidRPr="00C94ECD">
        <w:rPr>
          <w:rFonts w:cs="Arial" w:hint="eastAsia"/>
          <w:b/>
          <w:sz w:val="20"/>
          <w:szCs w:val="20"/>
          <w:u w:val="single"/>
          <w:lang w:val="en-GB"/>
        </w:rPr>
        <w:t xml:space="preserve"> 4Rx for PBCH </w:t>
      </w:r>
      <w:proofErr w:type="spellStart"/>
      <w:proofErr w:type="gramStart"/>
      <w:r w:rsidR="00703BF5">
        <w:rPr>
          <w:rFonts w:cs="Arial" w:hint="eastAsia"/>
          <w:b/>
          <w:sz w:val="20"/>
          <w:szCs w:val="20"/>
          <w:u w:val="single"/>
          <w:lang w:val="en-GB"/>
        </w:rPr>
        <w:t>d</w:t>
      </w:r>
      <w:r w:rsidR="00884C00">
        <w:rPr>
          <w:rFonts w:cs="Arial" w:hint="eastAsia"/>
          <w:b/>
          <w:sz w:val="20"/>
          <w:szCs w:val="20"/>
          <w:u w:val="single"/>
          <w:lang w:val="en-GB"/>
        </w:rPr>
        <w:t>edmoualtion</w:t>
      </w:r>
      <w:proofErr w:type="spellEnd"/>
      <w:proofErr w:type="gramEnd"/>
    </w:p>
    <w:p w:rsidR="00C94ECD" w:rsidRPr="00884C00" w:rsidRDefault="00C94ECD" w:rsidP="00C94ECD">
      <w:pPr>
        <w:jc w:val="left"/>
        <w:rPr>
          <w:rFonts w:cs="Arial" w:hint="eastAsia"/>
          <w:sz w:val="20"/>
          <w:szCs w:val="20"/>
          <w:lang w:val="en-GB"/>
        </w:rPr>
      </w:pPr>
      <w:r w:rsidRPr="00884C00">
        <w:rPr>
          <w:rFonts w:cs="Arial" w:hint="eastAsia"/>
          <w:sz w:val="20"/>
          <w:szCs w:val="20"/>
          <w:lang w:val="en-GB"/>
        </w:rPr>
        <w:t xml:space="preserve">Based on discussion in previous RAN4 discussion, the major </w:t>
      </w:r>
      <w:r w:rsidRPr="00884C00">
        <w:rPr>
          <w:rFonts w:cs="Arial"/>
          <w:sz w:val="20"/>
          <w:szCs w:val="20"/>
          <w:lang w:val="en-GB"/>
        </w:rPr>
        <w:t>motivation</w:t>
      </w:r>
      <w:r w:rsidRPr="00884C00">
        <w:rPr>
          <w:rFonts w:cs="Arial" w:hint="eastAsia"/>
          <w:sz w:val="20"/>
          <w:szCs w:val="20"/>
          <w:lang w:val="en-GB"/>
        </w:rPr>
        <w:t xml:space="preserve"> of mandating 4Rx for PBCH decoding was </w:t>
      </w:r>
      <w:r w:rsidR="00884C00" w:rsidRPr="00884C00">
        <w:rPr>
          <w:rFonts w:cs="Arial" w:hint="eastAsia"/>
          <w:sz w:val="20"/>
          <w:szCs w:val="20"/>
          <w:lang w:val="en-GB"/>
        </w:rPr>
        <w:t>to improve cell coverage.</w:t>
      </w:r>
    </w:p>
    <w:p w:rsidR="00884C00" w:rsidRDefault="00884C00" w:rsidP="00C94ECD">
      <w:pPr>
        <w:jc w:val="left"/>
        <w:rPr>
          <w:rFonts w:hint="eastAsia"/>
          <w:sz w:val="20"/>
          <w:szCs w:val="20"/>
          <w:lang w:val="en-GB"/>
        </w:rPr>
      </w:pPr>
      <w:r>
        <w:rPr>
          <w:rFonts w:hint="eastAsia"/>
          <w:sz w:val="20"/>
          <w:szCs w:val="20"/>
          <w:lang w:val="en-GB"/>
        </w:rPr>
        <w:t xml:space="preserve">Considering </w:t>
      </w:r>
      <w:r>
        <w:rPr>
          <w:sz w:val="20"/>
          <w:szCs w:val="20"/>
          <w:lang w:val="en-GB"/>
        </w:rPr>
        <w:t>uplink has</w:t>
      </w:r>
      <w:r>
        <w:rPr>
          <w:rFonts w:hint="eastAsia"/>
          <w:sz w:val="20"/>
          <w:szCs w:val="20"/>
          <w:lang w:val="en-GB"/>
        </w:rPr>
        <w:t xml:space="preserve"> </w:t>
      </w:r>
      <w:r>
        <w:rPr>
          <w:sz w:val="20"/>
          <w:szCs w:val="20"/>
          <w:lang w:val="en-GB"/>
        </w:rPr>
        <w:t>transmission</w:t>
      </w:r>
      <w:r>
        <w:rPr>
          <w:rFonts w:hint="eastAsia"/>
          <w:sz w:val="20"/>
          <w:szCs w:val="20"/>
          <w:lang w:val="en-GB"/>
        </w:rPr>
        <w:t xml:space="preserve"> power limitation and DL </w:t>
      </w:r>
      <w:r>
        <w:rPr>
          <w:sz w:val="20"/>
          <w:szCs w:val="20"/>
          <w:lang w:val="en-GB"/>
        </w:rPr>
        <w:t>transmission</w:t>
      </w:r>
      <w:r>
        <w:rPr>
          <w:rFonts w:hint="eastAsia"/>
          <w:sz w:val="20"/>
          <w:szCs w:val="20"/>
          <w:lang w:val="en-GB"/>
        </w:rPr>
        <w:t xml:space="preserve"> can be </w:t>
      </w:r>
      <w:r>
        <w:rPr>
          <w:sz w:val="20"/>
          <w:szCs w:val="20"/>
          <w:lang w:val="en-GB"/>
        </w:rPr>
        <w:t>equipped</w:t>
      </w:r>
      <w:r>
        <w:rPr>
          <w:rFonts w:hint="eastAsia"/>
          <w:sz w:val="20"/>
          <w:szCs w:val="20"/>
          <w:lang w:val="en-GB"/>
        </w:rPr>
        <w:t xml:space="preserve"> with massive antennas to improve DL </w:t>
      </w:r>
      <w:r>
        <w:rPr>
          <w:sz w:val="20"/>
          <w:szCs w:val="20"/>
          <w:lang w:val="en-GB"/>
        </w:rPr>
        <w:t>beam forming</w:t>
      </w:r>
      <w:r>
        <w:rPr>
          <w:rFonts w:hint="eastAsia"/>
          <w:sz w:val="20"/>
          <w:szCs w:val="20"/>
          <w:lang w:val="en-GB"/>
        </w:rPr>
        <w:t xml:space="preserve"> gain, </w:t>
      </w:r>
      <w:r>
        <w:rPr>
          <w:rFonts w:hint="eastAsia"/>
          <w:sz w:val="20"/>
          <w:szCs w:val="20"/>
          <w:lang w:val="en-GB"/>
        </w:rPr>
        <w:t>the major bottleneck for cell coverage was uplink not downlink</w:t>
      </w:r>
      <w:r>
        <w:rPr>
          <w:rFonts w:hint="eastAsia"/>
          <w:sz w:val="20"/>
          <w:szCs w:val="20"/>
          <w:lang w:val="en-GB"/>
        </w:rPr>
        <w:t xml:space="preserve"> b</w:t>
      </w:r>
      <w:r w:rsidRPr="00884C00">
        <w:rPr>
          <w:rFonts w:hint="eastAsia"/>
          <w:sz w:val="20"/>
          <w:szCs w:val="20"/>
          <w:lang w:val="en-GB"/>
        </w:rPr>
        <w:t xml:space="preserve">ased on LTE experience and </w:t>
      </w:r>
      <w:r>
        <w:rPr>
          <w:rFonts w:hint="eastAsia"/>
          <w:sz w:val="20"/>
          <w:szCs w:val="20"/>
          <w:lang w:val="en-GB"/>
        </w:rPr>
        <w:t xml:space="preserve">NR </w:t>
      </w:r>
      <w:r w:rsidRPr="00884C00">
        <w:rPr>
          <w:rFonts w:hint="eastAsia"/>
          <w:sz w:val="20"/>
          <w:szCs w:val="20"/>
          <w:lang w:val="en-GB"/>
        </w:rPr>
        <w:t xml:space="preserve">co-existence study in </w:t>
      </w:r>
      <w:r>
        <w:rPr>
          <w:rFonts w:hint="eastAsia"/>
          <w:sz w:val="20"/>
          <w:szCs w:val="20"/>
          <w:lang w:val="en-GB"/>
        </w:rPr>
        <w:t>SI phase. That</w:t>
      </w:r>
      <w:r>
        <w:rPr>
          <w:sz w:val="20"/>
          <w:szCs w:val="20"/>
          <w:lang w:val="en-GB"/>
        </w:rPr>
        <w:t>’</w:t>
      </w:r>
      <w:r>
        <w:rPr>
          <w:rFonts w:hint="eastAsia"/>
          <w:sz w:val="20"/>
          <w:szCs w:val="20"/>
          <w:lang w:val="en-GB"/>
        </w:rPr>
        <w:t xml:space="preserve">s also the reason why </w:t>
      </w:r>
      <w:r>
        <w:rPr>
          <w:sz w:val="20"/>
          <w:szCs w:val="20"/>
          <w:lang w:val="en-GB"/>
        </w:rPr>
        <w:t>introducing</w:t>
      </w:r>
      <w:r>
        <w:rPr>
          <w:rFonts w:hint="eastAsia"/>
          <w:sz w:val="20"/>
          <w:szCs w:val="20"/>
          <w:lang w:val="en-GB"/>
        </w:rPr>
        <w:t xml:space="preserve"> HPUE for LTE and NR to compensate DL/UL cell coverage imbalance. </w:t>
      </w:r>
    </w:p>
    <w:p w:rsidR="00D9767B" w:rsidRDefault="00703BF5" w:rsidP="00C94ECD">
      <w:pPr>
        <w:jc w:val="left"/>
        <w:rPr>
          <w:rFonts w:hint="eastAsia"/>
          <w:sz w:val="20"/>
          <w:szCs w:val="20"/>
          <w:lang w:val="en-GB"/>
        </w:rPr>
      </w:pPr>
      <w:r>
        <w:rPr>
          <w:rFonts w:hint="eastAsia"/>
          <w:sz w:val="20"/>
          <w:szCs w:val="20"/>
          <w:lang w:val="en-GB"/>
        </w:rPr>
        <w:t xml:space="preserve">Also agreed in RAN </w:t>
      </w:r>
      <w:r>
        <w:rPr>
          <w:sz w:val="20"/>
          <w:szCs w:val="20"/>
          <w:lang w:val="en-GB"/>
        </w:rPr>
        <w:t>plenary</w:t>
      </w:r>
      <w:r>
        <w:rPr>
          <w:rFonts w:hint="eastAsia"/>
          <w:sz w:val="20"/>
          <w:szCs w:val="20"/>
          <w:lang w:val="en-GB"/>
        </w:rPr>
        <w:t xml:space="preserve">, UE RRM requirements </w:t>
      </w:r>
      <w:r>
        <w:rPr>
          <w:sz w:val="20"/>
          <w:szCs w:val="20"/>
          <w:lang w:val="en-GB"/>
        </w:rPr>
        <w:t>should</w:t>
      </w:r>
      <w:r>
        <w:rPr>
          <w:rFonts w:hint="eastAsia"/>
          <w:sz w:val="20"/>
          <w:szCs w:val="20"/>
          <w:lang w:val="en-GB"/>
        </w:rPr>
        <w:t xml:space="preserve"> be specified based on 2Rx, and for RLM shall be defined for both 2Rx and 4Rx </w:t>
      </w:r>
      <w:r>
        <w:rPr>
          <w:sz w:val="20"/>
          <w:szCs w:val="20"/>
          <w:lang w:val="en-GB"/>
        </w:rPr>
        <w:t xml:space="preserve">and following </w:t>
      </w:r>
      <w:r>
        <w:rPr>
          <w:rFonts w:hint="eastAsia"/>
          <w:sz w:val="20"/>
          <w:szCs w:val="20"/>
          <w:lang w:val="en-GB"/>
        </w:rPr>
        <w:t xml:space="preserve">LTE connection set-up. </w:t>
      </w:r>
      <w:r w:rsidR="00D9767B">
        <w:rPr>
          <w:rFonts w:hint="eastAsia"/>
          <w:sz w:val="20"/>
          <w:szCs w:val="20"/>
          <w:lang w:val="en-GB"/>
        </w:rPr>
        <w:t>For</w:t>
      </w:r>
      <w:r>
        <w:rPr>
          <w:rFonts w:hint="eastAsia"/>
          <w:sz w:val="20"/>
          <w:szCs w:val="20"/>
          <w:lang w:val="en-GB"/>
        </w:rPr>
        <w:t xml:space="preserve"> UE equipped to 4R</w:t>
      </w:r>
      <w:r w:rsidR="00D9767B">
        <w:rPr>
          <w:rFonts w:hint="eastAsia"/>
          <w:sz w:val="20"/>
          <w:szCs w:val="20"/>
          <w:lang w:val="en-GB"/>
        </w:rPr>
        <w:t>x, it</w:t>
      </w:r>
      <w:r w:rsidR="00D9767B">
        <w:rPr>
          <w:sz w:val="20"/>
          <w:szCs w:val="20"/>
          <w:lang w:val="en-GB"/>
        </w:rPr>
        <w:t>’</w:t>
      </w:r>
      <w:r w:rsidR="00D9767B">
        <w:rPr>
          <w:rFonts w:hint="eastAsia"/>
          <w:sz w:val="20"/>
          <w:szCs w:val="20"/>
          <w:lang w:val="en-GB"/>
        </w:rPr>
        <w:t xml:space="preserve">s upper to UE </w:t>
      </w:r>
      <w:r w:rsidR="00D9767B">
        <w:rPr>
          <w:sz w:val="20"/>
          <w:szCs w:val="20"/>
          <w:lang w:val="en-GB"/>
        </w:rPr>
        <w:t>implementation</w:t>
      </w:r>
      <w:r w:rsidR="00D9767B">
        <w:rPr>
          <w:rFonts w:hint="eastAsia"/>
          <w:sz w:val="20"/>
          <w:szCs w:val="20"/>
          <w:lang w:val="en-GB"/>
        </w:rPr>
        <w:t xml:space="preserve"> for RLM assumption based on either 4Rx or 2Rx; and RAN4 RLM test design to ensure without mandating UE </w:t>
      </w:r>
      <w:r w:rsidR="00D9767B">
        <w:rPr>
          <w:sz w:val="20"/>
          <w:szCs w:val="20"/>
          <w:lang w:val="en-GB"/>
        </w:rPr>
        <w:t>implementation</w:t>
      </w:r>
      <w:r w:rsidR="00D9767B">
        <w:rPr>
          <w:rFonts w:hint="eastAsia"/>
          <w:sz w:val="20"/>
          <w:szCs w:val="20"/>
          <w:lang w:val="en-GB"/>
        </w:rPr>
        <w:t xml:space="preserve"> to pass RLM test cases.</w:t>
      </w:r>
    </w:p>
    <w:p w:rsidR="00D9767B" w:rsidRDefault="00D9767B" w:rsidP="00C94ECD">
      <w:pPr>
        <w:jc w:val="left"/>
        <w:rPr>
          <w:rFonts w:hint="eastAsia"/>
          <w:sz w:val="20"/>
          <w:szCs w:val="20"/>
          <w:lang w:val="en-GB"/>
        </w:rPr>
      </w:pPr>
      <w:r>
        <w:rPr>
          <w:rFonts w:hint="eastAsia"/>
          <w:sz w:val="20"/>
          <w:szCs w:val="20"/>
          <w:lang w:val="en-GB"/>
        </w:rPr>
        <w:t xml:space="preserve">Based on </w:t>
      </w:r>
      <w:r>
        <w:rPr>
          <w:sz w:val="20"/>
          <w:szCs w:val="20"/>
          <w:lang w:val="en-GB"/>
        </w:rPr>
        <w:t>evaluation</w:t>
      </w:r>
      <w:r>
        <w:rPr>
          <w:rFonts w:hint="eastAsia"/>
          <w:sz w:val="20"/>
          <w:szCs w:val="20"/>
          <w:lang w:val="en-GB"/>
        </w:rPr>
        <w:t xml:space="preserve"> results from </w:t>
      </w:r>
      <w:r w:rsidR="00416B05">
        <w:rPr>
          <w:rFonts w:hint="eastAsia"/>
          <w:sz w:val="20"/>
          <w:szCs w:val="20"/>
          <w:lang w:val="en-GB"/>
        </w:rPr>
        <w:t>CMCC in</w:t>
      </w:r>
      <w:r>
        <w:rPr>
          <w:rFonts w:hint="eastAsia"/>
          <w:sz w:val="20"/>
          <w:szCs w:val="20"/>
          <w:lang w:val="en-GB"/>
        </w:rPr>
        <w:t xml:space="preserve"> (R4-1810407</w:t>
      </w:r>
      <w:r w:rsidR="00416B05">
        <w:rPr>
          <w:rFonts w:hint="eastAsia"/>
          <w:sz w:val="20"/>
          <w:szCs w:val="20"/>
          <w:lang w:val="en-GB"/>
        </w:rPr>
        <w:t>), PBCH decoding SNR is -11dB/-7dB for 4Rx and 2Rx and from MTK results (R4-1810028), PBCH decoding SNR is -9~-8 dB with 2Rx, considering 4Rx gain (4dB around), with 4Rx, PBCH decoding SNR will be -13dB~-12dB.</w:t>
      </w:r>
    </w:p>
    <w:p w:rsidR="00416B05" w:rsidRDefault="00416B05" w:rsidP="00C94ECD">
      <w:pPr>
        <w:jc w:val="left"/>
        <w:rPr>
          <w:rFonts w:hint="eastAsia"/>
          <w:sz w:val="20"/>
          <w:szCs w:val="20"/>
          <w:lang w:val="en-GB"/>
        </w:rPr>
      </w:pPr>
      <w:r>
        <w:rPr>
          <w:rFonts w:hint="eastAsia"/>
          <w:sz w:val="20"/>
          <w:szCs w:val="20"/>
          <w:lang w:val="en-GB"/>
        </w:rPr>
        <w:t>As shown in R4-1812512 from MTK, RLM operating out of sync with 2Rx assumption for RLM is -8dB around.</w:t>
      </w:r>
    </w:p>
    <w:p w:rsidR="00416B05" w:rsidRDefault="00416B05" w:rsidP="00C94ECD">
      <w:pPr>
        <w:jc w:val="left"/>
        <w:rPr>
          <w:rFonts w:hint="eastAsia"/>
          <w:sz w:val="20"/>
          <w:szCs w:val="20"/>
          <w:lang w:val="en-GB"/>
        </w:rPr>
      </w:pPr>
      <w:r>
        <w:rPr>
          <w:rFonts w:hint="eastAsia"/>
          <w:sz w:val="20"/>
          <w:szCs w:val="20"/>
          <w:lang w:val="en-GB"/>
        </w:rPr>
        <w:t xml:space="preserve">Based on above </w:t>
      </w:r>
      <w:r>
        <w:rPr>
          <w:sz w:val="20"/>
          <w:szCs w:val="20"/>
          <w:lang w:val="en-GB"/>
        </w:rPr>
        <w:t>evaluation</w:t>
      </w:r>
      <w:r>
        <w:rPr>
          <w:rFonts w:hint="eastAsia"/>
          <w:sz w:val="20"/>
          <w:szCs w:val="20"/>
          <w:lang w:val="en-GB"/>
        </w:rPr>
        <w:t xml:space="preserve"> results, without mandating RLM with 4Rx, </w:t>
      </w:r>
      <w:r>
        <w:rPr>
          <w:sz w:val="20"/>
          <w:szCs w:val="20"/>
          <w:lang w:val="en-GB"/>
        </w:rPr>
        <w:t>mandating</w:t>
      </w:r>
      <w:r>
        <w:rPr>
          <w:rFonts w:hint="eastAsia"/>
          <w:sz w:val="20"/>
          <w:szCs w:val="20"/>
          <w:lang w:val="en-GB"/>
        </w:rPr>
        <w:t xml:space="preserve"> of 4Rx for PBCH decoding </w:t>
      </w:r>
      <w:r w:rsidR="00567324">
        <w:rPr>
          <w:rFonts w:hint="eastAsia"/>
          <w:sz w:val="20"/>
          <w:szCs w:val="20"/>
          <w:lang w:val="en-GB"/>
        </w:rPr>
        <w:t>has</w:t>
      </w:r>
      <w:r>
        <w:rPr>
          <w:rFonts w:hint="eastAsia"/>
          <w:sz w:val="20"/>
          <w:szCs w:val="20"/>
          <w:lang w:val="en-GB"/>
        </w:rPr>
        <w:t xml:space="preserve"> no benefit for DL cell coverage improvement since UE already out of sync </w:t>
      </w:r>
      <w:r w:rsidR="00567324">
        <w:rPr>
          <w:rFonts w:hint="eastAsia"/>
          <w:sz w:val="20"/>
          <w:szCs w:val="20"/>
          <w:lang w:val="en-GB"/>
        </w:rPr>
        <w:t>under that SNR points.</w:t>
      </w:r>
    </w:p>
    <w:p w:rsidR="00567324" w:rsidRDefault="00567324" w:rsidP="00C94ECD">
      <w:pPr>
        <w:jc w:val="left"/>
        <w:rPr>
          <w:rFonts w:hint="eastAsia"/>
          <w:b/>
          <w:sz w:val="20"/>
          <w:szCs w:val="20"/>
          <w:lang w:val="en-GB"/>
        </w:rPr>
      </w:pPr>
      <w:r w:rsidRPr="00567324">
        <w:rPr>
          <w:b/>
          <w:sz w:val="20"/>
          <w:szCs w:val="20"/>
          <w:lang w:val="en-GB"/>
        </w:rPr>
        <w:t>Observation</w:t>
      </w:r>
      <w:r w:rsidRPr="00567324">
        <w:rPr>
          <w:rFonts w:hint="eastAsia"/>
          <w:b/>
          <w:sz w:val="20"/>
          <w:szCs w:val="20"/>
          <w:lang w:val="en-GB"/>
        </w:rPr>
        <w:t xml:space="preserve"> 3: Cell coverage bottleneck is UL not DL. </w:t>
      </w:r>
    </w:p>
    <w:p w:rsidR="00567324" w:rsidRDefault="00567324" w:rsidP="00C94ECD">
      <w:pPr>
        <w:jc w:val="left"/>
        <w:rPr>
          <w:rFonts w:hint="eastAsia"/>
          <w:b/>
          <w:sz w:val="20"/>
          <w:szCs w:val="20"/>
          <w:lang w:val="en-GB"/>
        </w:rPr>
      </w:pPr>
      <w:r>
        <w:rPr>
          <w:rFonts w:hint="eastAsia"/>
          <w:b/>
          <w:sz w:val="20"/>
          <w:szCs w:val="20"/>
          <w:lang w:val="en-GB"/>
        </w:rPr>
        <w:t xml:space="preserve">Observation 4: Mandating 4Rx of PBCH demodulation solely without mandating 4Rx for RLM has no </w:t>
      </w:r>
      <w:r>
        <w:rPr>
          <w:b/>
          <w:sz w:val="20"/>
          <w:szCs w:val="20"/>
          <w:lang w:val="en-GB"/>
        </w:rPr>
        <w:t>benefit</w:t>
      </w:r>
      <w:r>
        <w:rPr>
          <w:rFonts w:hint="eastAsia"/>
          <w:b/>
          <w:sz w:val="20"/>
          <w:szCs w:val="20"/>
          <w:lang w:val="en-GB"/>
        </w:rPr>
        <w:t xml:space="preserve"> for DL cell coverage enhancement since under that SNR points (-14~11 dB), UE already  out of sync.</w:t>
      </w:r>
    </w:p>
    <w:p w:rsidR="00567324" w:rsidRPr="00567324" w:rsidRDefault="00567324" w:rsidP="00567324">
      <w:pPr>
        <w:jc w:val="left"/>
        <w:rPr>
          <w:rFonts w:hint="eastAsia"/>
          <w:b/>
          <w:sz w:val="20"/>
          <w:szCs w:val="20"/>
          <w:u w:val="single"/>
          <w:lang w:val="en-GB"/>
        </w:rPr>
      </w:pPr>
      <w:r w:rsidRPr="00567324">
        <w:rPr>
          <w:rFonts w:cs="Arial" w:hint="eastAsia"/>
          <w:b/>
          <w:sz w:val="20"/>
          <w:szCs w:val="20"/>
          <w:u w:val="single"/>
          <w:lang w:val="en-GB"/>
        </w:rPr>
        <w:t>What</w:t>
      </w:r>
      <w:r w:rsidRPr="00567324">
        <w:rPr>
          <w:rFonts w:cs="Arial"/>
          <w:b/>
          <w:sz w:val="20"/>
          <w:szCs w:val="20"/>
          <w:u w:val="single"/>
          <w:lang w:val="en-GB"/>
        </w:rPr>
        <w:t>’</w:t>
      </w:r>
      <w:r w:rsidRPr="00567324">
        <w:rPr>
          <w:rFonts w:cs="Arial" w:hint="eastAsia"/>
          <w:b/>
          <w:sz w:val="20"/>
          <w:szCs w:val="20"/>
          <w:u w:val="single"/>
          <w:lang w:val="en-GB"/>
        </w:rPr>
        <w:t xml:space="preserve">s the drawback of </w:t>
      </w:r>
      <w:r w:rsidRPr="00567324">
        <w:rPr>
          <w:rFonts w:cs="Arial"/>
          <w:b/>
          <w:sz w:val="20"/>
          <w:szCs w:val="20"/>
          <w:u w:val="single"/>
          <w:lang w:val="en-GB"/>
        </w:rPr>
        <w:t>mandating</w:t>
      </w:r>
      <w:r w:rsidRPr="00567324">
        <w:rPr>
          <w:rFonts w:cs="Arial" w:hint="eastAsia"/>
          <w:b/>
          <w:sz w:val="20"/>
          <w:szCs w:val="20"/>
          <w:u w:val="single"/>
          <w:lang w:val="en-GB"/>
        </w:rPr>
        <w:t xml:space="preserve"> 4Rx for PBCH </w:t>
      </w:r>
      <w:proofErr w:type="gramStart"/>
      <w:r w:rsidRPr="00567324">
        <w:rPr>
          <w:rFonts w:cs="Arial" w:hint="eastAsia"/>
          <w:b/>
          <w:sz w:val="20"/>
          <w:szCs w:val="20"/>
          <w:u w:val="single"/>
          <w:lang w:val="en-GB"/>
        </w:rPr>
        <w:t>demodulation</w:t>
      </w:r>
      <w:proofErr w:type="gramEnd"/>
    </w:p>
    <w:p w:rsidR="00567324" w:rsidRDefault="00567324" w:rsidP="00C94ECD">
      <w:pPr>
        <w:jc w:val="left"/>
        <w:rPr>
          <w:rFonts w:hint="eastAsia"/>
          <w:sz w:val="20"/>
          <w:szCs w:val="20"/>
          <w:lang w:val="en-GB"/>
        </w:rPr>
      </w:pPr>
      <w:r w:rsidRPr="00567324">
        <w:rPr>
          <w:rFonts w:hint="eastAsia"/>
          <w:sz w:val="20"/>
          <w:szCs w:val="20"/>
          <w:lang w:val="en-GB"/>
        </w:rPr>
        <w:t>Unlike in LTE</w:t>
      </w:r>
      <w:r>
        <w:rPr>
          <w:rFonts w:hint="eastAsia"/>
          <w:sz w:val="20"/>
          <w:szCs w:val="20"/>
          <w:lang w:val="en-GB"/>
        </w:rPr>
        <w:t xml:space="preserve">, in NR PBCH is always transmitted with PSS/SSS in SMTC duration with more </w:t>
      </w:r>
      <w:r>
        <w:rPr>
          <w:sz w:val="20"/>
          <w:szCs w:val="20"/>
          <w:lang w:val="en-GB"/>
        </w:rPr>
        <w:t>flexible</w:t>
      </w:r>
      <w:r>
        <w:rPr>
          <w:rFonts w:hint="eastAsia"/>
          <w:sz w:val="20"/>
          <w:szCs w:val="20"/>
          <w:lang w:val="en-GB"/>
        </w:rPr>
        <w:t xml:space="preserve"> configurations.</w:t>
      </w:r>
    </w:p>
    <w:p w:rsidR="00F40EAB" w:rsidRDefault="00F40EAB" w:rsidP="00F40EAB">
      <w:pPr>
        <w:jc w:val="center"/>
        <w:rPr>
          <w:rFonts w:hint="eastAsia"/>
          <w:sz w:val="20"/>
          <w:szCs w:val="20"/>
          <w:lang w:val="en-GB"/>
        </w:rPr>
      </w:pPr>
      <w:r>
        <w:rPr>
          <w:noProof/>
        </w:rPr>
        <w:drawing>
          <wp:inline distT="0" distB="0" distL="0" distR="0" wp14:anchorId="06BBABA9" wp14:editId="6D017C37">
            <wp:extent cx="2467348" cy="1056461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469349" cy="10573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0EAB" w:rsidRDefault="00F40EAB" w:rsidP="00F40EAB">
      <w:pPr>
        <w:rPr>
          <w:rFonts w:hint="eastAsia"/>
          <w:sz w:val="20"/>
          <w:szCs w:val="20"/>
          <w:lang w:val="en-GB"/>
        </w:rPr>
      </w:pPr>
      <w:r>
        <w:rPr>
          <w:rFonts w:hint="eastAsia"/>
          <w:sz w:val="20"/>
          <w:szCs w:val="20"/>
          <w:lang w:val="en-GB"/>
        </w:rPr>
        <w:t>A</w:t>
      </w:r>
      <w:r>
        <w:rPr>
          <w:sz w:val="20"/>
          <w:szCs w:val="20"/>
          <w:lang w:val="en-GB"/>
        </w:rPr>
        <w:t>l</w:t>
      </w:r>
      <w:r>
        <w:rPr>
          <w:rFonts w:hint="eastAsia"/>
          <w:sz w:val="20"/>
          <w:szCs w:val="20"/>
          <w:lang w:val="en-GB"/>
        </w:rPr>
        <w:t>so as defined in TS38.133, cell identification time consist of cell detection time, measurement time, and SSB index identification time.</w:t>
      </w:r>
    </w:p>
    <w:p w:rsidR="00F40EAB" w:rsidRPr="001F21E0" w:rsidRDefault="00F40EAB" w:rsidP="00F40EAB">
      <w:pPr>
        <w:jc w:val="center"/>
        <w:rPr>
          <w:rFonts w:eastAsia="Times New Roman"/>
        </w:rPr>
      </w:pPr>
      <w:proofErr w:type="spellStart"/>
      <w:r w:rsidRPr="001F21E0">
        <w:rPr>
          <w:rFonts w:eastAsia="Times New Roman"/>
        </w:rPr>
        <w:t>T</w:t>
      </w:r>
      <w:r w:rsidRPr="001F21E0">
        <w:rPr>
          <w:rFonts w:eastAsia="Times New Roman"/>
          <w:vertAlign w:val="subscript"/>
        </w:rPr>
        <w:t>identify_intra_with_index</w:t>
      </w:r>
      <w:proofErr w:type="spellEnd"/>
      <w:r w:rsidRPr="001F21E0">
        <w:rPr>
          <w:rFonts w:eastAsia="Times New Roman"/>
          <w:vertAlign w:val="subscript"/>
        </w:rPr>
        <w:t xml:space="preserve"> </w:t>
      </w:r>
      <w:r w:rsidRPr="001F21E0">
        <w:rPr>
          <w:rFonts w:eastAsia="Times New Roman"/>
        </w:rPr>
        <w:t xml:space="preserve">= </w:t>
      </w:r>
      <w:proofErr w:type="spellStart"/>
      <w:r w:rsidRPr="001F21E0">
        <w:rPr>
          <w:rFonts w:eastAsia="Times New Roman"/>
        </w:rPr>
        <w:t>K</w:t>
      </w:r>
      <w:r w:rsidRPr="001F21E0">
        <w:rPr>
          <w:rFonts w:eastAsia="Times New Roman"/>
          <w:vertAlign w:val="subscript"/>
        </w:rPr>
        <w:t>ca</w:t>
      </w:r>
      <w:proofErr w:type="spellEnd"/>
      <w:r w:rsidRPr="001F21E0">
        <w:rPr>
          <w:rFonts w:eastAsia="Times New Roman"/>
        </w:rPr>
        <w:t xml:space="preserve"> (T</w:t>
      </w:r>
      <w:r w:rsidRPr="001F21E0">
        <w:rPr>
          <w:rFonts w:eastAsia="Times New Roman"/>
          <w:vertAlign w:val="subscript"/>
        </w:rPr>
        <w:t>PSS/</w:t>
      </w:r>
      <w:proofErr w:type="spellStart"/>
      <w:r w:rsidRPr="001F21E0">
        <w:rPr>
          <w:rFonts w:eastAsia="Times New Roman"/>
          <w:vertAlign w:val="subscript"/>
        </w:rPr>
        <w:t>SSS_sync_intra</w:t>
      </w:r>
      <w:proofErr w:type="spellEnd"/>
      <w:r w:rsidRPr="001F21E0">
        <w:rPr>
          <w:rFonts w:eastAsia="Times New Roman"/>
        </w:rPr>
        <w:t xml:space="preserve"> + T</w:t>
      </w:r>
      <w:r w:rsidRPr="001F21E0">
        <w:rPr>
          <w:rFonts w:eastAsia="Times New Roman"/>
          <w:vertAlign w:val="subscript"/>
        </w:rPr>
        <w:t xml:space="preserve"> </w:t>
      </w:r>
      <w:proofErr w:type="spellStart"/>
      <w:r w:rsidRPr="001F21E0">
        <w:rPr>
          <w:rFonts w:eastAsia="Times New Roman"/>
          <w:vertAlign w:val="subscript"/>
        </w:rPr>
        <w:t>SSB_measurement_period_intra</w:t>
      </w:r>
      <w:proofErr w:type="spellEnd"/>
      <w:r w:rsidRPr="001F21E0">
        <w:rPr>
          <w:rFonts w:eastAsia="Times New Roman"/>
          <w:vertAlign w:val="subscript"/>
        </w:rPr>
        <w:t xml:space="preserve"> </w:t>
      </w:r>
      <w:r w:rsidRPr="001F21E0">
        <w:rPr>
          <w:rFonts w:eastAsia="Times New Roman"/>
        </w:rPr>
        <w:t xml:space="preserve">+ </w:t>
      </w:r>
      <w:proofErr w:type="spellStart"/>
      <w:r w:rsidRPr="001F21E0">
        <w:rPr>
          <w:rFonts w:eastAsia="Times New Roman"/>
        </w:rPr>
        <w:t>T</w:t>
      </w:r>
      <w:r w:rsidRPr="001F21E0">
        <w:rPr>
          <w:rFonts w:eastAsia="Times New Roman"/>
          <w:vertAlign w:val="subscript"/>
        </w:rPr>
        <w:t>SSB_time_index_intra</w:t>
      </w:r>
      <w:proofErr w:type="spellEnd"/>
      <w:r w:rsidRPr="001F21E0">
        <w:rPr>
          <w:rFonts w:eastAsia="Times New Roman"/>
        </w:rPr>
        <w:t xml:space="preserve">) </w:t>
      </w:r>
      <w:proofErr w:type="spellStart"/>
      <w:r w:rsidRPr="001F21E0">
        <w:rPr>
          <w:rFonts w:eastAsia="Times New Roman"/>
        </w:rPr>
        <w:t>ms</w:t>
      </w:r>
      <w:proofErr w:type="spellEnd"/>
    </w:p>
    <w:p w:rsidR="00567324" w:rsidRDefault="00F40EAB" w:rsidP="00C94ECD">
      <w:pPr>
        <w:jc w:val="left"/>
        <w:rPr>
          <w:rFonts w:hint="eastAsia"/>
          <w:sz w:val="20"/>
          <w:szCs w:val="20"/>
        </w:rPr>
      </w:pPr>
      <w:r>
        <w:rPr>
          <w:rFonts w:hint="eastAsia"/>
          <w:sz w:val="20"/>
          <w:szCs w:val="20"/>
        </w:rPr>
        <w:t xml:space="preserve">SSB index </w:t>
      </w:r>
      <w:r>
        <w:rPr>
          <w:sz w:val="20"/>
          <w:szCs w:val="20"/>
        </w:rPr>
        <w:t>identification</w:t>
      </w:r>
      <w:r>
        <w:rPr>
          <w:rFonts w:hint="eastAsia"/>
          <w:sz w:val="20"/>
          <w:szCs w:val="20"/>
        </w:rPr>
        <w:t xml:space="preserve"> requires PBCH DMRS sequence decoding in FR1 (&gt;3GHz/2.6GHz) and PBCH decoding for FR2.</w:t>
      </w:r>
    </w:p>
    <w:p w:rsidR="00F40EAB" w:rsidRDefault="00F40EAB" w:rsidP="00C94ECD">
      <w:pPr>
        <w:jc w:val="left"/>
        <w:rPr>
          <w:rFonts w:hint="eastAsia"/>
          <w:sz w:val="20"/>
          <w:szCs w:val="20"/>
        </w:rPr>
      </w:pPr>
      <w:r>
        <w:rPr>
          <w:rFonts w:hint="eastAsia"/>
          <w:sz w:val="20"/>
          <w:szCs w:val="20"/>
        </w:rPr>
        <w:t xml:space="preserve">PBCH decoding is related to RRM requirements </w:t>
      </w:r>
      <w:r>
        <w:rPr>
          <w:sz w:val="20"/>
          <w:szCs w:val="20"/>
        </w:rPr>
        <w:t xml:space="preserve">i.e. </w:t>
      </w:r>
      <w:r>
        <w:rPr>
          <w:rFonts w:hint="eastAsia"/>
          <w:sz w:val="20"/>
          <w:szCs w:val="20"/>
        </w:rPr>
        <w:t xml:space="preserve">cell identification, mandating 4Rx PBCH decoding has huge impact on RRM which </w:t>
      </w:r>
      <w:r>
        <w:rPr>
          <w:sz w:val="20"/>
          <w:szCs w:val="20"/>
        </w:rPr>
        <w:t>conflicts</w:t>
      </w:r>
      <w:r>
        <w:rPr>
          <w:rFonts w:hint="eastAsia"/>
          <w:sz w:val="20"/>
          <w:szCs w:val="20"/>
        </w:rPr>
        <w:t xml:space="preserve"> with previous RAN plenary agreements. A</w:t>
      </w:r>
      <w:r>
        <w:rPr>
          <w:sz w:val="20"/>
          <w:szCs w:val="20"/>
        </w:rPr>
        <w:t>l</w:t>
      </w:r>
      <w:r>
        <w:rPr>
          <w:rFonts w:hint="eastAsia"/>
          <w:sz w:val="20"/>
          <w:szCs w:val="20"/>
        </w:rPr>
        <w:t xml:space="preserve">so PBCH decoding operation is required for idle, DRX and connected mode, even for initial cell search. Mandating 4Rx PBCH decoding has huge impact on UE </w:t>
      </w:r>
      <w:r>
        <w:rPr>
          <w:sz w:val="20"/>
          <w:szCs w:val="20"/>
        </w:rPr>
        <w:t>implementation</w:t>
      </w:r>
      <w:r>
        <w:rPr>
          <w:rFonts w:hint="eastAsia"/>
          <w:sz w:val="20"/>
          <w:szCs w:val="20"/>
        </w:rPr>
        <w:t xml:space="preserve"> and power consumption for idle, DRX and even initial cell search stage.</w:t>
      </w:r>
    </w:p>
    <w:p w:rsidR="00F40EAB" w:rsidRDefault="00F40EAB" w:rsidP="00C94ECD">
      <w:pPr>
        <w:jc w:val="left"/>
        <w:rPr>
          <w:rFonts w:hint="eastAsia"/>
          <w:b/>
          <w:sz w:val="20"/>
          <w:szCs w:val="20"/>
          <w:lang w:val="en-GB"/>
        </w:rPr>
      </w:pPr>
      <w:r w:rsidRPr="00F40EAB">
        <w:rPr>
          <w:b/>
          <w:sz w:val="20"/>
          <w:szCs w:val="20"/>
          <w:lang w:val="en-GB"/>
        </w:rPr>
        <w:t>Observation</w:t>
      </w:r>
      <w:r w:rsidRPr="00F40EAB">
        <w:rPr>
          <w:rFonts w:hint="eastAsia"/>
          <w:b/>
          <w:sz w:val="20"/>
          <w:szCs w:val="20"/>
          <w:lang w:val="en-GB"/>
        </w:rPr>
        <w:t xml:space="preserve"> 5: PBCH decoding related to RRM operation i.e. cell identification, mandating of 4Rx PBCH decoding conflicts with previous RAN agreements for RRM.</w:t>
      </w:r>
    </w:p>
    <w:p w:rsidR="00F40EAB" w:rsidRPr="00F40EAB" w:rsidRDefault="00F40EAB" w:rsidP="00F40EAB">
      <w:pPr>
        <w:jc w:val="left"/>
        <w:rPr>
          <w:rFonts w:hint="eastAsia"/>
          <w:b/>
          <w:sz w:val="20"/>
          <w:szCs w:val="20"/>
          <w:lang w:val="en-GB"/>
        </w:rPr>
      </w:pPr>
      <w:r>
        <w:rPr>
          <w:b/>
          <w:sz w:val="20"/>
          <w:szCs w:val="20"/>
          <w:lang w:val="en-GB"/>
        </w:rPr>
        <w:t>Observation</w:t>
      </w:r>
      <w:r>
        <w:rPr>
          <w:rFonts w:hint="eastAsia"/>
          <w:b/>
          <w:sz w:val="20"/>
          <w:szCs w:val="20"/>
          <w:lang w:val="en-GB"/>
        </w:rPr>
        <w:t xml:space="preserve"> 6: </w:t>
      </w:r>
      <w:r w:rsidRPr="00F40EAB">
        <w:rPr>
          <w:rFonts w:hint="eastAsia"/>
          <w:b/>
          <w:sz w:val="20"/>
          <w:szCs w:val="20"/>
          <w:lang w:val="en-GB"/>
        </w:rPr>
        <w:t xml:space="preserve">Mandating 4Rx PBCH decoding has huge impact on UE </w:t>
      </w:r>
      <w:r w:rsidRPr="00F40EAB">
        <w:rPr>
          <w:b/>
          <w:sz w:val="20"/>
          <w:szCs w:val="20"/>
          <w:lang w:val="en-GB"/>
        </w:rPr>
        <w:t>implementation</w:t>
      </w:r>
      <w:r w:rsidRPr="00F40EAB">
        <w:rPr>
          <w:rFonts w:hint="eastAsia"/>
          <w:b/>
          <w:sz w:val="20"/>
          <w:szCs w:val="20"/>
          <w:lang w:val="en-GB"/>
        </w:rPr>
        <w:t xml:space="preserve"> and power consumption for idle, DRX and even initial cell search stage.</w:t>
      </w:r>
    </w:p>
    <w:p w:rsidR="00F40EAB" w:rsidRPr="00F40EAB" w:rsidRDefault="00F40EAB" w:rsidP="00C94ECD">
      <w:pPr>
        <w:jc w:val="left"/>
        <w:rPr>
          <w:rFonts w:hint="eastAsia"/>
          <w:b/>
          <w:sz w:val="20"/>
          <w:szCs w:val="20"/>
        </w:rPr>
      </w:pPr>
    </w:p>
    <w:p w:rsidR="00F40EAB" w:rsidRDefault="00F40EAB" w:rsidP="00C94ECD">
      <w:pPr>
        <w:jc w:val="left"/>
        <w:rPr>
          <w:rFonts w:hint="eastAsia"/>
          <w:sz w:val="20"/>
          <w:szCs w:val="20"/>
        </w:rPr>
      </w:pPr>
    </w:p>
    <w:p w:rsidR="00F40EAB" w:rsidRPr="00F40EAB" w:rsidRDefault="00F40EAB" w:rsidP="00C94ECD">
      <w:pPr>
        <w:jc w:val="left"/>
        <w:rPr>
          <w:sz w:val="20"/>
          <w:szCs w:val="20"/>
        </w:rPr>
      </w:pPr>
    </w:p>
    <w:p w:rsidR="00BC3227" w:rsidRPr="00F060C4" w:rsidRDefault="00BC3227" w:rsidP="00BC3227">
      <w:pPr>
        <w:pStyle w:val="Heading1"/>
        <w:pBdr>
          <w:top w:val="single" w:sz="12" w:space="4" w:color="auto"/>
        </w:pBdr>
        <w:rPr>
          <w:rFonts w:asciiTheme="minorHAnsi" w:hAnsiTheme="minorHAnsi" w:cs="Arial"/>
          <w:b/>
          <w:sz w:val="20"/>
          <w:lang w:eastAsia="zh-CN"/>
        </w:rPr>
      </w:pPr>
      <w:r>
        <w:rPr>
          <w:rFonts w:asciiTheme="minorHAnsi" w:hAnsiTheme="minorHAnsi" w:cs="Arial" w:hint="eastAsia"/>
          <w:b/>
          <w:sz w:val="20"/>
          <w:lang w:eastAsia="zh-CN"/>
        </w:rPr>
        <w:t>Conclusion</w:t>
      </w:r>
    </w:p>
    <w:p w:rsidR="00F40EAB" w:rsidRDefault="00F40EAB" w:rsidP="00F40EAB">
      <w:pPr>
        <w:rPr>
          <w:rFonts w:hint="eastAsia"/>
          <w:lang w:val="en-GB"/>
        </w:rPr>
      </w:pPr>
      <w:r>
        <w:rPr>
          <w:rFonts w:hint="eastAsia"/>
          <w:lang w:val="en-GB"/>
        </w:rPr>
        <w:t xml:space="preserve">In </w:t>
      </w:r>
      <w:r>
        <w:rPr>
          <w:lang w:val="en-GB"/>
        </w:rPr>
        <w:t>this contribution</w:t>
      </w:r>
      <w:r>
        <w:rPr>
          <w:rFonts w:hint="eastAsia"/>
          <w:lang w:val="en-GB"/>
        </w:rPr>
        <w:t>, we try to resolve below questions:</w:t>
      </w:r>
    </w:p>
    <w:p w:rsidR="00F40EAB" w:rsidRDefault="00F40EAB" w:rsidP="00F40EAB">
      <w:pPr>
        <w:pStyle w:val="ListParagraph"/>
        <w:numPr>
          <w:ilvl w:val="0"/>
          <w:numId w:val="48"/>
        </w:numPr>
        <w:ind w:firstLineChars="0"/>
        <w:rPr>
          <w:rFonts w:asciiTheme="minorHAnsi" w:hAnsiTheme="minorHAnsi" w:cs="Arial" w:hint="eastAsia"/>
          <w:sz w:val="20"/>
          <w:szCs w:val="20"/>
          <w:lang w:val="en-GB"/>
        </w:rPr>
      </w:pPr>
      <w:r w:rsidRPr="00F060C4">
        <w:rPr>
          <w:rFonts w:asciiTheme="minorHAnsi" w:hAnsiTheme="minorHAnsi"/>
          <w:sz w:val="20"/>
          <w:szCs w:val="20"/>
          <w:lang w:val="en-GB"/>
        </w:rPr>
        <w:t>Q1:</w:t>
      </w:r>
      <w:r w:rsidRPr="00F060C4">
        <w:rPr>
          <w:rFonts w:asciiTheme="minorHAnsi" w:hAnsiTheme="minorHAnsi" w:cs="Arial" w:hint="eastAsia"/>
          <w:sz w:val="20"/>
          <w:szCs w:val="20"/>
          <w:lang w:val="en-GB"/>
        </w:rPr>
        <w:t xml:space="preserve"> What</w:t>
      </w:r>
      <w:r w:rsidRPr="00F060C4">
        <w:rPr>
          <w:rFonts w:asciiTheme="minorHAnsi" w:hAnsiTheme="minorHAnsi" w:cs="Arial"/>
          <w:sz w:val="20"/>
          <w:szCs w:val="20"/>
          <w:lang w:val="en-GB"/>
        </w:rPr>
        <w:t>’</w:t>
      </w:r>
      <w:r w:rsidRPr="00F060C4">
        <w:rPr>
          <w:rFonts w:asciiTheme="minorHAnsi" w:hAnsiTheme="minorHAnsi" w:cs="Arial" w:hint="eastAsia"/>
          <w:sz w:val="20"/>
          <w:szCs w:val="20"/>
          <w:lang w:val="en-GB"/>
        </w:rPr>
        <w:t>s previous RAN agreements for mandating 4Rx</w:t>
      </w:r>
    </w:p>
    <w:p w:rsidR="00F40EAB" w:rsidRPr="002859D8" w:rsidRDefault="00F40EAB" w:rsidP="002859D8">
      <w:pPr>
        <w:rPr>
          <w:rFonts w:ascii="Calibri" w:hAnsi="Calibri"/>
          <w:b/>
          <w:sz w:val="20"/>
          <w:szCs w:val="20"/>
          <w:lang w:val="en-GB"/>
        </w:rPr>
      </w:pPr>
      <w:r w:rsidRPr="002859D8">
        <w:rPr>
          <w:rFonts w:ascii="Calibri" w:hAnsi="Calibri"/>
          <w:b/>
          <w:sz w:val="20"/>
          <w:szCs w:val="20"/>
          <w:lang w:val="en-GB"/>
        </w:rPr>
        <w:t>Observation 1: RAN plenary only agreed to mandate 4Rx demodulation of control channel (PDCCH) and data channel (PDSCH).</w:t>
      </w:r>
    </w:p>
    <w:p w:rsidR="00F40EAB" w:rsidRPr="002859D8" w:rsidRDefault="00F40EAB" w:rsidP="002859D8">
      <w:pPr>
        <w:rPr>
          <w:rFonts w:ascii="Calibri" w:hAnsi="Calibri" w:hint="eastAsia"/>
          <w:b/>
          <w:sz w:val="20"/>
          <w:szCs w:val="20"/>
          <w:lang w:val="en-GB"/>
        </w:rPr>
      </w:pPr>
      <w:r w:rsidRPr="002859D8">
        <w:rPr>
          <w:rFonts w:ascii="Calibri" w:hAnsi="Calibri"/>
          <w:b/>
          <w:sz w:val="20"/>
          <w:szCs w:val="20"/>
          <w:lang w:val="en-GB"/>
        </w:rPr>
        <w:t xml:space="preserve"> Observation 2: Following RAN1 specification, control channel (PDCCH) and broadcast channel (PBCH) are separate physical channel.</w:t>
      </w:r>
    </w:p>
    <w:p w:rsidR="00F40EAB" w:rsidRDefault="00F40EAB" w:rsidP="00F40EAB">
      <w:pPr>
        <w:pStyle w:val="ListParagraph"/>
        <w:numPr>
          <w:ilvl w:val="0"/>
          <w:numId w:val="48"/>
        </w:numPr>
        <w:ind w:firstLineChars="0"/>
        <w:rPr>
          <w:rFonts w:asciiTheme="minorHAnsi" w:hAnsiTheme="minorHAnsi" w:cs="Arial" w:hint="eastAsia"/>
          <w:sz w:val="20"/>
          <w:szCs w:val="20"/>
          <w:lang w:val="en-GB"/>
        </w:rPr>
      </w:pPr>
      <w:r w:rsidRPr="00F060C4">
        <w:rPr>
          <w:rFonts w:asciiTheme="minorHAnsi" w:hAnsiTheme="minorHAnsi" w:hint="eastAsia"/>
          <w:sz w:val="20"/>
          <w:szCs w:val="20"/>
          <w:lang w:val="en-GB"/>
        </w:rPr>
        <w:t>Q2:</w:t>
      </w:r>
      <w:r w:rsidRPr="00F060C4">
        <w:rPr>
          <w:rFonts w:asciiTheme="minorHAnsi" w:hAnsiTheme="minorHAnsi" w:cs="Arial" w:hint="eastAsia"/>
          <w:sz w:val="20"/>
          <w:szCs w:val="20"/>
          <w:lang w:val="en-GB"/>
        </w:rPr>
        <w:t xml:space="preserve"> What</w:t>
      </w:r>
      <w:r w:rsidRPr="00F060C4">
        <w:rPr>
          <w:rFonts w:asciiTheme="minorHAnsi" w:hAnsiTheme="minorHAnsi" w:cs="Arial"/>
          <w:sz w:val="20"/>
          <w:szCs w:val="20"/>
          <w:lang w:val="en-GB"/>
        </w:rPr>
        <w:t>’</w:t>
      </w:r>
      <w:r w:rsidRPr="00F060C4">
        <w:rPr>
          <w:rFonts w:asciiTheme="minorHAnsi" w:hAnsiTheme="minorHAnsi" w:cs="Arial" w:hint="eastAsia"/>
          <w:sz w:val="20"/>
          <w:szCs w:val="20"/>
          <w:lang w:val="en-GB"/>
        </w:rPr>
        <w:t xml:space="preserve">s the benefit of </w:t>
      </w:r>
      <w:r w:rsidRPr="00F060C4">
        <w:rPr>
          <w:rFonts w:asciiTheme="minorHAnsi" w:hAnsiTheme="minorHAnsi" w:cs="Arial"/>
          <w:sz w:val="20"/>
          <w:szCs w:val="20"/>
          <w:lang w:val="en-GB"/>
        </w:rPr>
        <w:t>mandating</w:t>
      </w:r>
      <w:r w:rsidRPr="00F060C4">
        <w:rPr>
          <w:rFonts w:asciiTheme="minorHAnsi" w:hAnsiTheme="minorHAnsi" w:cs="Arial" w:hint="eastAsia"/>
          <w:sz w:val="20"/>
          <w:szCs w:val="20"/>
          <w:lang w:val="en-GB"/>
        </w:rPr>
        <w:t xml:space="preserve"> 4Rx for PBCH </w:t>
      </w:r>
      <w:r>
        <w:rPr>
          <w:rFonts w:asciiTheme="minorHAnsi" w:hAnsiTheme="minorHAnsi" w:cs="Arial"/>
          <w:sz w:val="20"/>
          <w:szCs w:val="20"/>
          <w:lang w:val="en-GB"/>
        </w:rPr>
        <w:t>demodulation</w:t>
      </w:r>
    </w:p>
    <w:p w:rsidR="00F40EAB" w:rsidRPr="002859D8" w:rsidRDefault="00F40EAB" w:rsidP="002859D8">
      <w:pPr>
        <w:rPr>
          <w:rFonts w:ascii="Calibri" w:hAnsi="Calibri" w:hint="eastAsia"/>
          <w:b/>
          <w:sz w:val="20"/>
          <w:szCs w:val="20"/>
          <w:lang w:val="en-GB"/>
        </w:rPr>
      </w:pPr>
      <w:r w:rsidRPr="002859D8">
        <w:rPr>
          <w:rFonts w:ascii="Calibri" w:hAnsi="Calibri"/>
          <w:b/>
          <w:sz w:val="20"/>
          <w:szCs w:val="20"/>
          <w:lang w:val="en-GB"/>
        </w:rPr>
        <w:t>Observation</w:t>
      </w:r>
      <w:r w:rsidRPr="002859D8">
        <w:rPr>
          <w:rFonts w:ascii="Calibri" w:hAnsi="Calibri" w:hint="eastAsia"/>
          <w:b/>
          <w:sz w:val="20"/>
          <w:szCs w:val="20"/>
          <w:lang w:val="en-GB"/>
        </w:rPr>
        <w:t xml:space="preserve"> 3: Cell coverage bottleneck is UL not DL. </w:t>
      </w:r>
    </w:p>
    <w:p w:rsidR="00F40EAB" w:rsidRPr="002859D8" w:rsidRDefault="00F40EAB" w:rsidP="002859D8">
      <w:pPr>
        <w:rPr>
          <w:rFonts w:ascii="Calibri" w:hAnsi="Calibri" w:hint="eastAsia"/>
          <w:b/>
          <w:sz w:val="20"/>
          <w:szCs w:val="20"/>
          <w:lang w:val="en-GB"/>
        </w:rPr>
      </w:pPr>
      <w:r w:rsidRPr="002859D8">
        <w:rPr>
          <w:rFonts w:ascii="Calibri" w:hAnsi="Calibri" w:hint="eastAsia"/>
          <w:b/>
          <w:sz w:val="20"/>
          <w:szCs w:val="20"/>
          <w:lang w:val="en-GB"/>
        </w:rPr>
        <w:t xml:space="preserve">Observation 4: Mandating 4Rx of PBCH demodulation solely without mandating 4Rx for RLM has no </w:t>
      </w:r>
      <w:r w:rsidRPr="002859D8">
        <w:rPr>
          <w:rFonts w:ascii="Calibri" w:hAnsi="Calibri"/>
          <w:b/>
          <w:sz w:val="20"/>
          <w:szCs w:val="20"/>
          <w:lang w:val="en-GB"/>
        </w:rPr>
        <w:t>benefit</w:t>
      </w:r>
      <w:r w:rsidRPr="002859D8">
        <w:rPr>
          <w:rFonts w:ascii="Calibri" w:hAnsi="Calibri" w:hint="eastAsia"/>
          <w:b/>
          <w:sz w:val="20"/>
          <w:szCs w:val="20"/>
          <w:lang w:val="en-GB"/>
        </w:rPr>
        <w:t xml:space="preserve"> for DL cell coverage enhancement since under that SNR points (-14~11 dB), UE already </w:t>
      </w:r>
      <w:r w:rsidR="002859D8">
        <w:rPr>
          <w:rFonts w:ascii="Calibri" w:hAnsi="Calibri" w:hint="eastAsia"/>
          <w:b/>
          <w:sz w:val="20"/>
          <w:szCs w:val="20"/>
          <w:lang w:val="en-GB"/>
        </w:rPr>
        <w:t xml:space="preserve"> out of sync.</w:t>
      </w:r>
    </w:p>
    <w:p w:rsidR="00F40EAB" w:rsidRPr="00F060C4" w:rsidRDefault="00F40EAB" w:rsidP="00F40EAB">
      <w:pPr>
        <w:pStyle w:val="ListParagraph"/>
        <w:numPr>
          <w:ilvl w:val="0"/>
          <w:numId w:val="48"/>
        </w:numPr>
        <w:ind w:firstLineChars="0"/>
        <w:rPr>
          <w:rFonts w:asciiTheme="minorHAnsi" w:hAnsiTheme="minorHAnsi" w:cs="Arial"/>
          <w:sz w:val="20"/>
          <w:szCs w:val="20"/>
          <w:lang w:val="en-GB"/>
        </w:rPr>
      </w:pPr>
      <w:r w:rsidRPr="00F060C4">
        <w:rPr>
          <w:rFonts w:asciiTheme="minorHAnsi" w:hAnsiTheme="minorHAnsi" w:hint="eastAsia"/>
          <w:sz w:val="20"/>
          <w:szCs w:val="20"/>
          <w:lang w:val="en-GB"/>
        </w:rPr>
        <w:t>Q3:</w:t>
      </w:r>
      <w:r w:rsidRPr="00F060C4">
        <w:rPr>
          <w:rFonts w:asciiTheme="minorHAnsi" w:hAnsiTheme="minorHAnsi" w:cs="Arial" w:hint="eastAsia"/>
          <w:sz w:val="20"/>
          <w:szCs w:val="20"/>
          <w:lang w:val="en-GB"/>
        </w:rPr>
        <w:t xml:space="preserve"> What</w:t>
      </w:r>
      <w:r w:rsidRPr="00F060C4">
        <w:rPr>
          <w:rFonts w:asciiTheme="minorHAnsi" w:hAnsiTheme="minorHAnsi" w:cs="Arial"/>
          <w:sz w:val="20"/>
          <w:szCs w:val="20"/>
          <w:lang w:val="en-GB"/>
        </w:rPr>
        <w:t>’</w:t>
      </w:r>
      <w:r w:rsidRPr="00F060C4">
        <w:rPr>
          <w:rFonts w:asciiTheme="minorHAnsi" w:hAnsiTheme="minorHAnsi" w:cs="Arial" w:hint="eastAsia"/>
          <w:sz w:val="20"/>
          <w:szCs w:val="20"/>
          <w:lang w:val="en-GB"/>
        </w:rPr>
        <w:t xml:space="preserve">s the drawback of </w:t>
      </w:r>
      <w:r w:rsidRPr="00F060C4">
        <w:rPr>
          <w:rFonts w:asciiTheme="minorHAnsi" w:hAnsiTheme="minorHAnsi" w:cs="Arial"/>
          <w:sz w:val="20"/>
          <w:szCs w:val="20"/>
          <w:lang w:val="en-GB"/>
        </w:rPr>
        <w:t>mandating</w:t>
      </w:r>
      <w:r w:rsidRPr="00F060C4">
        <w:rPr>
          <w:rFonts w:asciiTheme="minorHAnsi" w:hAnsiTheme="minorHAnsi" w:cs="Arial" w:hint="eastAsia"/>
          <w:sz w:val="20"/>
          <w:szCs w:val="20"/>
          <w:lang w:val="en-GB"/>
        </w:rPr>
        <w:t xml:space="preserve"> 4Rx for PBCH </w:t>
      </w:r>
      <w:r>
        <w:rPr>
          <w:rFonts w:asciiTheme="minorHAnsi" w:hAnsiTheme="minorHAnsi" w:cs="Arial" w:hint="eastAsia"/>
          <w:sz w:val="20"/>
          <w:szCs w:val="20"/>
          <w:lang w:val="en-GB"/>
        </w:rPr>
        <w:t>demodulation</w:t>
      </w:r>
    </w:p>
    <w:p w:rsidR="00F40EAB" w:rsidRPr="002859D8" w:rsidRDefault="00F40EAB" w:rsidP="002859D8">
      <w:pPr>
        <w:rPr>
          <w:rFonts w:ascii="Calibri" w:hAnsi="Calibri" w:hint="eastAsia"/>
          <w:b/>
          <w:sz w:val="20"/>
          <w:szCs w:val="20"/>
          <w:lang w:val="en-GB"/>
        </w:rPr>
      </w:pPr>
      <w:r w:rsidRPr="002859D8">
        <w:rPr>
          <w:rFonts w:ascii="Calibri" w:hAnsi="Calibri"/>
          <w:b/>
          <w:sz w:val="20"/>
          <w:szCs w:val="20"/>
          <w:lang w:val="en-GB"/>
        </w:rPr>
        <w:t>Observation</w:t>
      </w:r>
      <w:r w:rsidRPr="002859D8">
        <w:rPr>
          <w:rFonts w:ascii="Calibri" w:hAnsi="Calibri" w:hint="eastAsia"/>
          <w:b/>
          <w:sz w:val="20"/>
          <w:szCs w:val="20"/>
          <w:lang w:val="en-GB"/>
        </w:rPr>
        <w:t xml:space="preserve"> 5: PBCH decoding related to RRM operation i.e. cell identification, mandating of 4Rx PBCH decoding conflicts with previous RAN agreements for RRM.</w:t>
      </w:r>
    </w:p>
    <w:p w:rsidR="00BC3227" w:rsidRPr="002859D8" w:rsidRDefault="00F40EAB" w:rsidP="00BC3227">
      <w:pPr>
        <w:rPr>
          <w:rFonts w:ascii="Calibri" w:hAnsi="Calibri" w:hint="eastAsia"/>
          <w:b/>
          <w:sz w:val="20"/>
          <w:szCs w:val="20"/>
          <w:lang w:val="en-GB"/>
        </w:rPr>
      </w:pPr>
      <w:r w:rsidRPr="002859D8">
        <w:rPr>
          <w:rFonts w:ascii="Calibri" w:hAnsi="Calibri"/>
          <w:b/>
          <w:sz w:val="20"/>
          <w:szCs w:val="20"/>
          <w:lang w:val="en-GB"/>
        </w:rPr>
        <w:t>Observation</w:t>
      </w:r>
      <w:r w:rsidRPr="002859D8">
        <w:rPr>
          <w:rFonts w:ascii="Calibri" w:hAnsi="Calibri" w:hint="eastAsia"/>
          <w:b/>
          <w:sz w:val="20"/>
          <w:szCs w:val="20"/>
          <w:lang w:val="en-GB"/>
        </w:rPr>
        <w:t xml:space="preserve"> 6: Mandating 4Rx PBCH decoding has huge impact on UE </w:t>
      </w:r>
      <w:r w:rsidRPr="002859D8">
        <w:rPr>
          <w:rFonts w:ascii="Calibri" w:hAnsi="Calibri"/>
          <w:b/>
          <w:sz w:val="20"/>
          <w:szCs w:val="20"/>
          <w:lang w:val="en-GB"/>
        </w:rPr>
        <w:t>implementation</w:t>
      </w:r>
      <w:r w:rsidRPr="002859D8">
        <w:rPr>
          <w:rFonts w:ascii="Calibri" w:hAnsi="Calibri" w:hint="eastAsia"/>
          <w:b/>
          <w:sz w:val="20"/>
          <w:szCs w:val="20"/>
          <w:lang w:val="en-GB"/>
        </w:rPr>
        <w:t xml:space="preserve"> and power consumption for idle, DRX and even initial cell search stage.</w:t>
      </w:r>
    </w:p>
    <w:p w:rsidR="00CE1453" w:rsidRDefault="00CE1453" w:rsidP="006B5D4A">
      <w:pPr>
        <w:pStyle w:val="Heading1"/>
        <w:pBdr>
          <w:top w:val="single" w:sz="12" w:space="4" w:color="auto"/>
        </w:pBdr>
        <w:rPr>
          <w:rFonts w:asciiTheme="minorHAnsi" w:hAnsiTheme="minorHAnsi" w:cs="Arial"/>
          <w:b/>
          <w:sz w:val="20"/>
          <w:lang w:eastAsia="zh-CN"/>
        </w:rPr>
      </w:pPr>
      <w:r>
        <w:rPr>
          <w:rFonts w:asciiTheme="minorHAnsi" w:hAnsiTheme="minorHAnsi" w:cs="Arial" w:hint="eastAsia"/>
          <w:b/>
          <w:sz w:val="20"/>
          <w:lang w:eastAsia="zh-CN"/>
        </w:rPr>
        <w:t>Reference</w:t>
      </w:r>
    </w:p>
    <w:p w:rsidR="00CE1453" w:rsidRDefault="00C94ECD" w:rsidP="000325B2">
      <w:pPr>
        <w:rPr>
          <w:rFonts w:cs="Arial" w:hint="eastAsia"/>
          <w:sz w:val="20"/>
          <w:szCs w:val="20"/>
        </w:rPr>
      </w:pPr>
      <w:r>
        <w:rPr>
          <w:rFonts w:hint="eastAsia"/>
          <w:sz w:val="20"/>
          <w:szCs w:val="20"/>
          <w:lang w:val="en-GB"/>
        </w:rPr>
        <w:t>[1]</w:t>
      </w:r>
      <w:r w:rsidR="00F060C4">
        <w:rPr>
          <w:rFonts w:hint="eastAsia"/>
          <w:sz w:val="20"/>
          <w:szCs w:val="20"/>
          <w:lang w:val="en-GB"/>
        </w:rPr>
        <w:t xml:space="preserve"> RP-172788, </w:t>
      </w:r>
      <w:r w:rsidR="00F060C4" w:rsidRPr="006A0C13">
        <w:rPr>
          <w:rFonts w:cs="Arial"/>
          <w:sz w:val="20"/>
          <w:szCs w:val="20"/>
        </w:rPr>
        <w:t>Mandatory 4Rx antenna performance for NR UE</w:t>
      </w:r>
      <w:r w:rsidR="00F060C4" w:rsidRPr="006A0C13">
        <w:rPr>
          <w:rFonts w:cs="Arial"/>
          <w:sz w:val="20"/>
          <w:szCs w:val="20"/>
        </w:rPr>
        <w:t>, Vodafone</w:t>
      </w:r>
    </w:p>
    <w:p w:rsidR="00F40EAB" w:rsidRDefault="00C94ECD" w:rsidP="000325B2">
      <w:pPr>
        <w:rPr>
          <w:rFonts w:cs="Arial" w:hint="eastAsia"/>
          <w:sz w:val="20"/>
          <w:szCs w:val="20"/>
        </w:rPr>
      </w:pPr>
      <w:r>
        <w:rPr>
          <w:rFonts w:cs="Arial" w:hint="eastAsia"/>
          <w:sz w:val="20"/>
          <w:szCs w:val="20"/>
        </w:rPr>
        <w:t>[2] TS38.211 15.2.0</w:t>
      </w:r>
    </w:p>
    <w:p w:rsidR="00F40EAB" w:rsidRPr="00C94ECD" w:rsidRDefault="00F40EAB" w:rsidP="000325B2">
      <w:pPr>
        <w:rPr>
          <w:rFonts w:cs="Arial"/>
          <w:sz w:val="20"/>
          <w:szCs w:val="20"/>
        </w:rPr>
      </w:pPr>
      <w:r>
        <w:rPr>
          <w:rFonts w:cs="Arial" w:hint="eastAsia"/>
          <w:sz w:val="20"/>
          <w:szCs w:val="20"/>
        </w:rPr>
        <w:t>[3] TS38.133 15.3.0</w:t>
      </w:r>
    </w:p>
    <w:sectPr w:rsidR="00F40EAB" w:rsidRPr="00C94ECD" w:rsidSect="00956C20">
      <w:pgSz w:w="11906" w:h="16838"/>
      <w:pgMar w:top="1440" w:right="1080" w:bottom="1440" w:left="1080" w:header="851" w:footer="992" w:gutter="0"/>
      <w:pgBorders w:offsetFrom="page">
        <w:top w:val="dotted" w:sz="4" w:space="24" w:color="auto"/>
        <w:left w:val="dotted" w:sz="4" w:space="24" w:color="auto"/>
        <w:bottom w:val="dotted" w:sz="4" w:space="24" w:color="auto"/>
        <w:right w:val="dotted" w:sz="4" w:space="24" w:color="auto"/>
      </w:pgBorders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68F3" w:rsidRDefault="005468F3" w:rsidP="00FF76F4">
      <w:r>
        <w:separator/>
      </w:r>
    </w:p>
  </w:endnote>
  <w:endnote w:type="continuationSeparator" w:id="0">
    <w:p w:rsidR="005468F3" w:rsidRDefault="005468F3" w:rsidP="00FF76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68F3" w:rsidRDefault="005468F3" w:rsidP="00FF76F4">
      <w:r>
        <w:separator/>
      </w:r>
    </w:p>
  </w:footnote>
  <w:footnote w:type="continuationSeparator" w:id="0">
    <w:p w:rsidR="005468F3" w:rsidRDefault="005468F3" w:rsidP="00FF76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F4A19"/>
    <w:multiLevelType w:val="hybridMultilevel"/>
    <w:tmpl w:val="B1FC97B8"/>
    <w:lvl w:ilvl="0" w:tplc="3D4293B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7394C3B"/>
    <w:multiLevelType w:val="multilevel"/>
    <w:tmpl w:val="5E0E998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8C1740F"/>
    <w:multiLevelType w:val="multilevel"/>
    <w:tmpl w:val="84DEB2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915264C"/>
    <w:multiLevelType w:val="hybridMultilevel"/>
    <w:tmpl w:val="F8BE594A"/>
    <w:lvl w:ilvl="0" w:tplc="83802386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2CF4D8A"/>
    <w:multiLevelType w:val="hybridMultilevel"/>
    <w:tmpl w:val="D79C060C"/>
    <w:lvl w:ilvl="0" w:tplc="83802386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6CB31ED"/>
    <w:multiLevelType w:val="hybridMultilevel"/>
    <w:tmpl w:val="1FD0E458"/>
    <w:lvl w:ilvl="0" w:tplc="9D5AF8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A6E38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CD6DEA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96C5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5C53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C0E9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1E57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7C64F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3EAD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C860066"/>
    <w:multiLevelType w:val="multilevel"/>
    <w:tmpl w:val="C926508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DA27CCF"/>
    <w:multiLevelType w:val="multilevel"/>
    <w:tmpl w:val="AB76667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1E21193"/>
    <w:multiLevelType w:val="hybridMultilevel"/>
    <w:tmpl w:val="E1C62E9A"/>
    <w:lvl w:ilvl="0" w:tplc="9354762A">
      <w:start w:val="1"/>
      <w:numFmt w:val="bullet"/>
      <w:lvlText w:val="­"/>
      <w:lvlJc w:val="left"/>
      <w:pPr>
        <w:ind w:left="36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61F3DCA"/>
    <w:multiLevelType w:val="hybridMultilevel"/>
    <w:tmpl w:val="5C688B3A"/>
    <w:lvl w:ilvl="0" w:tplc="4218E64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8E46F3A"/>
    <w:multiLevelType w:val="hybridMultilevel"/>
    <w:tmpl w:val="5D60B9B6"/>
    <w:lvl w:ilvl="0" w:tplc="3D4293B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2D541B2D"/>
    <w:multiLevelType w:val="hybridMultilevel"/>
    <w:tmpl w:val="6BC28392"/>
    <w:lvl w:ilvl="0" w:tplc="3D4293B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332D7A61"/>
    <w:multiLevelType w:val="hybridMultilevel"/>
    <w:tmpl w:val="7EB2D740"/>
    <w:lvl w:ilvl="0" w:tplc="4A5074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AA2164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8E6A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04F7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D6D6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06866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BC0B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349E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ADC15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645382A"/>
    <w:multiLevelType w:val="hybridMultilevel"/>
    <w:tmpl w:val="A47EEA26"/>
    <w:lvl w:ilvl="0" w:tplc="51FE08BC">
      <w:start w:val="1"/>
      <w:numFmt w:val="bullet"/>
      <w:lvlText w:val="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7AE2A35E">
      <w:start w:val="1"/>
      <w:numFmt w:val="bullet"/>
      <w:lvlText w:val="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C34CEBD0"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E121A84"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928ED348" w:tentative="1">
      <w:start w:val="1"/>
      <w:numFmt w:val="bullet"/>
      <w:lvlText w:val="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F73088E0" w:tentative="1">
      <w:start w:val="1"/>
      <w:numFmt w:val="bullet"/>
      <w:lvlText w:val="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A4AA9D2C" w:tentative="1">
      <w:start w:val="1"/>
      <w:numFmt w:val="bullet"/>
      <w:lvlText w:val="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3124BF22" w:tentative="1">
      <w:start w:val="1"/>
      <w:numFmt w:val="bullet"/>
      <w:lvlText w:val="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19B0E992" w:tentative="1">
      <w:start w:val="1"/>
      <w:numFmt w:val="bullet"/>
      <w:lvlText w:val="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>
    <w:nsid w:val="36BA3905"/>
    <w:multiLevelType w:val="hybridMultilevel"/>
    <w:tmpl w:val="76762CF8"/>
    <w:lvl w:ilvl="0" w:tplc="9354762A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73630D"/>
    <w:multiLevelType w:val="hybridMultilevel"/>
    <w:tmpl w:val="660EB2FC"/>
    <w:lvl w:ilvl="0" w:tplc="072A45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6AA19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86B5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6A73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CAED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FE92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B249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5A78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0C96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377D73D0"/>
    <w:multiLevelType w:val="hybridMultilevel"/>
    <w:tmpl w:val="906E2E0E"/>
    <w:lvl w:ilvl="0" w:tplc="83802386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8F724C8"/>
    <w:multiLevelType w:val="multilevel"/>
    <w:tmpl w:val="932ED97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9121DC2"/>
    <w:multiLevelType w:val="hybridMultilevel"/>
    <w:tmpl w:val="AEBC12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B2D6E87"/>
    <w:multiLevelType w:val="hybridMultilevel"/>
    <w:tmpl w:val="19E85C70"/>
    <w:lvl w:ilvl="0" w:tplc="3D4293BC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0F54715"/>
    <w:multiLevelType w:val="hybridMultilevel"/>
    <w:tmpl w:val="6CD821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7071654"/>
    <w:multiLevelType w:val="multilevel"/>
    <w:tmpl w:val="7E60C8D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75E37D1"/>
    <w:multiLevelType w:val="multilevel"/>
    <w:tmpl w:val="38E40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>
    <w:nsid w:val="4BF82890"/>
    <w:multiLevelType w:val="hybridMultilevel"/>
    <w:tmpl w:val="A42248A4"/>
    <w:lvl w:ilvl="0" w:tplc="377E6A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04C2C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A8EEF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00C0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90E8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EAB0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51435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EEB7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6092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4D0B693E"/>
    <w:multiLevelType w:val="multilevel"/>
    <w:tmpl w:val="7C9CC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D5A4CD3"/>
    <w:multiLevelType w:val="hybridMultilevel"/>
    <w:tmpl w:val="FA1ED656"/>
    <w:lvl w:ilvl="0" w:tplc="83802386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D7A7F98"/>
    <w:multiLevelType w:val="hybridMultilevel"/>
    <w:tmpl w:val="81CE5BD0"/>
    <w:lvl w:ilvl="0" w:tplc="83802386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F495E0B"/>
    <w:multiLevelType w:val="hybridMultilevel"/>
    <w:tmpl w:val="0E542B62"/>
    <w:lvl w:ilvl="0" w:tplc="3D4293B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50E34A25"/>
    <w:multiLevelType w:val="multilevel"/>
    <w:tmpl w:val="5D6C7D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25102D2"/>
    <w:multiLevelType w:val="multilevel"/>
    <w:tmpl w:val="DDFE044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2CE469A"/>
    <w:multiLevelType w:val="multilevel"/>
    <w:tmpl w:val="727804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F404600"/>
    <w:multiLevelType w:val="multilevel"/>
    <w:tmpl w:val="78F862B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1F91F76"/>
    <w:multiLevelType w:val="hybridMultilevel"/>
    <w:tmpl w:val="76C25840"/>
    <w:lvl w:ilvl="0" w:tplc="83802386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2C71936"/>
    <w:multiLevelType w:val="multilevel"/>
    <w:tmpl w:val="6FE07F7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4">
    <w:nsid w:val="785D6070"/>
    <w:multiLevelType w:val="multilevel"/>
    <w:tmpl w:val="C55C0F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>
    <w:nsid w:val="7A3221C4"/>
    <w:multiLevelType w:val="multilevel"/>
    <w:tmpl w:val="45DA52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7DE214A4"/>
    <w:multiLevelType w:val="multilevel"/>
    <w:tmpl w:val="F920E4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E14114A"/>
    <w:multiLevelType w:val="hybridMultilevel"/>
    <w:tmpl w:val="D9B485A6"/>
    <w:lvl w:ilvl="0" w:tplc="3D4293BC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EBF33F5"/>
    <w:multiLevelType w:val="hybridMultilevel"/>
    <w:tmpl w:val="12DE1A90"/>
    <w:lvl w:ilvl="0" w:tplc="3D4293B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AE2A35E">
      <w:start w:val="1"/>
      <w:numFmt w:val="bullet"/>
      <w:lvlText w:val="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C34CEBD0"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E121A84"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928ED348" w:tentative="1">
      <w:start w:val="1"/>
      <w:numFmt w:val="bullet"/>
      <w:lvlText w:val="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F73088E0" w:tentative="1">
      <w:start w:val="1"/>
      <w:numFmt w:val="bullet"/>
      <w:lvlText w:val="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A4AA9D2C" w:tentative="1">
      <w:start w:val="1"/>
      <w:numFmt w:val="bullet"/>
      <w:lvlText w:val="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3124BF22" w:tentative="1">
      <w:start w:val="1"/>
      <w:numFmt w:val="bullet"/>
      <w:lvlText w:val="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19B0E992" w:tentative="1">
      <w:start w:val="1"/>
      <w:numFmt w:val="bullet"/>
      <w:lvlText w:val="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9">
    <w:nsid w:val="7EDD4A6F"/>
    <w:multiLevelType w:val="multilevel"/>
    <w:tmpl w:val="A33018C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7F5D602D"/>
    <w:multiLevelType w:val="multilevel"/>
    <w:tmpl w:val="D6F294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3"/>
  </w:num>
  <w:num w:numId="2">
    <w:abstractNumId w:val="0"/>
  </w:num>
  <w:num w:numId="3">
    <w:abstractNumId w:val="11"/>
  </w:num>
  <w:num w:numId="4">
    <w:abstractNumId w:val="27"/>
  </w:num>
  <w:num w:numId="5">
    <w:abstractNumId w:val="10"/>
  </w:num>
  <w:num w:numId="6">
    <w:abstractNumId w:val="33"/>
  </w:num>
  <w:num w:numId="7">
    <w:abstractNumId w:val="33"/>
  </w:num>
  <w:num w:numId="8">
    <w:abstractNumId w:val="33"/>
  </w:num>
  <w:num w:numId="9">
    <w:abstractNumId w:val="4"/>
  </w:num>
  <w:num w:numId="10">
    <w:abstractNumId w:val="3"/>
  </w:num>
  <w:num w:numId="11">
    <w:abstractNumId w:val="14"/>
  </w:num>
  <w:num w:numId="12">
    <w:abstractNumId w:val="8"/>
  </w:num>
  <w:num w:numId="13">
    <w:abstractNumId w:val="12"/>
  </w:num>
  <w:num w:numId="14">
    <w:abstractNumId w:val="26"/>
  </w:num>
  <w:num w:numId="15">
    <w:abstractNumId w:val="33"/>
  </w:num>
  <w:num w:numId="16">
    <w:abstractNumId w:val="33"/>
  </w:num>
  <w:num w:numId="17">
    <w:abstractNumId w:val="2"/>
  </w:num>
  <w:num w:numId="18">
    <w:abstractNumId w:val="28"/>
  </w:num>
  <w:num w:numId="19">
    <w:abstractNumId w:val="31"/>
  </w:num>
  <w:num w:numId="20">
    <w:abstractNumId w:val="30"/>
  </w:num>
  <w:num w:numId="21">
    <w:abstractNumId w:val="29"/>
  </w:num>
  <w:num w:numId="22">
    <w:abstractNumId w:val="22"/>
  </w:num>
  <w:num w:numId="23">
    <w:abstractNumId w:val="7"/>
  </w:num>
  <w:num w:numId="24">
    <w:abstractNumId w:val="24"/>
  </w:num>
  <w:num w:numId="25">
    <w:abstractNumId w:val="1"/>
  </w:num>
  <w:num w:numId="26">
    <w:abstractNumId w:val="40"/>
  </w:num>
  <w:num w:numId="27">
    <w:abstractNumId w:val="6"/>
  </w:num>
  <w:num w:numId="28">
    <w:abstractNumId w:val="35"/>
  </w:num>
  <w:num w:numId="29">
    <w:abstractNumId w:val="17"/>
  </w:num>
  <w:num w:numId="30">
    <w:abstractNumId w:val="36"/>
  </w:num>
  <w:num w:numId="31">
    <w:abstractNumId w:val="39"/>
  </w:num>
  <w:num w:numId="32">
    <w:abstractNumId w:val="34"/>
  </w:num>
  <w:num w:numId="33">
    <w:abstractNumId w:val="21"/>
  </w:num>
  <w:num w:numId="34">
    <w:abstractNumId w:val="33"/>
  </w:num>
  <w:num w:numId="35">
    <w:abstractNumId w:val="16"/>
  </w:num>
  <w:num w:numId="36">
    <w:abstractNumId w:val="32"/>
  </w:num>
  <w:num w:numId="37">
    <w:abstractNumId w:val="25"/>
  </w:num>
  <w:num w:numId="38">
    <w:abstractNumId w:val="20"/>
  </w:num>
  <w:num w:numId="39">
    <w:abstractNumId w:val="23"/>
  </w:num>
  <w:num w:numId="40">
    <w:abstractNumId w:val="9"/>
  </w:num>
  <w:num w:numId="41">
    <w:abstractNumId w:val="33"/>
    <w:lvlOverride w:ilvl="0">
      <w:startOverride w:val="2"/>
    </w:lvlOverride>
    <w:lvlOverride w:ilvl="1">
      <w:startOverride w:val="4"/>
    </w:lvlOverride>
  </w:num>
  <w:num w:numId="42">
    <w:abstractNumId w:val="33"/>
  </w:num>
  <w:num w:numId="43">
    <w:abstractNumId w:val="37"/>
  </w:num>
  <w:num w:numId="44">
    <w:abstractNumId w:val="19"/>
  </w:num>
  <w:num w:numId="45">
    <w:abstractNumId w:val="33"/>
  </w:num>
  <w:num w:numId="46">
    <w:abstractNumId w:val="13"/>
  </w:num>
  <w:num w:numId="47">
    <w:abstractNumId w:val="38"/>
  </w:num>
  <w:num w:numId="48">
    <w:abstractNumId w:val="18"/>
  </w:num>
  <w:num w:numId="49">
    <w:abstractNumId w:val="5"/>
  </w:num>
  <w:num w:numId="50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6353"/>
    <w:rsid w:val="00015077"/>
    <w:rsid w:val="000171DE"/>
    <w:rsid w:val="00017298"/>
    <w:rsid w:val="00026BA7"/>
    <w:rsid w:val="000313DD"/>
    <w:rsid w:val="00031A3E"/>
    <w:rsid w:val="000325B2"/>
    <w:rsid w:val="00042195"/>
    <w:rsid w:val="0004248F"/>
    <w:rsid w:val="00044671"/>
    <w:rsid w:val="00045F80"/>
    <w:rsid w:val="000505CC"/>
    <w:rsid w:val="00051A1D"/>
    <w:rsid w:val="00052106"/>
    <w:rsid w:val="00055A49"/>
    <w:rsid w:val="00056865"/>
    <w:rsid w:val="000608D0"/>
    <w:rsid w:val="0006396D"/>
    <w:rsid w:val="000729C9"/>
    <w:rsid w:val="00080987"/>
    <w:rsid w:val="00081331"/>
    <w:rsid w:val="0008319D"/>
    <w:rsid w:val="000A13E0"/>
    <w:rsid w:val="000A63F7"/>
    <w:rsid w:val="000B36BD"/>
    <w:rsid w:val="000B7F9A"/>
    <w:rsid w:val="000C146A"/>
    <w:rsid w:val="000E09EA"/>
    <w:rsid w:val="000E2FC2"/>
    <w:rsid w:val="000E35D5"/>
    <w:rsid w:val="000E3ED7"/>
    <w:rsid w:val="000E5E68"/>
    <w:rsid w:val="000E6A3A"/>
    <w:rsid w:val="000E73B4"/>
    <w:rsid w:val="000F6EAF"/>
    <w:rsid w:val="000F73AD"/>
    <w:rsid w:val="00100301"/>
    <w:rsid w:val="00104767"/>
    <w:rsid w:val="00114621"/>
    <w:rsid w:val="00115241"/>
    <w:rsid w:val="0011627D"/>
    <w:rsid w:val="00117E80"/>
    <w:rsid w:val="0012162F"/>
    <w:rsid w:val="00131637"/>
    <w:rsid w:val="00135F9C"/>
    <w:rsid w:val="0014334E"/>
    <w:rsid w:val="00152D5E"/>
    <w:rsid w:val="001544CF"/>
    <w:rsid w:val="001548D4"/>
    <w:rsid w:val="00157E0F"/>
    <w:rsid w:val="0016472D"/>
    <w:rsid w:val="00164DF9"/>
    <w:rsid w:val="00172DF9"/>
    <w:rsid w:val="001747A1"/>
    <w:rsid w:val="001754C2"/>
    <w:rsid w:val="0017557C"/>
    <w:rsid w:val="00176EA2"/>
    <w:rsid w:val="001862D2"/>
    <w:rsid w:val="001863F5"/>
    <w:rsid w:val="00186D7A"/>
    <w:rsid w:val="001876C0"/>
    <w:rsid w:val="00190331"/>
    <w:rsid w:val="001A2BA0"/>
    <w:rsid w:val="001A31FD"/>
    <w:rsid w:val="001B6C19"/>
    <w:rsid w:val="001C3AD3"/>
    <w:rsid w:val="001D02BC"/>
    <w:rsid w:val="001D104A"/>
    <w:rsid w:val="001D3048"/>
    <w:rsid w:val="001D3D2F"/>
    <w:rsid w:val="001D5002"/>
    <w:rsid w:val="001D7324"/>
    <w:rsid w:val="001E6FE3"/>
    <w:rsid w:val="001E749D"/>
    <w:rsid w:val="001F560B"/>
    <w:rsid w:val="001F624F"/>
    <w:rsid w:val="0020558C"/>
    <w:rsid w:val="002127AC"/>
    <w:rsid w:val="00213744"/>
    <w:rsid w:val="00215310"/>
    <w:rsid w:val="00220EC2"/>
    <w:rsid w:val="002301BF"/>
    <w:rsid w:val="002333FC"/>
    <w:rsid w:val="00237ECD"/>
    <w:rsid w:val="002434F3"/>
    <w:rsid w:val="002611BB"/>
    <w:rsid w:val="00262C6C"/>
    <w:rsid w:val="00273344"/>
    <w:rsid w:val="00277A2B"/>
    <w:rsid w:val="00281E20"/>
    <w:rsid w:val="002859D8"/>
    <w:rsid w:val="00286018"/>
    <w:rsid w:val="00294438"/>
    <w:rsid w:val="00294699"/>
    <w:rsid w:val="002A77A2"/>
    <w:rsid w:val="002D350F"/>
    <w:rsid w:val="002F1435"/>
    <w:rsid w:val="002F22C9"/>
    <w:rsid w:val="00303031"/>
    <w:rsid w:val="00312862"/>
    <w:rsid w:val="00313FF8"/>
    <w:rsid w:val="00330F3A"/>
    <w:rsid w:val="00333E6B"/>
    <w:rsid w:val="00334231"/>
    <w:rsid w:val="00341CD6"/>
    <w:rsid w:val="00355EC8"/>
    <w:rsid w:val="003603A3"/>
    <w:rsid w:val="00360F2A"/>
    <w:rsid w:val="00361B28"/>
    <w:rsid w:val="003637C7"/>
    <w:rsid w:val="00364026"/>
    <w:rsid w:val="00365680"/>
    <w:rsid w:val="00370F14"/>
    <w:rsid w:val="00373C16"/>
    <w:rsid w:val="0038389A"/>
    <w:rsid w:val="00385463"/>
    <w:rsid w:val="00386DD2"/>
    <w:rsid w:val="00394462"/>
    <w:rsid w:val="003A0F8B"/>
    <w:rsid w:val="003A4EAB"/>
    <w:rsid w:val="003B3155"/>
    <w:rsid w:val="003B7398"/>
    <w:rsid w:val="003B7523"/>
    <w:rsid w:val="003C0D83"/>
    <w:rsid w:val="003C5997"/>
    <w:rsid w:val="003C5F2E"/>
    <w:rsid w:val="003D18C4"/>
    <w:rsid w:val="003D5CA7"/>
    <w:rsid w:val="003E4B7E"/>
    <w:rsid w:val="003F3B4D"/>
    <w:rsid w:val="003F7ED7"/>
    <w:rsid w:val="004010D3"/>
    <w:rsid w:val="004049D7"/>
    <w:rsid w:val="00405626"/>
    <w:rsid w:val="00416B05"/>
    <w:rsid w:val="00420B0E"/>
    <w:rsid w:val="0042771E"/>
    <w:rsid w:val="00445269"/>
    <w:rsid w:val="00446AA2"/>
    <w:rsid w:val="00464581"/>
    <w:rsid w:val="004652A2"/>
    <w:rsid w:val="004715CF"/>
    <w:rsid w:val="00471A98"/>
    <w:rsid w:val="0048101F"/>
    <w:rsid w:val="004814B5"/>
    <w:rsid w:val="00481C99"/>
    <w:rsid w:val="00483678"/>
    <w:rsid w:val="004870CC"/>
    <w:rsid w:val="004B5B7B"/>
    <w:rsid w:val="004C5873"/>
    <w:rsid w:val="004D5396"/>
    <w:rsid w:val="004E0EBD"/>
    <w:rsid w:val="004E50F2"/>
    <w:rsid w:val="004E64C5"/>
    <w:rsid w:val="004F0168"/>
    <w:rsid w:val="004F5EED"/>
    <w:rsid w:val="00506DB2"/>
    <w:rsid w:val="00511D7F"/>
    <w:rsid w:val="005121F7"/>
    <w:rsid w:val="005138F6"/>
    <w:rsid w:val="005220E2"/>
    <w:rsid w:val="005369E7"/>
    <w:rsid w:val="00537119"/>
    <w:rsid w:val="00540BD4"/>
    <w:rsid w:val="00546844"/>
    <w:rsid w:val="005468F3"/>
    <w:rsid w:val="005542D3"/>
    <w:rsid w:val="00563BFE"/>
    <w:rsid w:val="00567324"/>
    <w:rsid w:val="005722AC"/>
    <w:rsid w:val="00593FEF"/>
    <w:rsid w:val="005A09F3"/>
    <w:rsid w:val="005B49A1"/>
    <w:rsid w:val="005C1696"/>
    <w:rsid w:val="005D08C9"/>
    <w:rsid w:val="005D5D1C"/>
    <w:rsid w:val="005D6552"/>
    <w:rsid w:val="005D7CDF"/>
    <w:rsid w:val="005E2128"/>
    <w:rsid w:val="005F1126"/>
    <w:rsid w:val="005F7DC9"/>
    <w:rsid w:val="00602538"/>
    <w:rsid w:val="00603B1C"/>
    <w:rsid w:val="006138BB"/>
    <w:rsid w:val="00617A8C"/>
    <w:rsid w:val="00621B52"/>
    <w:rsid w:val="00627385"/>
    <w:rsid w:val="006409FF"/>
    <w:rsid w:val="00652224"/>
    <w:rsid w:val="00655C68"/>
    <w:rsid w:val="00657398"/>
    <w:rsid w:val="00672373"/>
    <w:rsid w:val="006770D0"/>
    <w:rsid w:val="00685682"/>
    <w:rsid w:val="00691F06"/>
    <w:rsid w:val="006A0C13"/>
    <w:rsid w:val="006A262E"/>
    <w:rsid w:val="006A2916"/>
    <w:rsid w:val="006A3580"/>
    <w:rsid w:val="006A66E7"/>
    <w:rsid w:val="006B0260"/>
    <w:rsid w:val="006B18B2"/>
    <w:rsid w:val="006B5D4A"/>
    <w:rsid w:val="006C4D3B"/>
    <w:rsid w:val="006C4F30"/>
    <w:rsid w:val="006C7D50"/>
    <w:rsid w:val="006D178A"/>
    <w:rsid w:val="006E150F"/>
    <w:rsid w:val="006E22A5"/>
    <w:rsid w:val="006F7042"/>
    <w:rsid w:val="00701605"/>
    <w:rsid w:val="007019E8"/>
    <w:rsid w:val="00703BF5"/>
    <w:rsid w:val="0070580F"/>
    <w:rsid w:val="00726E83"/>
    <w:rsid w:val="0072746D"/>
    <w:rsid w:val="007327FE"/>
    <w:rsid w:val="00737E37"/>
    <w:rsid w:val="007407C2"/>
    <w:rsid w:val="00760666"/>
    <w:rsid w:val="00764BD3"/>
    <w:rsid w:val="00765107"/>
    <w:rsid w:val="00775836"/>
    <w:rsid w:val="00797506"/>
    <w:rsid w:val="007A31F6"/>
    <w:rsid w:val="007A3EC3"/>
    <w:rsid w:val="007A59B9"/>
    <w:rsid w:val="007A7F32"/>
    <w:rsid w:val="007B2E04"/>
    <w:rsid w:val="007C0766"/>
    <w:rsid w:val="007C116B"/>
    <w:rsid w:val="007C2020"/>
    <w:rsid w:val="007D0AC1"/>
    <w:rsid w:val="007D21B4"/>
    <w:rsid w:val="007D30B5"/>
    <w:rsid w:val="007D69D0"/>
    <w:rsid w:val="007E09C7"/>
    <w:rsid w:val="007E5B96"/>
    <w:rsid w:val="007F6627"/>
    <w:rsid w:val="00802237"/>
    <w:rsid w:val="0080321A"/>
    <w:rsid w:val="00803929"/>
    <w:rsid w:val="00805413"/>
    <w:rsid w:val="008068FB"/>
    <w:rsid w:val="0082250D"/>
    <w:rsid w:val="0082562C"/>
    <w:rsid w:val="0083618B"/>
    <w:rsid w:val="00840939"/>
    <w:rsid w:val="00840A0D"/>
    <w:rsid w:val="00842028"/>
    <w:rsid w:val="008508C0"/>
    <w:rsid w:val="00851583"/>
    <w:rsid w:val="00855466"/>
    <w:rsid w:val="008579E2"/>
    <w:rsid w:val="00867017"/>
    <w:rsid w:val="00867372"/>
    <w:rsid w:val="008726FD"/>
    <w:rsid w:val="00872843"/>
    <w:rsid w:val="00875009"/>
    <w:rsid w:val="00884C00"/>
    <w:rsid w:val="00891694"/>
    <w:rsid w:val="008B7BD9"/>
    <w:rsid w:val="008C2BB1"/>
    <w:rsid w:val="008C3FC6"/>
    <w:rsid w:val="008C63DB"/>
    <w:rsid w:val="008C6996"/>
    <w:rsid w:val="008D1D0E"/>
    <w:rsid w:val="008E27F0"/>
    <w:rsid w:val="008F2591"/>
    <w:rsid w:val="00904BC6"/>
    <w:rsid w:val="00910877"/>
    <w:rsid w:val="009129AA"/>
    <w:rsid w:val="00912E5E"/>
    <w:rsid w:val="009142B0"/>
    <w:rsid w:val="009334E9"/>
    <w:rsid w:val="00936592"/>
    <w:rsid w:val="00940865"/>
    <w:rsid w:val="009434B9"/>
    <w:rsid w:val="00943A21"/>
    <w:rsid w:val="0094621B"/>
    <w:rsid w:val="00950A45"/>
    <w:rsid w:val="009520C4"/>
    <w:rsid w:val="009527D5"/>
    <w:rsid w:val="00952F7A"/>
    <w:rsid w:val="00953116"/>
    <w:rsid w:val="00956C20"/>
    <w:rsid w:val="009611CD"/>
    <w:rsid w:val="00972967"/>
    <w:rsid w:val="00973B9C"/>
    <w:rsid w:val="0097576B"/>
    <w:rsid w:val="00976720"/>
    <w:rsid w:val="00980059"/>
    <w:rsid w:val="00980A19"/>
    <w:rsid w:val="00980ED1"/>
    <w:rsid w:val="00983B68"/>
    <w:rsid w:val="0098779D"/>
    <w:rsid w:val="009B1B00"/>
    <w:rsid w:val="009D33E9"/>
    <w:rsid w:val="009F0FDA"/>
    <w:rsid w:val="009F4BE4"/>
    <w:rsid w:val="00A26A7B"/>
    <w:rsid w:val="00A615C1"/>
    <w:rsid w:val="00A6191E"/>
    <w:rsid w:val="00A61B3C"/>
    <w:rsid w:val="00A71428"/>
    <w:rsid w:val="00A737E2"/>
    <w:rsid w:val="00A7604F"/>
    <w:rsid w:val="00A87E14"/>
    <w:rsid w:val="00A90B47"/>
    <w:rsid w:val="00A90B54"/>
    <w:rsid w:val="00AA4120"/>
    <w:rsid w:val="00AA767B"/>
    <w:rsid w:val="00AB32C7"/>
    <w:rsid w:val="00AC1DB1"/>
    <w:rsid w:val="00AC5CCA"/>
    <w:rsid w:val="00AD1800"/>
    <w:rsid w:val="00AD2262"/>
    <w:rsid w:val="00AD4EDA"/>
    <w:rsid w:val="00AD5602"/>
    <w:rsid w:val="00AD798E"/>
    <w:rsid w:val="00AE2762"/>
    <w:rsid w:val="00AE6D64"/>
    <w:rsid w:val="00AF089E"/>
    <w:rsid w:val="00AF476C"/>
    <w:rsid w:val="00AF7731"/>
    <w:rsid w:val="00B13DD4"/>
    <w:rsid w:val="00B148B1"/>
    <w:rsid w:val="00B151C5"/>
    <w:rsid w:val="00B27D51"/>
    <w:rsid w:val="00B31802"/>
    <w:rsid w:val="00B40FD3"/>
    <w:rsid w:val="00B45622"/>
    <w:rsid w:val="00B5191F"/>
    <w:rsid w:val="00B52143"/>
    <w:rsid w:val="00B63C37"/>
    <w:rsid w:val="00B64A2D"/>
    <w:rsid w:val="00B748E9"/>
    <w:rsid w:val="00B80CFD"/>
    <w:rsid w:val="00B83038"/>
    <w:rsid w:val="00B836FE"/>
    <w:rsid w:val="00B838AB"/>
    <w:rsid w:val="00B91CDD"/>
    <w:rsid w:val="00B92E27"/>
    <w:rsid w:val="00B95BE9"/>
    <w:rsid w:val="00BA1726"/>
    <w:rsid w:val="00BB325B"/>
    <w:rsid w:val="00BB36C4"/>
    <w:rsid w:val="00BB7649"/>
    <w:rsid w:val="00BC248D"/>
    <w:rsid w:val="00BC263A"/>
    <w:rsid w:val="00BC3227"/>
    <w:rsid w:val="00BC3760"/>
    <w:rsid w:val="00BC737C"/>
    <w:rsid w:val="00BC78F2"/>
    <w:rsid w:val="00BD6FD0"/>
    <w:rsid w:val="00BE460A"/>
    <w:rsid w:val="00BF5CFA"/>
    <w:rsid w:val="00C04D38"/>
    <w:rsid w:val="00C143D4"/>
    <w:rsid w:val="00C15C07"/>
    <w:rsid w:val="00C210DA"/>
    <w:rsid w:val="00C23744"/>
    <w:rsid w:val="00C33332"/>
    <w:rsid w:val="00C4135D"/>
    <w:rsid w:val="00C45B9E"/>
    <w:rsid w:val="00C501D1"/>
    <w:rsid w:val="00C51218"/>
    <w:rsid w:val="00C547C1"/>
    <w:rsid w:val="00C56B4F"/>
    <w:rsid w:val="00C57A03"/>
    <w:rsid w:val="00C61E34"/>
    <w:rsid w:val="00C65C49"/>
    <w:rsid w:val="00C73542"/>
    <w:rsid w:val="00C80873"/>
    <w:rsid w:val="00C82508"/>
    <w:rsid w:val="00C863E2"/>
    <w:rsid w:val="00C90159"/>
    <w:rsid w:val="00C94ECD"/>
    <w:rsid w:val="00CA3854"/>
    <w:rsid w:val="00CB0BD7"/>
    <w:rsid w:val="00CB1D46"/>
    <w:rsid w:val="00CB4C0B"/>
    <w:rsid w:val="00CC1786"/>
    <w:rsid w:val="00CC26B9"/>
    <w:rsid w:val="00CC6372"/>
    <w:rsid w:val="00CD06BB"/>
    <w:rsid w:val="00CD4334"/>
    <w:rsid w:val="00CE1453"/>
    <w:rsid w:val="00CE6FB4"/>
    <w:rsid w:val="00CF3E25"/>
    <w:rsid w:val="00CF7F3A"/>
    <w:rsid w:val="00D02C44"/>
    <w:rsid w:val="00D14457"/>
    <w:rsid w:val="00D312BD"/>
    <w:rsid w:val="00D377A4"/>
    <w:rsid w:val="00D44391"/>
    <w:rsid w:val="00D5226F"/>
    <w:rsid w:val="00D52567"/>
    <w:rsid w:val="00D53575"/>
    <w:rsid w:val="00D579B5"/>
    <w:rsid w:val="00D7149D"/>
    <w:rsid w:val="00D71CCC"/>
    <w:rsid w:val="00D72C28"/>
    <w:rsid w:val="00D81E3A"/>
    <w:rsid w:val="00D861FD"/>
    <w:rsid w:val="00D919C5"/>
    <w:rsid w:val="00D95BAF"/>
    <w:rsid w:val="00D9767B"/>
    <w:rsid w:val="00DB1CDE"/>
    <w:rsid w:val="00DC1A2B"/>
    <w:rsid w:val="00DC5BDF"/>
    <w:rsid w:val="00DC723A"/>
    <w:rsid w:val="00DD66BA"/>
    <w:rsid w:val="00DE34F5"/>
    <w:rsid w:val="00DE42FB"/>
    <w:rsid w:val="00DE4A0B"/>
    <w:rsid w:val="00DF01B2"/>
    <w:rsid w:val="00DF0AB8"/>
    <w:rsid w:val="00E10AEF"/>
    <w:rsid w:val="00E14F20"/>
    <w:rsid w:val="00E20BFF"/>
    <w:rsid w:val="00E2477B"/>
    <w:rsid w:val="00E335AA"/>
    <w:rsid w:val="00E34ECB"/>
    <w:rsid w:val="00E41698"/>
    <w:rsid w:val="00E5058B"/>
    <w:rsid w:val="00E67657"/>
    <w:rsid w:val="00E7262A"/>
    <w:rsid w:val="00E82660"/>
    <w:rsid w:val="00EA29F4"/>
    <w:rsid w:val="00EA30A2"/>
    <w:rsid w:val="00EA34E5"/>
    <w:rsid w:val="00EA5062"/>
    <w:rsid w:val="00EB0D61"/>
    <w:rsid w:val="00EB195F"/>
    <w:rsid w:val="00EB3D45"/>
    <w:rsid w:val="00EB73BA"/>
    <w:rsid w:val="00ED464C"/>
    <w:rsid w:val="00EE03AE"/>
    <w:rsid w:val="00EE06EC"/>
    <w:rsid w:val="00EE1F49"/>
    <w:rsid w:val="00EE40F3"/>
    <w:rsid w:val="00EE4B8C"/>
    <w:rsid w:val="00EF1343"/>
    <w:rsid w:val="00EF13F0"/>
    <w:rsid w:val="00EF6422"/>
    <w:rsid w:val="00F060C4"/>
    <w:rsid w:val="00F25208"/>
    <w:rsid w:val="00F26A5D"/>
    <w:rsid w:val="00F3256B"/>
    <w:rsid w:val="00F341C2"/>
    <w:rsid w:val="00F34925"/>
    <w:rsid w:val="00F40EAB"/>
    <w:rsid w:val="00F413AA"/>
    <w:rsid w:val="00F4377A"/>
    <w:rsid w:val="00F44FBE"/>
    <w:rsid w:val="00F5146C"/>
    <w:rsid w:val="00F56353"/>
    <w:rsid w:val="00F636B3"/>
    <w:rsid w:val="00F64543"/>
    <w:rsid w:val="00F74612"/>
    <w:rsid w:val="00F761D2"/>
    <w:rsid w:val="00F81BF7"/>
    <w:rsid w:val="00F83C8B"/>
    <w:rsid w:val="00F87F22"/>
    <w:rsid w:val="00F908B2"/>
    <w:rsid w:val="00F96168"/>
    <w:rsid w:val="00F97654"/>
    <w:rsid w:val="00FA098F"/>
    <w:rsid w:val="00FA0D21"/>
    <w:rsid w:val="00FA2623"/>
    <w:rsid w:val="00FB06CE"/>
    <w:rsid w:val="00FB306B"/>
    <w:rsid w:val="00FB3082"/>
    <w:rsid w:val="00FB4F47"/>
    <w:rsid w:val="00FB5805"/>
    <w:rsid w:val="00FB7E9C"/>
    <w:rsid w:val="00FC029B"/>
    <w:rsid w:val="00FC3861"/>
    <w:rsid w:val="00FC5C68"/>
    <w:rsid w:val="00FD0D77"/>
    <w:rsid w:val="00FD5645"/>
    <w:rsid w:val="00FE2BD0"/>
    <w:rsid w:val="00FE5A56"/>
    <w:rsid w:val="00FF5D13"/>
    <w:rsid w:val="00FF7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76F4"/>
    <w:pPr>
      <w:widowControl w:val="0"/>
      <w:jc w:val="both"/>
    </w:pPr>
  </w:style>
  <w:style w:type="paragraph" w:styleId="Heading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FF76F4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FF76F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,l3,3,list 3,Head 3"/>
    <w:basedOn w:val="Heading2"/>
    <w:next w:val="Normal"/>
    <w:link w:val="Heading3Char1"/>
    <w:qFormat/>
    <w:rsid w:val="00FF76F4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4,heading 4,41,42,43,411,421,44,412,422,45"/>
    <w:basedOn w:val="Heading3"/>
    <w:next w:val="Normal"/>
    <w:link w:val="Heading4Char"/>
    <w:qFormat/>
    <w:rsid w:val="00FF76F4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qFormat/>
    <w:rsid w:val="00FF76F4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qFormat/>
    <w:rsid w:val="00FF76F4"/>
    <w:pPr>
      <w:keepNext/>
      <w:keepLines/>
      <w:widowControl/>
      <w:numPr>
        <w:ilvl w:val="5"/>
        <w:numId w:val="1"/>
      </w:numPr>
      <w:spacing w:before="120" w:after="180"/>
      <w:jc w:val="left"/>
      <w:outlineLvl w:val="5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FF76F4"/>
    <w:pPr>
      <w:keepNext/>
      <w:keepLines/>
      <w:widowControl/>
      <w:numPr>
        <w:ilvl w:val="6"/>
        <w:numId w:val="1"/>
      </w:numPr>
      <w:spacing w:before="120" w:after="180"/>
      <w:jc w:val="left"/>
      <w:outlineLvl w:val="6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Heading8">
    <w:name w:val="heading 8"/>
    <w:basedOn w:val="Heading1"/>
    <w:next w:val="Normal"/>
    <w:link w:val="Heading8Char"/>
    <w:qFormat/>
    <w:rsid w:val="00FF76F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F76F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basedOn w:val="Normal"/>
    <w:link w:val="HeaderChar"/>
    <w:unhideWhenUsed/>
    <w:rsid w:val="00FF76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DefaultParagraphFont"/>
    <w:link w:val="Header"/>
    <w:rsid w:val="00FF76F4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FF76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FF76F4"/>
    <w:rPr>
      <w:sz w:val="18"/>
      <w:szCs w:val="18"/>
    </w:rPr>
  </w:style>
  <w:style w:type="character" w:customStyle="1" w:styleId="Heading1Char">
    <w:name w:val="Heading 1 Char"/>
    <w:aliases w:val="H1 Char,Memo Heading 1 Char,h1 + 11 pt Char,Before:  6 pt Char,After:  0 pt Char,NMP Heading 1 Char,h1 Char,app heading 1 Char,l1 Char,h11 Char,h12 Char,h13 Char,h14 Char,h15 Char,h16 Char,h17 Char,h111 Char,h121 Char,h131 Char,h141 Char"/>
    <w:basedOn w:val="DefaultParagraphFont"/>
    <w:link w:val="Heading1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FF76F4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,l3 Char"/>
    <w:basedOn w:val="DefaultParagraphFont"/>
    <w:link w:val="Heading3"/>
    <w:rsid w:val="00FF76F4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F76F4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basedOn w:val="DefaultParagraphFont"/>
    <w:link w:val="Heading5"/>
    <w:rsid w:val="00FF76F4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FF76F4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FF76F4"/>
    <w:rPr>
      <w:rFonts w:ascii="宋体" w:eastAsia="宋体" w:hAnsi="宋体" w:cs="宋体"/>
      <w:kern w:val="0"/>
      <w:sz w:val="24"/>
      <w:szCs w:val="24"/>
    </w:rPr>
  </w:style>
  <w:style w:type="character" w:styleId="Hyperlink">
    <w:name w:val="Hyperlink"/>
    <w:uiPriority w:val="99"/>
    <w:unhideWhenUsed/>
    <w:rsid w:val="00FA2623"/>
    <w:rPr>
      <w:color w:val="0000FF"/>
      <w:u w:val="single"/>
    </w:rPr>
  </w:style>
  <w:style w:type="paragraph" w:customStyle="1" w:styleId="NO">
    <w:name w:val="NO"/>
    <w:basedOn w:val="Normal"/>
    <w:link w:val="NOChar"/>
    <w:rsid w:val="00DF01B2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NOChar">
    <w:name w:val="NO Char"/>
    <w:link w:val="NO"/>
    <w:rsid w:val="00DF01B2"/>
    <w:rPr>
      <w:rFonts w:ascii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TAH">
    <w:name w:val="TAH"/>
    <w:basedOn w:val="TAC"/>
    <w:link w:val="TAHCar"/>
    <w:rsid w:val="00910877"/>
    <w:rPr>
      <w:b/>
    </w:rPr>
  </w:style>
  <w:style w:type="paragraph" w:customStyle="1" w:styleId="TAC">
    <w:name w:val="TAC"/>
    <w:basedOn w:val="Normal"/>
    <w:link w:val="TACChar"/>
    <w:qFormat/>
    <w:rsid w:val="00910877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宋体" w:hAnsi="Arial" w:cs="Times New Roman"/>
      <w:kern w:val="0"/>
      <w:sz w:val="18"/>
      <w:szCs w:val="20"/>
      <w:lang w:val="en-GB"/>
    </w:rPr>
  </w:style>
  <w:style w:type="character" w:customStyle="1" w:styleId="TACChar">
    <w:name w:val="TAC Char"/>
    <w:basedOn w:val="DefaultParagraphFont"/>
    <w:link w:val="TAC"/>
    <w:rsid w:val="00910877"/>
    <w:rPr>
      <w:rFonts w:ascii="Arial" w:eastAsia="宋体" w:hAnsi="Arial" w:cs="Times New Roman"/>
      <w:kern w:val="0"/>
      <w:sz w:val="18"/>
      <w:szCs w:val="20"/>
      <w:lang w:val="en-GB"/>
    </w:rPr>
  </w:style>
  <w:style w:type="paragraph" w:customStyle="1" w:styleId="TH">
    <w:name w:val="TH"/>
    <w:basedOn w:val="Normal"/>
    <w:link w:val="THChar"/>
    <w:rsid w:val="00910877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HChar">
    <w:name w:val="TH Char"/>
    <w:basedOn w:val="DefaultParagraphFont"/>
    <w:link w:val="TH"/>
    <w:rsid w:val="00910877"/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AHCar">
    <w:name w:val="TAH Car"/>
    <w:basedOn w:val="DefaultParagraphFont"/>
    <w:link w:val="TAH"/>
    <w:rsid w:val="00910877"/>
    <w:rPr>
      <w:rFonts w:ascii="Arial" w:eastAsia="宋体" w:hAnsi="Arial" w:cs="Times New Roman"/>
      <w:b/>
      <w:kern w:val="0"/>
      <w:sz w:val="18"/>
      <w:szCs w:val="20"/>
      <w:lang w:val="en-GB"/>
    </w:rPr>
  </w:style>
  <w:style w:type="table" w:styleId="TableGrid">
    <w:name w:val="Table Grid"/>
    <w:basedOn w:val="TableNormal"/>
    <w:uiPriority w:val="59"/>
    <w:rsid w:val="00EE03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4E64C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E14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7E14"/>
    <w:rPr>
      <w:sz w:val="18"/>
      <w:szCs w:val="18"/>
    </w:rPr>
  </w:style>
  <w:style w:type="paragraph" w:customStyle="1" w:styleId="B1">
    <w:name w:val="B1"/>
    <w:basedOn w:val="Normal"/>
    <w:link w:val="B1Zchn"/>
    <w:rsid w:val="001544CF"/>
    <w:pPr>
      <w:widowControl/>
      <w:spacing w:after="180"/>
      <w:ind w:left="568" w:hanging="284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Zchn">
    <w:name w:val="B1 Zchn"/>
    <w:link w:val="B1"/>
    <w:rsid w:val="001544CF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N">
    <w:name w:val="TAN"/>
    <w:basedOn w:val="Normal"/>
    <w:link w:val="TANChar"/>
    <w:rsid w:val="006E22A5"/>
    <w:pPr>
      <w:keepNext/>
      <w:keepLines/>
      <w:widowControl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x-none"/>
    </w:rPr>
  </w:style>
  <w:style w:type="character" w:customStyle="1" w:styleId="TANChar">
    <w:name w:val="TAN Char"/>
    <w:basedOn w:val="DefaultParagraphFont"/>
    <w:link w:val="TAN"/>
    <w:rsid w:val="006E22A5"/>
    <w:rPr>
      <w:rFonts w:ascii="Arial" w:eastAsia="Times New Roman" w:hAnsi="Arial" w:cs="Times New Roman"/>
      <w:kern w:val="0"/>
      <w:sz w:val="18"/>
      <w:szCs w:val="20"/>
      <w:lang w:val="en-GB" w:eastAsia="x-none"/>
    </w:rPr>
  </w:style>
  <w:style w:type="character" w:styleId="SubtleEmphasis">
    <w:name w:val="Subtle Emphasis"/>
    <w:basedOn w:val="DefaultParagraphFont"/>
    <w:uiPriority w:val="19"/>
    <w:qFormat/>
    <w:rsid w:val="001D104A"/>
    <w:rPr>
      <w:i/>
      <w:iCs/>
      <w:color w:val="808080" w:themeColor="text1" w:themeTint="7F"/>
    </w:rPr>
  </w:style>
  <w:style w:type="character" w:customStyle="1" w:styleId="search-word-mail">
    <w:name w:val="search-word-mail"/>
    <w:basedOn w:val="DefaultParagraphFont"/>
    <w:rsid w:val="00E2477B"/>
  </w:style>
  <w:style w:type="paragraph" w:customStyle="1" w:styleId="PL">
    <w:name w:val="PL"/>
    <w:link w:val="PLChar"/>
    <w:qFormat/>
    <w:rsid w:val="0089169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 w:cs="Times New Roman"/>
      <w:noProof/>
      <w:kern w:val="0"/>
      <w:sz w:val="16"/>
      <w:szCs w:val="20"/>
      <w:lang w:val="en-GB" w:eastAsia="sv-SE"/>
    </w:rPr>
  </w:style>
  <w:style w:type="character" w:customStyle="1" w:styleId="PLChar">
    <w:name w:val="PL Char"/>
    <w:link w:val="PL"/>
    <w:qFormat/>
    <w:rsid w:val="00891694"/>
    <w:rPr>
      <w:rFonts w:ascii="Courier New" w:eastAsia="Batang" w:hAnsi="Courier New" w:cs="Times New Roman"/>
      <w:noProof/>
      <w:kern w:val="0"/>
      <w:sz w:val="16"/>
      <w:szCs w:val="20"/>
      <w:shd w:val="clear" w:color="auto" w:fill="E6E6E6"/>
      <w:lang w:val="en-GB" w:eastAsia="sv-S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76F4"/>
    <w:pPr>
      <w:widowControl w:val="0"/>
      <w:jc w:val="both"/>
    </w:pPr>
  </w:style>
  <w:style w:type="paragraph" w:styleId="Heading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FF76F4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FF76F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,l3,3,list 3,Head 3"/>
    <w:basedOn w:val="Heading2"/>
    <w:next w:val="Normal"/>
    <w:link w:val="Heading3Char1"/>
    <w:qFormat/>
    <w:rsid w:val="00FF76F4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4,heading 4,41,42,43,411,421,44,412,422,45"/>
    <w:basedOn w:val="Heading3"/>
    <w:next w:val="Normal"/>
    <w:link w:val="Heading4Char"/>
    <w:qFormat/>
    <w:rsid w:val="00FF76F4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qFormat/>
    <w:rsid w:val="00FF76F4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qFormat/>
    <w:rsid w:val="00FF76F4"/>
    <w:pPr>
      <w:keepNext/>
      <w:keepLines/>
      <w:widowControl/>
      <w:numPr>
        <w:ilvl w:val="5"/>
        <w:numId w:val="1"/>
      </w:numPr>
      <w:spacing w:before="120" w:after="180"/>
      <w:jc w:val="left"/>
      <w:outlineLvl w:val="5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FF76F4"/>
    <w:pPr>
      <w:keepNext/>
      <w:keepLines/>
      <w:widowControl/>
      <w:numPr>
        <w:ilvl w:val="6"/>
        <w:numId w:val="1"/>
      </w:numPr>
      <w:spacing w:before="120" w:after="180"/>
      <w:jc w:val="left"/>
      <w:outlineLvl w:val="6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Heading8">
    <w:name w:val="heading 8"/>
    <w:basedOn w:val="Heading1"/>
    <w:next w:val="Normal"/>
    <w:link w:val="Heading8Char"/>
    <w:qFormat/>
    <w:rsid w:val="00FF76F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F76F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basedOn w:val="Normal"/>
    <w:link w:val="HeaderChar"/>
    <w:unhideWhenUsed/>
    <w:rsid w:val="00FF76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DefaultParagraphFont"/>
    <w:link w:val="Header"/>
    <w:rsid w:val="00FF76F4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FF76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FF76F4"/>
    <w:rPr>
      <w:sz w:val="18"/>
      <w:szCs w:val="18"/>
    </w:rPr>
  </w:style>
  <w:style w:type="character" w:customStyle="1" w:styleId="Heading1Char">
    <w:name w:val="Heading 1 Char"/>
    <w:aliases w:val="H1 Char,Memo Heading 1 Char,h1 + 11 pt Char,Before:  6 pt Char,After:  0 pt Char,NMP Heading 1 Char,h1 Char,app heading 1 Char,l1 Char,h11 Char,h12 Char,h13 Char,h14 Char,h15 Char,h16 Char,h17 Char,h111 Char,h121 Char,h131 Char,h141 Char"/>
    <w:basedOn w:val="DefaultParagraphFont"/>
    <w:link w:val="Heading1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FF76F4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,l3 Char"/>
    <w:basedOn w:val="DefaultParagraphFont"/>
    <w:link w:val="Heading3"/>
    <w:rsid w:val="00FF76F4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F76F4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basedOn w:val="DefaultParagraphFont"/>
    <w:link w:val="Heading5"/>
    <w:rsid w:val="00FF76F4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FF76F4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FF76F4"/>
    <w:rPr>
      <w:rFonts w:ascii="宋体" w:eastAsia="宋体" w:hAnsi="宋体" w:cs="宋体"/>
      <w:kern w:val="0"/>
      <w:sz w:val="24"/>
      <w:szCs w:val="24"/>
    </w:rPr>
  </w:style>
  <w:style w:type="character" w:styleId="Hyperlink">
    <w:name w:val="Hyperlink"/>
    <w:uiPriority w:val="99"/>
    <w:unhideWhenUsed/>
    <w:rsid w:val="00FA2623"/>
    <w:rPr>
      <w:color w:val="0000FF"/>
      <w:u w:val="single"/>
    </w:rPr>
  </w:style>
  <w:style w:type="paragraph" w:customStyle="1" w:styleId="NO">
    <w:name w:val="NO"/>
    <w:basedOn w:val="Normal"/>
    <w:link w:val="NOChar"/>
    <w:rsid w:val="00DF01B2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NOChar">
    <w:name w:val="NO Char"/>
    <w:link w:val="NO"/>
    <w:rsid w:val="00DF01B2"/>
    <w:rPr>
      <w:rFonts w:ascii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TAH">
    <w:name w:val="TAH"/>
    <w:basedOn w:val="TAC"/>
    <w:link w:val="TAHCar"/>
    <w:rsid w:val="00910877"/>
    <w:rPr>
      <w:b/>
    </w:rPr>
  </w:style>
  <w:style w:type="paragraph" w:customStyle="1" w:styleId="TAC">
    <w:name w:val="TAC"/>
    <w:basedOn w:val="Normal"/>
    <w:link w:val="TACChar"/>
    <w:qFormat/>
    <w:rsid w:val="00910877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宋体" w:hAnsi="Arial" w:cs="Times New Roman"/>
      <w:kern w:val="0"/>
      <w:sz w:val="18"/>
      <w:szCs w:val="20"/>
      <w:lang w:val="en-GB"/>
    </w:rPr>
  </w:style>
  <w:style w:type="character" w:customStyle="1" w:styleId="TACChar">
    <w:name w:val="TAC Char"/>
    <w:basedOn w:val="DefaultParagraphFont"/>
    <w:link w:val="TAC"/>
    <w:rsid w:val="00910877"/>
    <w:rPr>
      <w:rFonts w:ascii="Arial" w:eastAsia="宋体" w:hAnsi="Arial" w:cs="Times New Roman"/>
      <w:kern w:val="0"/>
      <w:sz w:val="18"/>
      <w:szCs w:val="20"/>
      <w:lang w:val="en-GB"/>
    </w:rPr>
  </w:style>
  <w:style w:type="paragraph" w:customStyle="1" w:styleId="TH">
    <w:name w:val="TH"/>
    <w:basedOn w:val="Normal"/>
    <w:link w:val="THChar"/>
    <w:rsid w:val="00910877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HChar">
    <w:name w:val="TH Char"/>
    <w:basedOn w:val="DefaultParagraphFont"/>
    <w:link w:val="TH"/>
    <w:rsid w:val="00910877"/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AHCar">
    <w:name w:val="TAH Car"/>
    <w:basedOn w:val="DefaultParagraphFont"/>
    <w:link w:val="TAH"/>
    <w:rsid w:val="00910877"/>
    <w:rPr>
      <w:rFonts w:ascii="Arial" w:eastAsia="宋体" w:hAnsi="Arial" w:cs="Times New Roman"/>
      <w:b/>
      <w:kern w:val="0"/>
      <w:sz w:val="18"/>
      <w:szCs w:val="20"/>
      <w:lang w:val="en-GB"/>
    </w:rPr>
  </w:style>
  <w:style w:type="table" w:styleId="TableGrid">
    <w:name w:val="Table Grid"/>
    <w:basedOn w:val="TableNormal"/>
    <w:uiPriority w:val="59"/>
    <w:rsid w:val="00EE03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4E64C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E14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7E14"/>
    <w:rPr>
      <w:sz w:val="18"/>
      <w:szCs w:val="18"/>
    </w:rPr>
  </w:style>
  <w:style w:type="paragraph" w:customStyle="1" w:styleId="B1">
    <w:name w:val="B1"/>
    <w:basedOn w:val="Normal"/>
    <w:link w:val="B1Zchn"/>
    <w:rsid w:val="001544CF"/>
    <w:pPr>
      <w:widowControl/>
      <w:spacing w:after="180"/>
      <w:ind w:left="568" w:hanging="284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Zchn">
    <w:name w:val="B1 Zchn"/>
    <w:link w:val="B1"/>
    <w:rsid w:val="001544CF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N">
    <w:name w:val="TAN"/>
    <w:basedOn w:val="Normal"/>
    <w:link w:val="TANChar"/>
    <w:rsid w:val="006E22A5"/>
    <w:pPr>
      <w:keepNext/>
      <w:keepLines/>
      <w:widowControl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x-none"/>
    </w:rPr>
  </w:style>
  <w:style w:type="character" w:customStyle="1" w:styleId="TANChar">
    <w:name w:val="TAN Char"/>
    <w:basedOn w:val="DefaultParagraphFont"/>
    <w:link w:val="TAN"/>
    <w:rsid w:val="006E22A5"/>
    <w:rPr>
      <w:rFonts w:ascii="Arial" w:eastAsia="Times New Roman" w:hAnsi="Arial" w:cs="Times New Roman"/>
      <w:kern w:val="0"/>
      <w:sz w:val="18"/>
      <w:szCs w:val="20"/>
      <w:lang w:val="en-GB" w:eastAsia="x-none"/>
    </w:rPr>
  </w:style>
  <w:style w:type="character" w:styleId="SubtleEmphasis">
    <w:name w:val="Subtle Emphasis"/>
    <w:basedOn w:val="DefaultParagraphFont"/>
    <w:uiPriority w:val="19"/>
    <w:qFormat/>
    <w:rsid w:val="001D104A"/>
    <w:rPr>
      <w:i/>
      <w:iCs/>
      <w:color w:val="808080" w:themeColor="text1" w:themeTint="7F"/>
    </w:rPr>
  </w:style>
  <w:style w:type="character" w:customStyle="1" w:styleId="search-word-mail">
    <w:name w:val="search-word-mail"/>
    <w:basedOn w:val="DefaultParagraphFont"/>
    <w:rsid w:val="00E2477B"/>
  </w:style>
  <w:style w:type="paragraph" w:customStyle="1" w:styleId="PL">
    <w:name w:val="PL"/>
    <w:link w:val="PLChar"/>
    <w:qFormat/>
    <w:rsid w:val="0089169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 w:cs="Times New Roman"/>
      <w:noProof/>
      <w:kern w:val="0"/>
      <w:sz w:val="16"/>
      <w:szCs w:val="20"/>
      <w:lang w:val="en-GB" w:eastAsia="sv-SE"/>
    </w:rPr>
  </w:style>
  <w:style w:type="character" w:customStyle="1" w:styleId="PLChar">
    <w:name w:val="PL Char"/>
    <w:link w:val="PL"/>
    <w:qFormat/>
    <w:rsid w:val="00891694"/>
    <w:rPr>
      <w:rFonts w:ascii="Courier New" w:eastAsia="Batang" w:hAnsi="Courier New" w:cs="Times New Roman"/>
      <w:noProof/>
      <w:kern w:val="0"/>
      <w:sz w:val="16"/>
      <w:szCs w:val="20"/>
      <w:shd w:val="clear" w:color="auto" w:fill="E6E6E6"/>
      <w:lang w:val="en-GB"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9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044268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753942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3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1724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7642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39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60072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8422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6118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6054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2114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919387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8400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2295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76261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1933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140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6249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8454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91289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8208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407267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3894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105553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2863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32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5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07194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707739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534732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50989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331416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341552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917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14818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95592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05417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13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329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9863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620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9583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7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001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1650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3877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43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0292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64762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462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4631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453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5135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04027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31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08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43818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9841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0844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48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96884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30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518504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61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74224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137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3258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96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814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65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3165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852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470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91259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9537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83361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6628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73059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86748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925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8368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062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66309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15700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97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50793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48760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0415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07114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96762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39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7459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84647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38429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74587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38140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0949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08888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144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8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06928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4342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88265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3901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06205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4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9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3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41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9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43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003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59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164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6110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0134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6998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71316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66320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2201344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916467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966389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188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8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1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65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13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00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8829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2298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56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10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9057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56E87A-0B97-4EED-8998-540F64E2F9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3724</TotalTime>
  <Pages>3</Pages>
  <Words>935</Words>
  <Characters>5333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6256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Samsung Haijie</cp:lastModifiedBy>
  <cp:revision>12</cp:revision>
  <dcterms:created xsi:type="dcterms:W3CDTF">2017-11-17T07:42:00Z</dcterms:created>
  <dcterms:modified xsi:type="dcterms:W3CDTF">2018-09-28T14:46:00Z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E:\RAN4 Meeting Doc\2018_NR_AH_Jan\R4-18xxxxx_draft_sync raster_v1.docx</vt:lpwstr>
  </property>
</Properties>
</file>