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7C3BA" w14:textId="0D0F9695" w:rsidR="00EC4761" w:rsidRPr="00207615" w:rsidRDefault="00EC4761" w:rsidP="00EC4761">
      <w:pPr>
        <w:pStyle w:val="Header"/>
        <w:tabs>
          <w:tab w:val="right" w:pos="9630"/>
          <w:tab w:val="right" w:pos="13323"/>
        </w:tabs>
        <w:rPr>
          <w:rFonts w:cs="Arial"/>
          <w:sz w:val="24"/>
          <w:szCs w:val="24"/>
          <w:lang w:eastAsia="ja-JP"/>
        </w:rPr>
      </w:pPr>
      <w:r w:rsidRPr="00207615">
        <w:rPr>
          <w:rFonts w:cs="Arial"/>
          <w:sz w:val="24"/>
          <w:szCs w:val="24"/>
        </w:rPr>
        <w:t>3GPP TSG-RAN WG4 Meeting #8</w:t>
      </w:r>
      <w:r>
        <w:rPr>
          <w:rFonts w:cs="Arial"/>
          <w:sz w:val="24"/>
          <w:szCs w:val="24"/>
        </w:rPr>
        <w:t>8bis</w:t>
      </w:r>
      <w:r w:rsidRPr="00207615">
        <w:rPr>
          <w:rFonts w:cs="Arial"/>
          <w:sz w:val="24"/>
          <w:szCs w:val="24"/>
        </w:rPr>
        <w:tab/>
      </w:r>
      <w:r w:rsidRPr="004E3B8E">
        <w:rPr>
          <w:rFonts w:cs="Arial"/>
          <w:color w:val="000000"/>
          <w:sz w:val="24"/>
          <w:szCs w:val="24"/>
        </w:rPr>
        <w:t>R4-</w:t>
      </w:r>
      <w:r w:rsidR="00782308" w:rsidRPr="00782308">
        <w:rPr>
          <w:rFonts w:cs="Arial"/>
          <w:color w:val="000000"/>
          <w:sz w:val="24"/>
          <w:szCs w:val="24"/>
        </w:rPr>
        <w:t>1812176</w:t>
      </w:r>
    </w:p>
    <w:p w14:paraId="115CAB03" w14:textId="77777777" w:rsidR="00EC4761" w:rsidRPr="008C4D7E" w:rsidRDefault="00EC4761" w:rsidP="00EC4761">
      <w:pPr>
        <w:pStyle w:val="Header"/>
        <w:rPr>
          <w:noProof w:val="0"/>
          <w:lang w:val="en-GB"/>
        </w:rPr>
      </w:pPr>
      <w:r>
        <w:rPr>
          <w:rFonts w:eastAsia="SimSun"/>
          <w:sz w:val="24"/>
          <w:szCs w:val="24"/>
          <w:lang w:eastAsia="zh-CN"/>
        </w:rPr>
        <w:t>Chengdu</w:t>
      </w:r>
      <w:r w:rsidRPr="002E7CB7">
        <w:rPr>
          <w:rFonts w:eastAsia="SimSun"/>
          <w:sz w:val="24"/>
          <w:szCs w:val="24"/>
          <w:lang w:eastAsia="zh-CN"/>
        </w:rPr>
        <w:t xml:space="preserve">, </w:t>
      </w:r>
      <w:r>
        <w:rPr>
          <w:rFonts w:eastAsia="SimSun"/>
          <w:sz w:val="24"/>
          <w:szCs w:val="24"/>
          <w:lang w:eastAsia="zh-CN"/>
        </w:rPr>
        <w:t>China</w:t>
      </w:r>
      <w:r w:rsidRPr="002E7CB7">
        <w:rPr>
          <w:rFonts w:eastAsia="SimSun"/>
          <w:sz w:val="24"/>
          <w:szCs w:val="24"/>
          <w:lang w:eastAsia="zh-CN"/>
        </w:rPr>
        <w:t xml:space="preserve">, </w:t>
      </w:r>
      <w:r>
        <w:rPr>
          <w:rFonts w:eastAsia="SimSun"/>
          <w:sz w:val="24"/>
          <w:szCs w:val="24"/>
          <w:lang w:eastAsia="zh-CN"/>
        </w:rPr>
        <w:t>8</w:t>
      </w:r>
      <w:r>
        <w:rPr>
          <w:rFonts w:eastAsia="SimSun"/>
          <w:sz w:val="24"/>
          <w:szCs w:val="24"/>
          <w:vertAlign w:val="superscript"/>
          <w:lang w:eastAsia="zh-CN"/>
        </w:rPr>
        <w:t>th</w:t>
      </w:r>
      <w:r>
        <w:rPr>
          <w:rFonts w:eastAsia="SimSun"/>
          <w:sz w:val="24"/>
          <w:szCs w:val="24"/>
          <w:lang w:eastAsia="zh-CN"/>
        </w:rPr>
        <w:t xml:space="preserve"> – 12</w:t>
      </w:r>
      <w:r w:rsidRPr="001F55D4">
        <w:rPr>
          <w:rFonts w:eastAsia="SimSun"/>
          <w:sz w:val="24"/>
          <w:szCs w:val="24"/>
          <w:vertAlign w:val="superscript"/>
          <w:lang w:eastAsia="zh-CN"/>
        </w:rPr>
        <w:t>th</w:t>
      </w:r>
      <w:r>
        <w:rPr>
          <w:rFonts w:eastAsia="SimSun"/>
          <w:sz w:val="24"/>
          <w:szCs w:val="24"/>
          <w:lang w:eastAsia="zh-CN"/>
        </w:rPr>
        <w:t xml:space="preserve"> Oct</w:t>
      </w:r>
      <w:r w:rsidRPr="002E7CB7">
        <w:rPr>
          <w:rFonts w:eastAsia="SimSun"/>
          <w:sz w:val="24"/>
          <w:szCs w:val="24"/>
          <w:lang w:eastAsia="zh-CN"/>
        </w:rPr>
        <w:t>, 2018</w:t>
      </w:r>
    </w:p>
    <w:p w14:paraId="2B194FE8" w14:textId="77777777" w:rsidR="00EC4761" w:rsidRPr="008C4D7E" w:rsidRDefault="00EC4761" w:rsidP="00EC4761">
      <w:pPr>
        <w:pStyle w:val="Header"/>
        <w:rPr>
          <w:noProof w:val="0"/>
          <w:lang w:val="en-GB"/>
        </w:rPr>
      </w:pPr>
    </w:p>
    <w:p w14:paraId="051B4B81" w14:textId="77777777" w:rsidR="00EC4761" w:rsidRDefault="00EC4761" w:rsidP="00EC4761">
      <w:pPr>
        <w:pStyle w:val="Footer"/>
        <w:rPr>
          <w:noProof w:val="0"/>
        </w:rPr>
      </w:pPr>
    </w:p>
    <w:p w14:paraId="032C4DA3" w14:textId="77777777" w:rsidR="00EC4761" w:rsidRPr="003841F4" w:rsidRDefault="00EC4761" w:rsidP="003841F4">
      <w:pPr>
        <w:rPr>
          <w:rFonts w:ascii="Arial" w:hAnsi="Arial" w:cs="Arial"/>
          <w:b/>
          <w:sz w:val="24"/>
          <w:lang w:val="en-US"/>
        </w:rPr>
      </w:pPr>
      <w:r w:rsidRPr="003841F4">
        <w:rPr>
          <w:rFonts w:ascii="Arial" w:hAnsi="Arial" w:cs="Arial"/>
          <w:b/>
          <w:sz w:val="24"/>
          <w:lang w:val="en-US"/>
        </w:rPr>
        <w:t>Agenda item:</w:t>
      </w:r>
      <w:r w:rsidRPr="003841F4">
        <w:rPr>
          <w:rFonts w:ascii="Arial" w:hAnsi="Arial" w:cs="Arial"/>
          <w:b/>
          <w:sz w:val="24"/>
          <w:lang w:val="en-US"/>
        </w:rPr>
        <w:tab/>
      </w:r>
      <w:r w:rsidR="009D59E6" w:rsidRPr="003841F4">
        <w:rPr>
          <w:rFonts w:ascii="Arial" w:hAnsi="Arial" w:cs="Arial"/>
          <w:b/>
          <w:sz w:val="24"/>
          <w:lang w:val="en-US"/>
        </w:rPr>
        <w:t>7.13.1.3</w:t>
      </w:r>
    </w:p>
    <w:p w14:paraId="55AB1B6A" w14:textId="34616AB3" w:rsidR="00EC4761" w:rsidRPr="003841F4" w:rsidRDefault="00EC4761" w:rsidP="003841F4">
      <w:pPr>
        <w:rPr>
          <w:rFonts w:ascii="Arial" w:hAnsi="Arial" w:cs="Arial"/>
          <w:b/>
          <w:sz w:val="24"/>
          <w:lang w:val="en-US"/>
        </w:rPr>
      </w:pPr>
      <w:r w:rsidRPr="003841F4">
        <w:rPr>
          <w:rFonts w:ascii="Arial" w:hAnsi="Arial" w:cs="Arial"/>
          <w:b/>
          <w:sz w:val="24"/>
          <w:lang w:val="en-US"/>
        </w:rPr>
        <w:t>Source:</w:t>
      </w:r>
      <w:r w:rsidR="000A6F77" w:rsidRPr="000A6F77">
        <w:rPr>
          <w:rFonts w:ascii="Arial" w:hAnsi="Arial" w:cs="Arial"/>
          <w:b/>
          <w:sz w:val="24"/>
          <w:lang w:val="en-US"/>
        </w:rPr>
        <w:t xml:space="preserve"> </w:t>
      </w:r>
      <w:r w:rsidR="000A6F77" w:rsidRPr="003841F4">
        <w:rPr>
          <w:rFonts w:ascii="Arial" w:hAnsi="Arial" w:cs="Arial"/>
          <w:b/>
          <w:sz w:val="24"/>
          <w:lang w:val="en-US"/>
        </w:rPr>
        <w:tab/>
      </w:r>
      <w:r w:rsidR="000A6F77" w:rsidRPr="003841F4">
        <w:rPr>
          <w:rFonts w:ascii="Arial" w:hAnsi="Arial" w:cs="Arial"/>
          <w:b/>
          <w:sz w:val="24"/>
          <w:lang w:val="en-US"/>
        </w:rPr>
        <w:tab/>
      </w:r>
      <w:r w:rsidRPr="003841F4">
        <w:rPr>
          <w:rFonts w:ascii="Arial" w:hAnsi="Arial" w:cs="Arial"/>
          <w:b/>
          <w:sz w:val="24"/>
          <w:lang w:val="en-US"/>
        </w:rPr>
        <w:t>Intel Corporation</w:t>
      </w:r>
    </w:p>
    <w:p w14:paraId="20478A01" w14:textId="527804D9" w:rsidR="00EC4761" w:rsidRPr="003841F4" w:rsidRDefault="00EC4761" w:rsidP="003841F4">
      <w:pPr>
        <w:rPr>
          <w:rFonts w:ascii="Arial" w:hAnsi="Arial" w:cs="Arial"/>
          <w:b/>
          <w:sz w:val="24"/>
          <w:lang w:val="en-US"/>
        </w:rPr>
      </w:pPr>
      <w:r w:rsidRPr="003841F4">
        <w:rPr>
          <w:rFonts w:ascii="Arial" w:hAnsi="Arial" w:cs="Arial"/>
          <w:b/>
          <w:sz w:val="24"/>
          <w:lang w:val="en-US"/>
        </w:rPr>
        <w:t xml:space="preserve">Title: </w:t>
      </w:r>
      <w:r w:rsidR="000A6F77" w:rsidRPr="003841F4">
        <w:rPr>
          <w:rFonts w:ascii="Arial" w:hAnsi="Arial" w:cs="Arial"/>
          <w:b/>
          <w:sz w:val="24"/>
          <w:lang w:val="en-US"/>
        </w:rPr>
        <w:tab/>
      </w:r>
      <w:r w:rsidR="000A6F77" w:rsidRPr="003841F4">
        <w:rPr>
          <w:rFonts w:ascii="Arial" w:hAnsi="Arial" w:cs="Arial"/>
          <w:b/>
          <w:sz w:val="24"/>
          <w:lang w:val="en-US"/>
        </w:rPr>
        <w:tab/>
      </w:r>
      <w:r w:rsidR="000A6F77" w:rsidRPr="003841F4">
        <w:rPr>
          <w:rFonts w:ascii="Arial" w:hAnsi="Arial" w:cs="Arial"/>
          <w:b/>
          <w:sz w:val="24"/>
          <w:lang w:val="en-US"/>
        </w:rPr>
        <w:tab/>
      </w:r>
      <w:r w:rsidR="001E7EA1" w:rsidRPr="003841F4">
        <w:rPr>
          <w:rFonts w:ascii="Arial" w:hAnsi="Arial" w:cs="Arial"/>
          <w:b/>
          <w:sz w:val="24"/>
          <w:lang w:val="en-US"/>
        </w:rPr>
        <w:t xml:space="preserve">Discussion on UE </w:t>
      </w:r>
      <w:r w:rsidR="00EB64E6" w:rsidRPr="003841F4">
        <w:rPr>
          <w:rFonts w:ascii="Arial" w:hAnsi="Arial" w:cs="Arial"/>
          <w:b/>
          <w:sz w:val="24"/>
          <w:lang w:val="en-US"/>
        </w:rPr>
        <w:t>performance</w:t>
      </w:r>
      <w:r w:rsidR="001E7EA1" w:rsidRPr="003841F4">
        <w:rPr>
          <w:rFonts w:ascii="Arial" w:hAnsi="Arial" w:cs="Arial"/>
          <w:b/>
          <w:sz w:val="24"/>
          <w:lang w:val="en-US"/>
        </w:rPr>
        <w:t xml:space="preserve"> requirements for P</w:t>
      </w:r>
      <w:r w:rsidR="00EB64E6" w:rsidRPr="003841F4">
        <w:rPr>
          <w:rFonts w:ascii="Arial" w:hAnsi="Arial" w:cs="Arial"/>
          <w:b/>
          <w:sz w:val="24"/>
          <w:lang w:val="en-US"/>
        </w:rPr>
        <w:t>B</w:t>
      </w:r>
      <w:r w:rsidR="001E7EA1" w:rsidRPr="003841F4">
        <w:rPr>
          <w:rFonts w:ascii="Arial" w:hAnsi="Arial" w:cs="Arial"/>
          <w:b/>
          <w:sz w:val="24"/>
          <w:lang w:val="en-US"/>
        </w:rPr>
        <w:t>CH</w:t>
      </w:r>
    </w:p>
    <w:p w14:paraId="73860055" w14:textId="77777777" w:rsidR="00EC4761" w:rsidRPr="003841F4" w:rsidRDefault="00EC4761" w:rsidP="003841F4">
      <w:pPr>
        <w:rPr>
          <w:rFonts w:ascii="Arial" w:hAnsi="Arial" w:cs="Arial"/>
          <w:b/>
          <w:sz w:val="24"/>
          <w:lang w:val="en-US"/>
        </w:rPr>
      </w:pPr>
      <w:r w:rsidRPr="003841F4">
        <w:rPr>
          <w:rFonts w:ascii="Arial" w:hAnsi="Arial" w:cs="Arial"/>
          <w:b/>
          <w:sz w:val="24"/>
          <w:lang w:val="en-US"/>
        </w:rPr>
        <w:t>Document for:</w:t>
      </w:r>
      <w:r w:rsidRPr="003841F4">
        <w:rPr>
          <w:rFonts w:ascii="Arial" w:hAnsi="Arial" w:cs="Arial"/>
          <w:b/>
          <w:sz w:val="24"/>
          <w:lang w:val="en-US"/>
        </w:rPr>
        <w:tab/>
        <w:t>Discussion</w:t>
      </w:r>
    </w:p>
    <w:p w14:paraId="76C7B104" w14:textId="77777777" w:rsidR="00EC4761" w:rsidRDefault="00EC4761" w:rsidP="00EC4761">
      <w:pPr>
        <w:pStyle w:val="Heading1"/>
        <w:numPr>
          <w:ilvl w:val="0"/>
          <w:numId w:val="22"/>
        </w:numPr>
        <w:overflowPunct/>
        <w:autoSpaceDE/>
        <w:autoSpaceDN/>
        <w:adjustRightInd/>
        <w:textAlignment w:val="auto"/>
        <w:rPr>
          <w:lang w:val="en-US"/>
        </w:rPr>
      </w:pPr>
      <w:r>
        <w:rPr>
          <w:lang w:val="en-US"/>
        </w:rPr>
        <w:t>Introduction</w:t>
      </w:r>
    </w:p>
    <w:p w14:paraId="65DED545" w14:textId="0E5A5B6F" w:rsidR="00ED2348" w:rsidRDefault="00ED2348" w:rsidP="00ED2348">
      <w:pPr>
        <w:rPr>
          <w:lang w:eastAsia="en-GB"/>
        </w:rPr>
      </w:pPr>
      <w:r>
        <w:t xml:space="preserve">In RAN4#88 </w:t>
      </w:r>
      <w:r w:rsidR="000A6F77">
        <w:t xml:space="preserve">NR </w:t>
      </w:r>
      <w:r>
        <w:t>PBCH requirements were discussed, but no agreements were made</w:t>
      </w:r>
      <w:r w:rsidR="000A6F77">
        <w:t>. The main controversial aspect was whether 4RX PBCH requirements shall be introduce</w:t>
      </w:r>
      <w:r w:rsidR="00196879">
        <w:t>d</w:t>
      </w:r>
      <w:r w:rsidR="000A6F77">
        <w:t xml:space="preserve"> for FR1. </w:t>
      </w:r>
      <w:r>
        <w:rPr>
          <w:lang w:eastAsia="en-GB"/>
        </w:rPr>
        <w:t>In this contribution we present our views on PBCH performance requirements in NR.</w:t>
      </w:r>
    </w:p>
    <w:p w14:paraId="30A8AAC8" w14:textId="77777777" w:rsidR="00ED2348" w:rsidRDefault="00ED2348" w:rsidP="00ED2348">
      <w:pPr>
        <w:pStyle w:val="Heading1"/>
        <w:numPr>
          <w:ilvl w:val="0"/>
          <w:numId w:val="22"/>
        </w:numPr>
      </w:pPr>
      <w:r>
        <w:t>Discussion</w:t>
      </w:r>
    </w:p>
    <w:p w14:paraId="51AC9804" w14:textId="30E20381" w:rsidR="00ED2348" w:rsidRDefault="00ED2348" w:rsidP="00ED2348">
      <w:pPr>
        <w:rPr>
          <w:lang w:eastAsia="en-GB"/>
        </w:rPr>
      </w:pPr>
      <w:r>
        <w:rPr>
          <w:lang w:eastAsia="en-GB"/>
        </w:rPr>
        <w:t xml:space="preserve">From the discussion in RAN4#88, </w:t>
      </w:r>
      <w:r w:rsidR="000A6F77">
        <w:rPr>
          <w:lang w:eastAsia="en-GB"/>
        </w:rPr>
        <w:t xml:space="preserve">no </w:t>
      </w:r>
      <w:r>
        <w:rPr>
          <w:lang w:eastAsia="en-GB"/>
        </w:rPr>
        <w:t xml:space="preserve">consensus was reached </w:t>
      </w:r>
      <w:r w:rsidR="000A6F77">
        <w:rPr>
          <w:lang w:eastAsia="en-GB"/>
        </w:rPr>
        <w:t>on the PBCH performance requirements. In general, the</w:t>
      </w:r>
      <w:r>
        <w:rPr>
          <w:lang w:eastAsia="en-GB"/>
        </w:rPr>
        <w:t xml:space="preserve"> following aspects </w:t>
      </w:r>
      <w:r w:rsidR="000A6F77">
        <w:rPr>
          <w:lang w:eastAsia="en-GB"/>
        </w:rPr>
        <w:t>can be considered as a common assumption among the companies (based on [1])</w:t>
      </w:r>
      <w:r>
        <w:rPr>
          <w:lang w:eastAsia="en-GB"/>
        </w:rPr>
        <w:t>:</w:t>
      </w:r>
    </w:p>
    <w:tbl>
      <w:tblPr>
        <w:tblStyle w:val="TableGrid"/>
        <w:tblW w:w="0" w:type="auto"/>
        <w:tblLook w:val="04A0" w:firstRow="1" w:lastRow="0" w:firstColumn="1" w:lastColumn="0" w:noHBand="0" w:noVBand="1"/>
      </w:tblPr>
      <w:tblGrid>
        <w:gridCol w:w="9350"/>
      </w:tblGrid>
      <w:tr w:rsidR="000A6F77" w14:paraId="27BE5A0C" w14:textId="77777777" w:rsidTr="000A6F77">
        <w:tc>
          <w:tcPr>
            <w:tcW w:w="9350" w:type="dxa"/>
          </w:tcPr>
          <w:p w14:paraId="0886F9EE" w14:textId="77777777" w:rsidR="000A6F77" w:rsidRPr="00925FBC" w:rsidRDefault="000A6F77" w:rsidP="000A6F77">
            <w:pPr>
              <w:numPr>
                <w:ilvl w:val="0"/>
                <w:numId w:val="25"/>
              </w:numPr>
              <w:tabs>
                <w:tab w:val="num" w:pos="720"/>
              </w:tabs>
              <w:rPr>
                <w:i/>
                <w:lang w:val="en-US"/>
              </w:rPr>
            </w:pPr>
            <w:r w:rsidRPr="00925FBC">
              <w:rPr>
                <w:i/>
                <w:lang w:val="en-US"/>
              </w:rPr>
              <w:t xml:space="preserve">RAN4 introduces the PBCH demodulation requirements in Rel-15. </w:t>
            </w:r>
          </w:p>
          <w:p w14:paraId="3D2ECE97" w14:textId="77777777" w:rsidR="000A6F77" w:rsidRPr="00925FBC" w:rsidRDefault="000A6F77" w:rsidP="000A6F77">
            <w:pPr>
              <w:numPr>
                <w:ilvl w:val="1"/>
                <w:numId w:val="25"/>
              </w:numPr>
              <w:rPr>
                <w:i/>
                <w:lang w:val="en-US"/>
              </w:rPr>
            </w:pPr>
            <w:r w:rsidRPr="00925FBC">
              <w:rPr>
                <w:i/>
                <w:lang w:val="en-US"/>
              </w:rPr>
              <w:t>Note the PBCH demodulation requirements do not need to be tested in RAN5 as same as LTE PBCH demodulation requirements.</w:t>
            </w:r>
          </w:p>
          <w:p w14:paraId="47B85A5C" w14:textId="77777777" w:rsidR="000A6F77" w:rsidRPr="00925FBC" w:rsidRDefault="000A6F77" w:rsidP="000A6F77">
            <w:pPr>
              <w:numPr>
                <w:ilvl w:val="0"/>
                <w:numId w:val="25"/>
              </w:numPr>
              <w:tabs>
                <w:tab w:val="num" w:pos="720"/>
              </w:tabs>
              <w:rPr>
                <w:i/>
                <w:lang w:val="en-US"/>
              </w:rPr>
            </w:pPr>
            <w:r w:rsidRPr="00925FBC">
              <w:rPr>
                <w:i/>
                <w:lang w:val="en-US"/>
              </w:rPr>
              <w:t xml:space="preserve">Test metric: </w:t>
            </w:r>
          </w:p>
          <w:p w14:paraId="066F5DA8" w14:textId="77777777" w:rsidR="000A6F77" w:rsidRPr="00925FBC" w:rsidRDefault="000A6F77" w:rsidP="000A6F77">
            <w:pPr>
              <w:numPr>
                <w:ilvl w:val="1"/>
                <w:numId w:val="25"/>
              </w:numPr>
              <w:rPr>
                <w:i/>
                <w:lang w:val="en-US"/>
              </w:rPr>
            </w:pPr>
            <w:r w:rsidRPr="00925FBC">
              <w:rPr>
                <w:i/>
                <w:lang w:val="en-US"/>
              </w:rPr>
              <w:t xml:space="preserve">SNR_PBCH@1% Pm-bch. Pm-bch is defined as 1-A/B, where A is the number of correctly decoded MIB PDUs and B is the number of transmitted MIB PDUs. </w:t>
            </w:r>
          </w:p>
          <w:p w14:paraId="7968AE86" w14:textId="77777777" w:rsidR="000A6F77" w:rsidRPr="00925FBC" w:rsidRDefault="000A6F77" w:rsidP="000A6F77">
            <w:pPr>
              <w:numPr>
                <w:ilvl w:val="1"/>
                <w:numId w:val="25"/>
              </w:numPr>
              <w:rPr>
                <w:i/>
                <w:lang w:val="en-US"/>
              </w:rPr>
            </w:pPr>
            <w:r w:rsidRPr="00925FBC">
              <w:rPr>
                <w:i/>
                <w:lang w:val="en-US"/>
              </w:rPr>
              <w:t xml:space="preserve">UE combines the PBCH symbols of the same SSB index within the MIB TTI (80ms). </w:t>
            </w:r>
          </w:p>
          <w:p w14:paraId="3FFC493C" w14:textId="77777777" w:rsidR="000A6F77" w:rsidRPr="00925FBC" w:rsidRDefault="000A6F77" w:rsidP="000A6F77">
            <w:pPr>
              <w:numPr>
                <w:ilvl w:val="0"/>
                <w:numId w:val="25"/>
              </w:numPr>
              <w:tabs>
                <w:tab w:val="num" w:pos="720"/>
              </w:tabs>
              <w:rPr>
                <w:i/>
                <w:lang w:val="en-US"/>
              </w:rPr>
            </w:pPr>
            <w:r w:rsidRPr="00925FBC">
              <w:rPr>
                <w:i/>
                <w:lang w:val="en-US"/>
              </w:rPr>
              <w:t xml:space="preserve">UE Receiver Assumptions: </w:t>
            </w:r>
          </w:p>
          <w:p w14:paraId="13BF2A16" w14:textId="3CD46313" w:rsidR="000A6F77" w:rsidRPr="00196879" w:rsidRDefault="000A6F77" w:rsidP="00196879">
            <w:pPr>
              <w:numPr>
                <w:ilvl w:val="1"/>
                <w:numId w:val="25"/>
              </w:numPr>
              <w:rPr>
                <w:lang w:val="en-US" w:eastAsia="en-GB"/>
              </w:rPr>
            </w:pPr>
            <w:r w:rsidRPr="00925FBC">
              <w:rPr>
                <w:i/>
                <w:lang w:val="en-US"/>
              </w:rPr>
              <w:t>Baseline receiver for PBCH requirements shall be LMMSE receiver</w:t>
            </w:r>
          </w:p>
        </w:tc>
      </w:tr>
    </w:tbl>
    <w:p w14:paraId="631480CB" w14:textId="77777777" w:rsidR="00C32B2C" w:rsidRPr="00BA24C2" w:rsidRDefault="00C32B2C" w:rsidP="00C32B2C">
      <w:pPr>
        <w:pStyle w:val="Heading2"/>
        <w:numPr>
          <w:ilvl w:val="1"/>
          <w:numId w:val="26"/>
        </w:numPr>
        <w:rPr>
          <w:rFonts w:ascii="Arial" w:hAnsi="Arial" w:cs="Arial"/>
          <w:sz w:val="28"/>
        </w:rPr>
      </w:pPr>
      <w:r w:rsidRPr="00BA24C2">
        <w:rPr>
          <w:rFonts w:ascii="Arial" w:hAnsi="Arial" w:cs="Arial"/>
          <w:sz w:val="28"/>
        </w:rPr>
        <w:t>Test cases for PBCH</w:t>
      </w:r>
    </w:p>
    <w:p w14:paraId="249DC909" w14:textId="298ADB62" w:rsidR="00C32B2C" w:rsidRDefault="00C32B2C" w:rsidP="00C32B2C">
      <w:pPr>
        <w:overflowPunct w:val="0"/>
        <w:autoSpaceDE w:val="0"/>
        <w:autoSpaceDN w:val="0"/>
        <w:adjustRightInd w:val="0"/>
        <w:spacing w:before="240" w:after="120"/>
        <w:textAlignment w:val="baseline"/>
        <w:rPr>
          <w:rFonts w:eastAsia="SimSun"/>
          <w:lang w:eastAsia="en-GB"/>
        </w:rPr>
      </w:pPr>
      <w:r w:rsidRPr="00BA24C2">
        <w:rPr>
          <w:rFonts w:eastAsia="SimSun"/>
          <w:lang w:eastAsia="en-GB"/>
        </w:rPr>
        <w:t xml:space="preserve">The </w:t>
      </w:r>
      <w:r>
        <w:rPr>
          <w:rFonts w:eastAsia="SimSun"/>
          <w:lang w:eastAsia="en-GB"/>
        </w:rPr>
        <w:t xml:space="preserve">common parameters </w:t>
      </w:r>
      <w:r w:rsidR="009A6800">
        <w:rPr>
          <w:rFonts w:eastAsia="SimSun"/>
          <w:lang w:eastAsia="en-GB"/>
        </w:rPr>
        <w:t>discussed in RAN4#88 for</w:t>
      </w:r>
      <w:r w:rsidRPr="00BA24C2">
        <w:rPr>
          <w:rFonts w:eastAsia="SimSun"/>
          <w:lang w:eastAsia="en-GB"/>
        </w:rPr>
        <w:t xml:space="preserve"> test cases </w:t>
      </w:r>
      <w:r w:rsidR="00DC3946" w:rsidRPr="00BA24C2">
        <w:rPr>
          <w:rFonts w:eastAsia="SimSun"/>
          <w:lang w:eastAsia="en-GB"/>
        </w:rPr>
        <w:t xml:space="preserve">are </w:t>
      </w:r>
      <w:r w:rsidR="000A6F77">
        <w:rPr>
          <w:rFonts w:eastAsia="SimSun"/>
          <w:lang w:eastAsia="en-GB"/>
        </w:rPr>
        <w:t>listed</w:t>
      </w:r>
      <w:r w:rsidR="000A6F77" w:rsidRPr="00BA24C2">
        <w:rPr>
          <w:rFonts w:eastAsia="SimSun"/>
          <w:lang w:eastAsia="en-GB"/>
        </w:rPr>
        <w:t xml:space="preserve"> </w:t>
      </w:r>
      <w:r w:rsidRPr="00BA24C2">
        <w:rPr>
          <w:rFonts w:eastAsia="SimSun"/>
          <w:lang w:eastAsia="en-GB"/>
        </w:rPr>
        <w:t xml:space="preserve">in </w:t>
      </w:r>
      <w:r w:rsidRPr="00BA24C2">
        <w:rPr>
          <w:rFonts w:eastAsia="SimSun"/>
          <w:lang w:eastAsia="en-GB"/>
        </w:rPr>
        <w:fldChar w:fldCharType="begin"/>
      </w:r>
      <w:r w:rsidRPr="00BA24C2">
        <w:rPr>
          <w:rFonts w:eastAsia="SimSun"/>
          <w:lang w:eastAsia="en-GB"/>
        </w:rPr>
        <w:instrText xml:space="preserve"> REF _Ref514023509 \h </w:instrText>
      </w:r>
      <w:r w:rsidRPr="00BA24C2">
        <w:rPr>
          <w:rFonts w:eastAsia="SimSun"/>
          <w:lang w:eastAsia="en-GB"/>
        </w:rPr>
      </w:r>
      <w:r w:rsidRPr="00BA24C2">
        <w:rPr>
          <w:rFonts w:eastAsia="SimSun"/>
          <w:lang w:eastAsia="en-GB"/>
        </w:rPr>
        <w:fldChar w:fldCharType="separate"/>
      </w:r>
      <w:r w:rsidRPr="00BA24C2">
        <w:rPr>
          <w:rFonts w:eastAsia="SimSun"/>
        </w:rPr>
        <w:t xml:space="preserve">Table </w:t>
      </w:r>
      <w:r w:rsidRPr="00BA24C2">
        <w:rPr>
          <w:rFonts w:eastAsia="SimSun"/>
          <w:noProof/>
        </w:rPr>
        <w:t>1</w:t>
      </w:r>
      <w:r w:rsidRPr="00BA24C2">
        <w:rPr>
          <w:rFonts w:eastAsia="SimSun"/>
          <w:lang w:eastAsia="en-GB"/>
        </w:rPr>
        <w:fldChar w:fldCharType="end"/>
      </w:r>
      <w:r w:rsidR="000A6F77">
        <w:rPr>
          <w:rFonts w:eastAsia="SimSun"/>
          <w:lang w:eastAsia="en-GB"/>
        </w:rPr>
        <w:t xml:space="preserve"> [1]</w:t>
      </w:r>
      <w:r w:rsidR="00DC3946">
        <w:rPr>
          <w:rFonts w:eastAsia="SimSun"/>
          <w:lang w:eastAsia="en-GB"/>
        </w:rPr>
        <w:t>.</w:t>
      </w:r>
    </w:p>
    <w:p w14:paraId="54361737" w14:textId="77777777" w:rsidR="00DC3946" w:rsidRDefault="00DC3946" w:rsidP="00DC3946">
      <w:pPr>
        <w:pStyle w:val="Caption"/>
        <w:keepNext/>
        <w:jc w:val="center"/>
      </w:pPr>
      <w:r>
        <w:t xml:space="preserve">Table </w:t>
      </w:r>
      <w:r>
        <w:fldChar w:fldCharType="begin"/>
      </w:r>
      <w:r>
        <w:instrText xml:space="preserve"> SEQ Table \* ARABIC </w:instrText>
      </w:r>
      <w:r>
        <w:fldChar w:fldCharType="separate"/>
      </w:r>
      <w:r w:rsidR="006A0EDC">
        <w:rPr>
          <w:noProof/>
        </w:rPr>
        <w:t>1</w:t>
      </w:r>
      <w:r>
        <w:fldChar w:fldCharType="end"/>
      </w:r>
      <w:r>
        <w:t>: Common parameters for PBCH test cases</w:t>
      </w:r>
    </w:p>
    <w:tbl>
      <w:tblPr>
        <w:tblStyle w:val="GridTable5Dark-Accent5"/>
        <w:tblW w:w="6238" w:type="dxa"/>
        <w:jc w:val="center"/>
        <w:tblLook w:val="0420" w:firstRow="1" w:lastRow="0" w:firstColumn="0" w:lastColumn="0" w:noHBand="0" w:noVBand="1"/>
      </w:tblPr>
      <w:tblGrid>
        <w:gridCol w:w="4786"/>
        <w:gridCol w:w="609"/>
        <w:gridCol w:w="843"/>
      </w:tblGrid>
      <w:tr w:rsidR="00DC3946" w:rsidRPr="00DC3946" w14:paraId="04DA0E92" w14:textId="77777777" w:rsidTr="00DC3946">
        <w:trPr>
          <w:cnfStyle w:val="100000000000" w:firstRow="1" w:lastRow="0" w:firstColumn="0" w:lastColumn="0" w:oddVBand="0" w:evenVBand="0" w:oddHBand="0" w:evenHBand="0" w:firstRowFirstColumn="0" w:firstRowLastColumn="0" w:lastRowFirstColumn="0" w:lastRowLastColumn="0"/>
          <w:trHeight w:val="160"/>
          <w:jc w:val="center"/>
        </w:trPr>
        <w:tc>
          <w:tcPr>
            <w:tcW w:w="4786" w:type="dxa"/>
            <w:hideMark/>
          </w:tcPr>
          <w:p w14:paraId="3A25749E"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Theme="minorHAnsi" w:eastAsiaTheme="minorEastAsia" w:hAnsi="Calibri" w:cstheme="minorBidi"/>
                <w:color w:val="FFFFFF"/>
                <w:kern w:val="24"/>
                <w:sz w:val="18"/>
                <w:szCs w:val="18"/>
                <w:lang w:val="en-US"/>
              </w:rPr>
              <w:t>Parameters</w:t>
            </w:r>
          </w:p>
        </w:tc>
        <w:tc>
          <w:tcPr>
            <w:tcW w:w="609" w:type="dxa"/>
            <w:hideMark/>
          </w:tcPr>
          <w:p w14:paraId="49F7B0DB"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Calibri" w:eastAsia="Times New Roman" w:hAnsi="Calibri" w:cs="Calibri"/>
                <w:color w:val="FFFFFF" w:themeColor="light1"/>
                <w:kern w:val="24"/>
                <w:sz w:val="18"/>
                <w:szCs w:val="18"/>
                <w:lang w:val="en-US"/>
              </w:rPr>
              <w:t>Unit</w:t>
            </w:r>
          </w:p>
        </w:tc>
        <w:tc>
          <w:tcPr>
            <w:tcW w:w="843" w:type="dxa"/>
            <w:hideMark/>
          </w:tcPr>
          <w:p w14:paraId="3E48AB22"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Theme="minorHAnsi" w:eastAsiaTheme="minorEastAsia" w:hAnsi="Calibri" w:cstheme="minorBidi"/>
                <w:color w:val="FFFFFF"/>
                <w:kern w:val="24"/>
                <w:sz w:val="18"/>
                <w:szCs w:val="18"/>
                <w:lang w:val="en-US"/>
              </w:rPr>
              <w:t>Value</w:t>
            </w:r>
          </w:p>
        </w:tc>
      </w:tr>
      <w:tr w:rsidR="00DC3946" w:rsidRPr="00DC3946" w14:paraId="41E99CC9" w14:textId="77777777" w:rsidTr="00DC3946">
        <w:trPr>
          <w:cnfStyle w:val="000000100000" w:firstRow="0" w:lastRow="0" w:firstColumn="0" w:lastColumn="0" w:oddVBand="0" w:evenVBand="0" w:oddHBand="1" w:evenHBand="0" w:firstRowFirstColumn="0" w:firstRowLastColumn="0" w:lastRowFirstColumn="0" w:lastRowLastColumn="0"/>
          <w:trHeight w:val="15"/>
          <w:jc w:val="center"/>
        </w:trPr>
        <w:tc>
          <w:tcPr>
            <w:tcW w:w="4786" w:type="dxa"/>
            <w:hideMark/>
          </w:tcPr>
          <w:p w14:paraId="3C6DBB00"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Calibri" w:eastAsia="Times New Roman" w:hAnsi="Calibri" w:cs="Calibri"/>
                <w:color w:val="000000" w:themeColor="dark1"/>
                <w:kern w:val="24"/>
                <w:sz w:val="18"/>
                <w:szCs w:val="18"/>
                <w:lang w:val="en-US"/>
              </w:rPr>
              <w:t>Cell ID</w:t>
            </w:r>
          </w:p>
        </w:tc>
        <w:tc>
          <w:tcPr>
            <w:tcW w:w="609" w:type="dxa"/>
            <w:hideMark/>
          </w:tcPr>
          <w:p w14:paraId="58ABBF2C" w14:textId="77777777" w:rsidR="00DC3946" w:rsidRPr="00DC3946" w:rsidRDefault="00DC3946" w:rsidP="00DC3946">
            <w:pPr>
              <w:spacing w:after="0"/>
              <w:jc w:val="left"/>
              <w:rPr>
                <w:rFonts w:ascii="Arial" w:eastAsia="Times New Roman" w:hAnsi="Arial" w:cs="Arial"/>
                <w:sz w:val="18"/>
                <w:szCs w:val="18"/>
                <w:lang w:val="en-US"/>
              </w:rPr>
            </w:pPr>
          </w:p>
        </w:tc>
        <w:tc>
          <w:tcPr>
            <w:tcW w:w="843" w:type="dxa"/>
            <w:hideMark/>
          </w:tcPr>
          <w:p w14:paraId="4FD1E276"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Calibri" w:eastAsia="Times New Roman" w:hAnsi="Calibri" w:cs="Calibri"/>
                <w:color w:val="000000" w:themeColor="dark1"/>
                <w:kern w:val="24"/>
                <w:sz w:val="18"/>
                <w:szCs w:val="18"/>
                <w:lang w:val="en-US"/>
              </w:rPr>
              <w:t>0</w:t>
            </w:r>
          </w:p>
        </w:tc>
      </w:tr>
      <w:tr w:rsidR="00DC3946" w:rsidRPr="00DC3946" w14:paraId="0E068165" w14:textId="77777777" w:rsidTr="00DC3946">
        <w:trPr>
          <w:trHeight w:val="20"/>
          <w:jc w:val="center"/>
        </w:trPr>
        <w:tc>
          <w:tcPr>
            <w:tcW w:w="4786" w:type="dxa"/>
            <w:hideMark/>
          </w:tcPr>
          <w:p w14:paraId="3A30B5A5"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Calibri" w:eastAsia="Times New Roman" w:hAnsi="Calibri" w:cs="Calibri"/>
                <w:color w:val="000000" w:themeColor="dark1"/>
                <w:kern w:val="24"/>
                <w:sz w:val="18"/>
                <w:szCs w:val="18"/>
                <w:lang w:val="en-US"/>
              </w:rPr>
              <w:t>CP length</w:t>
            </w:r>
          </w:p>
        </w:tc>
        <w:tc>
          <w:tcPr>
            <w:tcW w:w="609" w:type="dxa"/>
            <w:hideMark/>
          </w:tcPr>
          <w:p w14:paraId="79B5409F" w14:textId="77777777" w:rsidR="00DC3946" w:rsidRPr="00DC3946" w:rsidRDefault="00DC3946" w:rsidP="00DC3946">
            <w:pPr>
              <w:spacing w:after="0"/>
              <w:jc w:val="left"/>
              <w:rPr>
                <w:rFonts w:ascii="Arial" w:eastAsia="Times New Roman" w:hAnsi="Arial" w:cs="Arial"/>
                <w:sz w:val="18"/>
                <w:szCs w:val="18"/>
                <w:lang w:val="en-US"/>
              </w:rPr>
            </w:pPr>
          </w:p>
        </w:tc>
        <w:tc>
          <w:tcPr>
            <w:tcW w:w="843" w:type="dxa"/>
            <w:hideMark/>
          </w:tcPr>
          <w:p w14:paraId="397D111E"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Calibri" w:eastAsia="Times New Roman" w:hAnsi="Calibri" w:cs="Calibri"/>
                <w:color w:val="000000" w:themeColor="dark1"/>
                <w:kern w:val="24"/>
                <w:sz w:val="18"/>
                <w:szCs w:val="18"/>
                <w:lang w:val="en-US"/>
              </w:rPr>
              <w:t>Normal</w:t>
            </w:r>
          </w:p>
        </w:tc>
      </w:tr>
      <w:tr w:rsidR="00DC3946" w:rsidRPr="00DC3946" w14:paraId="0125BD9A" w14:textId="77777777" w:rsidTr="00DC3946">
        <w:trPr>
          <w:cnfStyle w:val="000000100000" w:firstRow="0" w:lastRow="0" w:firstColumn="0" w:lastColumn="0" w:oddVBand="0" w:evenVBand="0" w:oddHBand="1" w:evenHBand="0" w:firstRowFirstColumn="0" w:firstRowLastColumn="0" w:lastRowFirstColumn="0" w:lastRowLastColumn="0"/>
          <w:trHeight w:val="20"/>
          <w:jc w:val="center"/>
        </w:trPr>
        <w:tc>
          <w:tcPr>
            <w:tcW w:w="4786" w:type="dxa"/>
            <w:hideMark/>
          </w:tcPr>
          <w:p w14:paraId="2A9EBCD6"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Calibri" w:eastAsia="Times New Roman" w:hAnsi="Calibri" w:cs="Calibri"/>
                <w:color w:val="000000" w:themeColor="dark1"/>
                <w:kern w:val="24"/>
                <w:sz w:val="18"/>
                <w:szCs w:val="18"/>
                <w:lang w:val="en-US"/>
              </w:rPr>
              <w:t>Number of SS/PBCH blocks within an SS burst set periodicity</w:t>
            </w:r>
          </w:p>
        </w:tc>
        <w:tc>
          <w:tcPr>
            <w:tcW w:w="609" w:type="dxa"/>
            <w:hideMark/>
          </w:tcPr>
          <w:p w14:paraId="26BF199D" w14:textId="77777777" w:rsidR="00DC3946" w:rsidRPr="00DC3946" w:rsidRDefault="00DC3946" w:rsidP="00DC3946">
            <w:pPr>
              <w:spacing w:after="0"/>
              <w:jc w:val="left"/>
              <w:rPr>
                <w:rFonts w:ascii="Arial" w:eastAsia="Times New Roman" w:hAnsi="Arial" w:cs="Arial"/>
                <w:sz w:val="18"/>
                <w:szCs w:val="18"/>
                <w:lang w:val="en-US"/>
              </w:rPr>
            </w:pPr>
          </w:p>
        </w:tc>
        <w:tc>
          <w:tcPr>
            <w:tcW w:w="843" w:type="dxa"/>
            <w:hideMark/>
          </w:tcPr>
          <w:p w14:paraId="0C465489"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Calibri" w:eastAsia="Times New Roman" w:hAnsi="Calibri" w:cs="Calibri"/>
                <w:color w:val="000000" w:themeColor="dark1"/>
                <w:kern w:val="24"/>
                <w:sz w:val="18"/>
                <w:szCs w:val="18"/>
                <w:lang w:val="en-US"/>
              </w:rPr>
              <w:t>1</w:t>
            </w:r>
          </w:p>
        </w:tc>
      </w:tr>
      <w:tr w:rsidR="00DC3946" w:rsidRPr="00DC3946" w14:paraId="1F5E842A" w14:textId="77777777" w:rsidTr="00DC3946">
        <w:trPr>
          <w:trHeight w:val="25"/>
          <w:jc w:val="center"/>
        </w:trPr>
        <w:tc>
          <w:tcPr>
            <w:tcW w:w="4786" w:type="dxa"/>
            <w:hideMark/>
          </w:tcPr>
          <w:p w14:paraId="1FE76868"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Calibri" w:eastAsia="Times New Roman" w:hAnsi="Calibri" w:cs="Calibri"/>
                <w:color w:val="000000" w:themeColor="dark1"/>
                <w:kern w:val="24"/>
                <w:sz w:val="18"/>
                <w:szCs w:val="18"/>
                <w:lang w:val="en-US"/>
              </w:rPr>
              <w:t>SS/PBCH block index</w:t>
            </w:r>
          </w:p>
        </w:tc>
        <w:tc>
          <w:tcPr>
            <w:tcW w:w="609" w:type="dxa"/>
            <w:hideMark/>
          </w:tcPr>
          <w:p w14:paraId="0B9D1EC0" w14:textId="77777777" w:rsidR="00DC3946" w:rsidRPr="00DC3946" w:rsidRDefault="00DC3946" w:rsidP="00DC3946">
            <w:pPr>
              <w:spacing w:after="0"/>
              <w:jc w:val="left"/>
              <w:rPr>
                <w:rFonts w:ascii="Arial" w:eastAsia="Times New Roman" w:hAnsi="Arial" w:cs="Arial"/>
                <w:sz w:val="18"/>
                <w:szCs w:val="18"/>
                <w:lang w:val="en-US"/>
              </w:rPr>
            </w:pPr>
          </w:p>
        </w:tc>
        <w:tc>
          <w:tcPr>
            <w:tcW w:w="843" w:type="dxa"/>
            <w:hideMark/>
          </w:tcPr>
          <w:p w14:paraId="25B156E0"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Calibri" w:eastAsia="Times New Roman" w:hAnsi="Calibri" w:cs="Calibri"/>
                <w:color w:val="000000" w:themeColor="dark1"/>
                <w:kern w:val="24"/>
                <w:sz w:val="18"/>
                <w:szCs w:val="18"/>
                <w:lang w:val="en-US"/>
              </w:rPr>
              <w:t>0</w:t>
            </w:r>
          </w:p>
        </w:tc>
      </w:tr>
      <w:tr w:rsidR="00DC3946" w:rsidRPr="00DC3946" w14:paraId="6F6191A1" w14:textId="77777777" w:rsidTr="00DC3946">
        <w:trPr>
          <w:cnfStyle w:val="000000100000" w:firstRow="0" w:lastRow="0" w:firstColumn="0" w:lastColumn="0" w:oddVBand="0" w:evenVBand="0" w:oddHBand="1" w:evenHBand="0" w:firstRowFirstColumn="0" w:firstRowLastColumn="0" w:lastRowFirstColumn="0" w:lastRowLastColumn="0"/>
          <w:trHeight w:val="20"/>
          <w:jc w:val="center"/>
        </w:trPr>
        <w:tc>
          <w:tcPr>
            <w:tcW w:w="4786" w:type="dxa"/>
            <w:hideMark/>
          </w:tcPr>
          <w:p w14:paraId="0801049C"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Calibri" w:eastAsia="Times New Roman" w:hAnsi="Calibri" w:cs="Calibri"/>
                <w:color w:val="000000" w:themeColor="dark1"/>
                <w:kern w:val="24"/>
                <w:sz w:val="18"/>
                <w:szCs w:val="18"/>
                <w:lang w:val="en-US"/>
              </w:rPr>
              <w:t>SS burst periodicity</w:t>
            </w:r>
          </w:p>
        </w:tc>
        <w:tc>
          <w:tcPr>
            <w:tcW w:w="609" w:type="dxa"/>
            <w:hideMark/>
          </w:tcPr>
          <w:p w14:paraId="2A1A7920"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Theme="minorHAnsi" w:eastAsiaTheme="minorEastAsia" w:hAnsi="Calibri" w:cstheme="minorBidi"/>
                <w:color w:val="000000" w:themeColor="dark1"/>
                <w:kern w:val="24"/>
                <w:sz w:val="18"/>
                <w:szCs w:val="18"/>
                <w:lang w:val="en-US"/>
              </w:rPr>
              <w:t>ms</w:t>
            </w:r>
          </w:p>
        </w:tc>
        <w:tc>
          <w:tcPr>
            <w:tcW w:w="843" w:type="dxa"/>
            <w:hideMark/>
          </w:tcPr>
          <w:p w14:paraId="54A59568"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Calibri" w:eastAsia="Times New Roman" w:hAnsi="Calibri" w:cs="Calibri"/>
                <w:color w:val="000000" w:themeColor="dark1"/>
                <w:kern w:val="24"/>
                <w:sz w:val="18"/>
                <w:szCs w:val="18"/>
                <w:lang w:val="en-US"/>
              </w:rPr>
              <w:t>20</w:t>
            </w:r>
          </w:p>
        </w:tc>
      </w:tr>
      <w:tr w:rsidR="00DC3946" w:rsidRPr="00DC3946" w14:paraId="1339B0E0" w14:textId="77777777" w:rsidTr="00DC3946">
        <w:trPr>
          <w:trHeight w:val="20"/>
          <w:jc w:val="center"/>
        </w:trPr>
        <w:tc>
          <w:tcPr>
            <w:tcW w:w="4786" w:type="dxa"/>
            <w:hideMark/>
          </w:tcPr>
          <w:p w14:paraId="0D1CC3BB"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Calibri" w:eastAsia="Times New Roman" w:hAnsi="Calibri" w:cs="Calibri"/>
                <w:color w:val="000000" w:themeColor="dark1"/>
                <w:kern w:val="24"/>
                <w:sz w:val="18"/>
                <w:szCs w:val="18"/>
                <w:lang w:val="en-US"/>
              </w:rPr>
              <w:t>MIB size</w:t>
            </w:r>
          </w:p>
        </w:tc>
        <w:tc>
          <w:tcPr>
            <w:tcW w:w="609" w:type="dxa"/>
            <w:hideMark/>
          </w:tcPr>
          <w:p w14:paraId="238D8253"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Theme="minorHAnsi" w:eastAsiaTheme="minorEastAsia" w:hAnsi="Calibri" w:cstheme="minorBidi"/>
                <w:color w:val="000000" w:themeColor="dark1"/>
                <w:kern w:val="24"/>
                <w:sz w:val="18"/>
                <w:szCs w:val="18"/>
                <w:lang w:val="en-US"/>
              </w:rPr>
              <w:t>bits</w:t>
            </w:r>
          </w:p>
        </w:tc>
        <w:tc>
          <w:tcPr>
            <w:tcW w:w="843" w:type="dxa"/>
            <w:hideMark/>
          </w:tcPr>
          <w:p w14:paraId="06CD7622"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Calibri" w:eastAsia="Times New Roman" w:hAnsi="Calibri" w:cs="Calibri"/>
                <w:color w:val="000000" w:themeColor="dark1"/>
                <w:kern w:val="24"/>
                <w:sz w:val="18"/>
                <w:szCs w:val="18"/>
                <w:lang w:val="en-US"/>
              </w:rPr>
              <w:t>24</w:t>
            </w:r>
          </w:p>
        </w:tc>
      </w:tr>
      <w:tr w:rsidR="00DC3946" w:rsidRPr="00DC3946" w14:paraId="794B5575" w14:textId="77777777" w:rsidTr="00DC3946">
        <w:trPr>
          <w:cnfStyle w:val="000000100000" w:firstRow="0" w:lastRow="0" w:firstColumn="0" w:lastColumn="0" w:oddVBand="0" w:evenVBand="0" w:oddHBand="1" w:evenHBand="0" w:firstRowFirstColumn="0" w:firstRowLastColumn="0" w:lastRowFirstColumn="0" w:lastRowLastColumn="0"/>
          <w:trHeight w:val="300"/>
          <w:jc w:val="center"/>
        </w:trPr>
        <w:tc>
          <w:tcPr>
            <w:tcW w:w="4786" w:type="dxa"/>
            <w:hideMark/>
          </w:tcPr>
          <w:p w14:paraId="27432F88"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Calibri" w:eastAsia="Times New Roman" w:hAnsi="Calibri" w:cs="Calibri"/>
                <w:color w:val="000000" w:themeColor="dark1"/>
                <w:kern w:val="24"/>
                <w:sz w:val="18"/>
                <w:szCs w:val="18"/>
                <w:lang w:val="en-US"/>
              </w:rPr>
              <w:t>PBCH payload size (including 24 bits CRC and 8 bits of SS/PBCH location information)</w:t>
            </w:r>
          </w:p>
        </w:tc>
        <w:tc>
          <w:tcPr>
            <w:tcW w:w="609" w:type="dxa"/>
            <w:hideMark/>
          </w:tcPr>
          <w:p w14:paraId="57834A0C"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Theme="minorHAnsi" w:eastAsiaTheme="minorEastAsia" w:hAnsi="Calibri" w:cstheme="minorBidi"/>
                <w:color w:val="000000" w:themeColor="dark1"/>
                <w:kern w:val="24"/>
                <w:sz w:val="18"/>
                <w:szCs w:val="18"/>
                <w:lang w:val="en-US"/>
              </w:rPr>
              <w:t>bits</w:t>
            </w:r>
          </w:p>
        </w:tc>
        <w:tc>
          <w:tcPr>
            <w:tcW w:w="843" w:type="dxa"/>
            <w:hideMark/>
          </w:tcPr>
          <w:p w14:paraId="62BC9FCD"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Calibri" w:eastAsia="Times New Roman" w:hAnsi="Calibri" w:cs="Calibri"/>
                <w:color w:val="000000" w:themeColor="dark1"/>
                <w:kern w:val="24"/>
                <w:sz w:val="18"/>
                <w:szCs w:val="18"/>
                <w:lang w:val="en-US"/>
              </w:rPr>
              <w:t>56</w:t>
            </w:r>
          </w:p>
        </w:tc>
      </w:tr>
      <w:tr w:rsidR="00DC3946" w:rsidRPr="00DC3946" w14:paraId="5569D3BF" w14:textId="77777777" w:rsidTr="00DC3946">
        <w:trPr>
          <w:trHeight w:val="20"/>
          <w:jc w:val="center"/>
        </w:trPr>
        <w:tc>
          <w:tcPr>
            <w:tcW w:w="4786" w:type="dxa"/>
            <w:hideMark/>
          </w:tcPr>
          <w:p w14:paraId="5A1A6F79"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Calibri" w:eastAsia="Times New Roman" w:hAnsi="Calibri" w:cs="Calibri"/>
                <w:color w:val="000000" w:themeColor="dark1"/>
                <w:kern w:val="24"/>
                <w:sz w:val="18"/>
                <w:szCs w:val="18"/>
                <w:lang w:val="en-US"/>
              </w:rPr>
              <w:t>Receiver assumption</w:t>
            </w:r>
          </w:p>
        </w:tc>
        <w:tc>
          <w:tcPr>
            <w:tcW w:w="609" w:type="dxa"/>
            <w:hideMark/>
          </w:tcPr>
          <w:p w14:paraId="43336C78" w14:textId="77777777" w:rsidR="00DC3946" w:rsidRPr="00DC3946" w:rsidRDefault="00DC3946" w:rsidP="00DC3946">
            <w:pPr>
              <w:spacing w:after="0"/>
              <w:jc w:val="left"/>
              <w:rPr>
                <w:rFonts w:ascii="Arial" w:eastAsia="Times New Roman" w:hAnsi="Arial" w:cs="Arial"/>
                <w:sz w:val="18"/>
                <w:szCs w:val="18"/>
                <w:lang w:val="en-US"/>
              </w:rPr>
            </w:pPr>
          </w:p>
        </w:tc>
        <w:tc>
          <w:tcPr>
            <w:tcW w:w="843" w:type="dxa"/>
            <w:hideMark/>
          </w:tcPr>
          <w:p w14:paraId="26D50692" w14:textId="77777777" w:rsidR="00DC3946" w:rsidRPr="00DC3946" w:rsidRDefault="00DC3946" w:rsidP="00DC3946">
            <w:pPr>
              <w:spacing w:after="0"/>
              <w:jc w:val="left"/>
              <w:rPr>
                <w:rFonts w:ascii="Arial" w:eastAsia="Times New Roman" w:hAnsi="Arial" w:cs="Arial"/>
                <w:sz w:val="18"/>
                <w:szCs w:val="18"/>
                <w:lang w:val="en-US"/>
              </w:rPr>
            </w:pPr>
            <w:r w:rsidRPr="00DC3946">
              <w:rPr>
                <w:rFonts w:ascii="Calibri" w:eastAsia="Times New Roman" w:hAnsi="Calibri" w:cs="Calibri"/>
                <w:color w:val="000000" w:themeColor="dark1"/>
                <w:kern w:val="24"/>
                <w:sz w:val="18"/>
                <w:szCs w:val="18"/>
                <w:lang w:val="en-US"/>
              </w:rPr>
              <w:t>LMMSE</w:t>
            </w:r>
          </w:p>
        </w:tc>
      </w:tr>
    </w:tbl>
    <w:p w14:paraId="57ED35E1" w14:textId="4446D92F" w:rsidR="00B13CAE" w:rsidRDefault="000A6F77" w:rsidP="003841F4">
      <w:r>
        <w:t xml:space="preserve">In Table 2 we provide the </w:t>
      </w:r>
      <w:r w:rsidR="004868DB">
        <w:t xml:space="preserve">simulation assumptions </w:t>
      </w:r>
      <w:r>
        <w:t>for initial simulation alignment proposed in [1] (not agreed):</w:t>
      </w:r>
    </w:p>
    <w:p w14:paraId="4238DD5E" w14:textId="77777777" w:rsidR="00DC3946" w:rsidRDefault="00DC3946" w:rsidP="00DC3946">
      <w:pPr>
        <w:pStyle w:val="Caption"/>
        <w:keepNext/>
        <w:jc w:val="center"/>
      </w:pPr>
      <w:r>
        <w:t xml:space="preserve">Table </w:t>
      </w:r>
      <w:r>
        <w:fldChar w:fldCharType="begin"/>
      </w:r>
      <w:r>
        <w:instrText xml:space="preserve"> SEQ Table \* ARABIC </w:instrText>
      </w:r>
      <w:r>
        <w:fldChar w:fldCharType="separate"/>
      </w:r>
      <w:r w:rsidR="006A0EDC">
        <w:rPr>
          <w:noProof/>
        </w:rPr>
        <w:t>2</w:t>
      </w:r>
      <w:r>
        <w:fldChar w:fldCharType="end"/>
      </w:r>
      <w:r>
        <w:t xml:space="preserve">: Testcases for PBCH </w:t>
      </w:r>
      <w:r w:rsidR="004868DB">
        <w:t>simulation alignment</w:t>
      </w:r>
    </w:p>
    <w:tbl>
      <w:tblPr>
        <w:tblStyle w:val="GridTable5Dark-Accent5"/>
        <w:tblW w:w="7555" w:type="dxa"/>
        <w:jc w:val="center"/>
        <w:tblLayout w:type="fixed"/>
        <w:tblLook w:val="0420" w:firstRow="1" w:lastRow="0" w:firstColumn="0" w:lastColumn="0" w:noHBand="0" w:noVBand="1"/>
      </w:tblPr>
      <w:tblGrid>
        <w:gridCol w:w="1773"/>
        <w:gridCol w:w="1688"/>
        <w:gridCol w:w="1394"/>
        <w:gridCol w:w="1331"/>
        <w:gridCol w:w="1369"/>
      </w:tblGrid>
      <w:tr w:rsidR="00DC3946" w:rsidRPr="00DC3946" w14:paraId="6107EEF0" w14:textId="77777777" w:rsidTr="004868DB">
        <w:trPr>
          <w:cnfStyle w:val="100000000000" w:firstRow="1" w:lastRow="0" w:firstColumn="0" w:lastColumn="0" w:oddVBand="0" w:evenVBand="0" w:oddHBand="0" w:evenHBand="0" w:firstRowFirstColumn="0" w:firstRowLastColumn="0" w:lastRowFirstColumn="0" w:lastRowLastColumn="0"/>
          <w:trHeight w:val="156"/>
          <w:jc w:val="center"/>
        </w:trPr>
        <w:tc>
          <w:tcPr>
            <w:tcW w:w="1773" w:type="dxa"/>
            <w:hideMark/>
          </w:tcPr>
          <w:p w14:paraId="1A9136D1"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FFFFFF" w:themeColor="light1"/>
                <w:kern w:val="24"/>
                <w:sz w:val="18"/>
                <w:szCs w:val="18"/>
                <w:lang w:val="en-US"/>
              </w:rPr>
              <w:t>Parameters</w:t>
            </w:r>
          </w:p>
        </w:tc>
        <w:tc>
          <w:tcPr>
            <w:tcW w:w="1688" w:type="dxa"/>
            <w:hideMark/>
          </w:tcPr>
          <w:p w14:paraId="4FF0B755"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FFFFFF" w:themeColor="light1"/>
                <w:kern w:val="24"/>
                <w:sz w:val="18"/>
                <w:szCs w:val="18"/>
                <w:lang w:val="en-US"/>
              </w:rPr>
              <w:t>Test 1</w:t>
            </w:r>
          </w:p>
        </w:tc>
        <w:tc>
          <w:tcPr>
            <w:tcW w:w="1394" w:type="dxa"/>
            <w:hideMark/>
          </w:tcPr>
          <w:p w14:paraId="60B615B0"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FFFFFF" w:themeColor="light1"/>
                <w:kern w:val="24"/>
                <w:sz w:val="18"/>
                <w:szCs w:val="18"/>
                <w:lang w:val="en-US"/>
              </w:rPr>
              <w:t>Test 2</w:t>
            </w:r>
          </w:p>
        </w:tc>
        <w:tc>
          <w:tcPr>
            <w:tcW w:w="1331" w:type="dxa"/>
            <w:hideMark/>
          </w:tcPr>
          <w:p w14:paraId="446AEAA9"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FFFFFF" w:themeColor="light1"/>
                <w:kern w:val="24"/>
                <w:sz w:val="18"/>
                <w:szCs w:val="18"/>
                <w:lang w:val="en-US"/>
              </w:rPr>
              <w:t>Test 3</w:t>
            </w:r>
          </w:p>
        </w:tc>
        <w:tc>
          <w:tcPr>
            <w:tcW w:w="1369" w:type="dxa"/>
            <w:hideMark/>
          </w:tcPr>
          <w:p w14:paraId="54B93A8C"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FFFFFF" w:themeColor="light1"/>
                <w:kern w:val="24"/>
                <w:sz w:val="18"/>
                <w:szCs w:val="18"/>
                <w:lang w:val="en-US"/>
              </w:rPr>
              <w:t>Test 4</w:t>
            </w:r>
          </w:p>
        </w:tc>
      </w:tr>
      <w:tr w:rsidR="00DC3946" w:rsidRPr="00DC3946" w14:paraId="72F390B7" w14:textId="77777777" w:rsidTr="004868DB">
        <w:trPr>
          <w:cnfStyle w:val="000000100000" w:firstRow="0" w:lastRow="0" w:firstColumn="0" w:lastColumn="0" w:oddVBand="0" w:evenVBand="0" w:oddHBand="1" w:evenHBand="0" w:firstRowFirstColumn="0" w:firstRowLastColumn="0" w:lastRowFirstColumn="0" w:lastRowLastColumn="0"/>
          <w:trHeight w:val="146"/>
          <w:jc w:val="center"/>
        </w:trPr>
        <w:tc>
          <w:tcPr>
            <w:tcW w:w="1773" w:type="dxa"/>
            <w:hideMark/>
          </w:tcPr>
          <w:p w14:paraId="0866647A"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Frequency Range</w:t>
            </w:r>
          </w:p>
        </w:tc>
        <w:tc>
          <w:tcPr>
            <w:tcW w:w="1688" w:type="dxa"/>
            <w:hideMark/>
          </w:tcPr>
          <w:p w14:paraId="5B295663"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FR1</w:t>
            </w:r>
          </w:p>
        </w:tc>
        <w:tc>
          <w:tcPr>
            <w:tcW w:w="1394" w:type="dxa"/>
            <w:hideMark/>
          </w:tcPr>
          <w:p w14:paraId="5BE40B66"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FR1</w:t>
            </w:r>
          </w:p>
        </w:tc>
        <w:tc>
          <w:tcPr>
            <w:tcW w:w="1331" w:type="dxa"/>
            <w:hideMark/>
          </w:tcPr>
          <w:p w14:paraId="5696366C"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FR2</w:t>
            </w:r>
          </w:p>
        </w:tc>
        <w:tc>
          <w:tcPr>
            <w:tcW w:w="1369" w:type="dxa"/>
            <w:hideMark/>
          </w:tcPr>
          <w:p w14:paraId="5BB2BC6D"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FR2</w:t>
            </w:r>
          </w:p>
        </w:tc>
      </w:tr>
      <w:tr w:rsidR="00DC3946" w:rsidRPr="00DC3946" w14:paraId="0FEBA471" w14:textId="77777777" w:rsidTr="004868DB">
        <w:trPr>
          <w:trHeight w:val="165"/>
          <w:jc w:val="center"/>
        </w:trPr>
        <w:tc>
          <w:tcPr>
            <w:tcW w:w="1773" w:type="dxa"/>
            <w:hideMark/>
          </w:tcPr>
          <w:p w14:paraId="0503A4A2"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Channel Bandwidth</w:t>
            </w:r>
          </w:p>
        </w:tc>
        <w:tc>
          <w:tcPr>
            <w:tcW w:w="1688" w:type="dxa"/>
            <w:hideMark/>
          </w:tcPr>
          <w:p w14:paraId="77CFA0E8"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10MHz</w:t>
            </w:r>
          </w:p>
        </w:tc>
        <w:tc>
          <w:tcPr>
            <w:tcW w:w="1394" w:type="dxa"/>
            <w:hideMark/>
          </w:tcPr>
          <w:p w14:paraId="735CDE1D"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40MHz</w:t>
            </w:r>
          </w:p>
        </w:tc>
        <w:tc>
          <w:tcPr>
            <w:tcW w:w="1331" w:type="dxa"/>
            <w:hideMark/>
          </w:tcPr>
          <w:p w14:paraId="4CC1E5DC"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100MHz</w:t>
            </w:r>
          </w:p>
        </w:tc>
        <w:tc>
          <w:tcPr>
            <w:tcW w:w="1369" w:type="dxa"/>
            <w:hideMark/>
          </w:tcPr>
          <w:p w14:paraId="459C1558"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100MHz</w:t>
            </w:r>
          </w:p>
        </w:tc>
      </w:tr>
      <w:tr w:rsidR="00DC3946" w:rsidRPr="00DC3946" w14:paraId="08461956" w14:textId="77777777" w:rsidTr="004868DB">
        <w:trPr>
          <w:cnfStyle w:val="000000100000" w:firstRow="0" w:lastRow="0" w:firstColumn="0" w:lastColumn="0" w:oddVBand="0" w:evenVBand="0" w:oddHBand="1" w:evenHBand="0" w:firstRowFirstColumn="0" w:firstRowLastColumn="0" w:lastRowFirstColumn="0" w:lastRowLastColumn="0"/>
          <w:trHeight w:val="165"/>
          <w:jc w:val="center"/>
        </w:trPr>
        <w:tc>
          <w:tcPr>
            <w:tcW w:w="1773" w:type="dxa"/>
            <w:hideMark/>
          </w:tcPr>
          <w:p w14:paraId="5E1043DD"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SS/PBCH SCS</w:t>
            </w:r>
          </w:p>
        </w:tc>
        <w:tc>
          <w:tcPr>
            <w:tcW w:w="1688" w:type="dxa"/>
            <w:hideMark/>
          </w:tcPr>
          <w:p w14:paraId="310853B2"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15kHz</w:t>
            </w:r>
          </w:p>
        </w:tc>
        <w:tc>
          <w:tcPr>
            <w:tcW w:w="1394" w:type="dxa"/>
            <w:hideMark/>
          </w:tcPr>
          <w:p w14:paraId="277FA869"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30kHz</w:t>
            </w:r>
          </w:p>
        </w:tc>
        <w:tc>
          <w:tcPr>
            <w:tcW w:w="1331" w:type="dxa"/>
            <w:hideMark/>
          </w:tcPr>
          <w:p w14:paraId="676C8854"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120kHz</w:t>
            </w:r>
          </w:p>
        </w:tc>
        <w:tc>
          <w:tcPr>
            <w:tcW w:w="1369" w:type="dxa"/>
            <w:hideMark/>
          </w:tcPr>
          <w:p w14:paraId="49B6E398"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240kHz</w:t>
            </w:r>
          </w:p>
        </w:tc>
      </w:tr>
      <w:tr w:rsidR="00DC3946" w:rsidRPr="00DC3946" w14:paraId="5142ACB9" w14:textId="77777777" w:rsidTr="004868DB">
        <w:trPr>
          <w:trHeight w:val="322"/>
          <w:jc w:val="center"/>
        </w:trPr>
        <w:tc>
          <w:tcPr>
            <w:tcW w:w="1773" w:type="dxa"/>
            <w:hideMark/>
          </w:tcPr>
          <w:p w14:paraId="0446A6ED"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SS Block pattern</w:t>
            </w:r>
          </w:p>
          <w:p w14:paraId="257E8BCB"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(Note 1)</w:t>
            </w:r>
          </w:p>
        </w:tc>
        <w:tc>
          <w:tcPr>
            <w:tcW w:w="1688" w:type="dxa"/>
            <w:hideMark/>
          </w:tcPr>
          <w:p w14:paraId="02C5BF58"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Case A</w:t>
            </w:r>
          </w:p>
        </w:tc>
        <w:tc>
          <w:tcPr>
            <w:tcW w:w="1394" w:type="dxa"/>
            <w:hideMark/>
          </w:tcPr>
          <w:p w14:paraId="774A4937"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Case B</w:t>
            </w:r>
          </w:p>
          <w:p w14:paraId="77E7B04D"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Case C</w:t>
            </w:r>
          </w:p>
        </w:tc>
        <w:tc>
          <w:tcPr>
            <w:tcW w:w="1331" w:type="dxa"/>
            <w:hideMark/>
          </w:tcPr>
          <w:p w14:paraId="0E636B58"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Case D</w:t>
            </w:r>
          </w:p>
        </w:tc>
        <w:tc>
          <w:tcPr>
            <w:tcW w:w="1369" w:type="dxa"/>
            <w:hideMark/>
          </w:tcPr>
          <w:p w14:paraId="1719BBB4"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Case E</w:t>
            </w:r>
          </w:p>
        </w:tc>
      </w:tr>
      <w:tr w:rsidR="00DC3946" w:rsidRPr="00DC3946" w14:paraId="384BD34C" w14:textId="77777777" w:rsidTr="004868DB">
        <w:trPr>
          <w:cnfStyle w:val="000000100000" w:firstRow="0" w:lastRow="0" w:firstColumn="0" w:lastColumn="0" w:oddVBand="0" w:evenVBand="0" w:oddHBand="1" w:evenHBand="0" w:firstRowFirstColumn="0" w:firstRowLastColumn="0" w:lastRowFirstColumn="0" w:lastRowLastColumn="0"/>
          <w:trHeight w:val="322"/>
          <w:jc w:val="center"/>
        </w:trPr>
        <w:tc>
          <w:tcPr>
            <w:tcW w:w="1773" w:type="dxa"/>
            <w:hideMark/>
          </w:tcPr>
          <w:p w14:paraId="05E9283A"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Antenna Configuration</w:t>
            </w:r>
          </w:p>
        </w:tc>
        <w:tc>
          <w:tcPr>
            <w:tcW w:w="1688" w:type="dxa"/>
            <w:hideMark/>
          </w:tcPr>
          <w:p w14:paraId="5CB8E594"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1x2</w:t>
            </w:r>
          </w:p>
          <w:p w14:paraId="3C4C348F" w14:textId="77777777" w:rsidR="00DC3946" w:rsidRPr="00DC3946" w:rsidRDefault="004868DB" w:rsidP="00DC3946">
            <w:pPr>
              <w:spacing w:after="0"/>
              <w:jc w:val="left"/>
              <w:rPr>
                <w:rFonts w:asciiTheme="minorHAnsi" w:eastAsia="Times New Roman" w:hAnsiTheme="minorHAnsi" w:cstheme="minorHAnsi"/>
                <w:sz w:val="18"/>
                <w:szCs w:val="18"/>
                <w:lang w:val="en-US"/>
              </w:rPr>
            </w:pPr>
            <w:r>
              <w:rPr>
                <w:rFonts w:asciiTheme="minorHAnsi" w:eastAsia="Times New Roman" w:hAnsiTheme="minorHAnsi" w:cstheme="minorHAnsi"/>
                <w:color w:val="000000" w:themeColor="text1"/>
                <w:kern w:val="24"/>
                <w:sz w:val="18"/>
                <w:szCs w:val="18"/>
                <w:lang w:val="en-US"/>
              </w:rPr>
              <w:t>[</w:t>
            </w:r>
            <w:r w:rsidR="00DC3946" w:rsidRPr="00DC3946">
              <w:rPr>
                <w:rFonts w:asciiTheme="minorHAnsi" w:eastAsia="Times New Roman" w:hAnsiTheme="minorHAnsi" w:cstheme="minorHAnsi"/>
                <w:color w:val="000000" w:themeColor="text1"/>
                <w:kern w:val="24"/>
                <w:sz w:val="18"/>
                <w:szCs w:val="18"/>
                <w:lang w:val="en-US"/>
              </w:rPr>
              <w:t>1x4</w:t>
            </w:r>
            <w:r>
              <w:rPr>
                <w:rFonts w:asciiTheme="minorHAnsi" w:eastAsia="Times New Roman" w:hAnsiTheme="minorHAnsi" w:cstheme="minorHAnsi"/>
                <w:color w:val="000000" w:themeColor="text1"/>
                <w:kern w:val="24"/>
                <w:sz w:val="18"/>
                <w:szCs w:val="18"/>
                <w:lang w:val="en-US"/>
              </w:rPr>
              <w:t>]</w:t>
            </w:r>
          </w:p>
        </w:tc>
        <w:tc>
          <w:tcPr>
            <w:tcW w:w="1394" w:type="dxa"/>
            <w:hideMark/>
          </w:tcPr>
          <w:p w14:paraId="52892AF7"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1x2</w:t>
            </w:r>
          </w:p>
          <w:p w14:paraId="73421779" w14:textId="77777777" w:rsidR="00DC3946" w:rsidRPr="00DC3946" w:rsidRDefault="004868DB" w:rsidP="00DC3946">
            <w:pPr>
              <w:spacing w:after="0"/>
              <w:jc w:val="left"/>
              <w:rPr>
                <w:rFonts w:asciiTheme="minorHAnsi" w:eastAsia="Times New Roman" w:hAnsiTheme="minorHAnsi" w:cstheme="minorHAnsi"/>
                <w:sz w:val="18"/>
                <w:szCs w:val="18"/>
                <w:lang w:val="en-US"/>
              </w:rPr>
            </w:pPr>
            <w:r>
              <w:rPr>
                <w:rFonts w:asciiTheme="minorHAnsi" w:eastAsia="Times New Roman" w:hAnsiTheme="minorHAnsi" w:cstheme="minorHAnsi"/>
                <w:color w:val="000000" w:themeColor="text1"/>
                <w:kern w:val="24"/>
                <w:sz w:val="18"/>
                <w:szCs w:val="18"/>
                <w:lang w:val="en-US"/>
              </w:rPr>
              <w:t>[</w:t>
            </w:r>
            <w:r w:rsidR="00DC3946" w:rsidRPr="00DC3946">
              <w:rPr>
                <w:rFonts w:asciiTheme="minorHAnsi" w:eastAsia="Times New Roman" w:hAnsiTheme="minorHAnsi" w:cstheme="minorHAnsi"/>
                <w:color w:val="000000" w:themeColor="text1"/>
                <w:kern w:val="24"/>
                <w:sz w:val="18"/>
                <w:szCs w:val="18"/>
                <w:lang w:val="en-US"/>
              </w:rPr>
              <w:t>1x4</w:t>
            </w:r>
            <w:r>
              <w:rPr>
                <w:rFonts w:asciiTheme="minorHAnsi" w:eastAsia="Times New Roman" w:hAnsiTheme="minorHAnsi" w:cstheme="minorHAnsi"/>
                <w:color w:val="000000" w:themeColor="text1"/>
                <w:kern w:val="24"/>
                <w:sz w:val="18"/>
                <w:szCs w:val="18"/>
                <w:lang w:val="en-US"/>
              </w:rPr>
              <w:t>]</w:t>
            </w:r>
          </w:p>
        </w:tc>
        <w:tc>
          <w:tcPr>
            <w:tcW w:w="1331" w:type="dxa"/>
            <w:hideMark/>
          </w:tcPr>
          <w:p w14:paraId="498B83AE"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1x2</w:t>
            </w:r>
          </w:p>
        </w:tc>
        <w:tc>
          <w:tcPr>
            <w:tcW w:w="1369" w:type="dxa"/>
            <w:hideMark/>
          </w:tcPr>
          <w:p w14:paraId="08477478"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1x2</w:t>
            </w:r>
          </w:p>
        </w:tc>
      </w:tr>
      <w:tr w:rsidR="00DC3946" w:rsidRPr="00DC3946" w14:paraId="1E2741D0" w14:textId="77777777" w:rsidTr="004868DB">
        <w:trPr>
          <w:trHeight w:val="489"/>
          <w:jc w:val="center"/>
        </w:trPr>
        <w:tc>
          <w:tcPr>
            <w:tcW w:w="1773" w:type="dxa"/>
            <w:hideMark/>
          </w:tcPr>
          <w:p w14:paraId="4FF5CAD3"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Propagation channel</w:t>
            </w:r>
          </w:p>
        </w:tc>
        <w:tc>
          <w:tcPr>
            <w:tcW w:w="1688" w:type="dxa"/>
            <w:hideMark/>
          </w:tcPr>
          <w:p w14:paraId="2372CDAE"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TDL-C</w:t>
            </w:r>
          </w:p>
          <w:p w14:paraId="06495B90"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RMS DS=300ns</w:t>
            </w:r>
          </w:p>
          <w:p w14:paraId="474A6480"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Doppler=100Hz</w:t>
            </w:r>
          </w:p>
        </w:tc>
        <w:tc>
          <w:tcPr>
            <w:tcW w:w="1394" w:type="dxa"/>
            <w:hideMark/>
          </w:tcPr>
          <w:p w14:paraId="0BFE5D64"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TDL-A</w:t>
            </w:r>
          </w:p>
          <w:p w14:paraId="38518578"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RMS DS=30ns,</w:t>
            </w:r>
          </w:p>
          <w:p w14:paraId="2A7A12A7" w14:textId="77777777" w:rsidR="00DC3946" w:rsidRPr="00DC3946" w:rsidRDefault="00DC3946" w:rsidP="00DC3946">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Doppler=10Hz</w:t>
            </w:r>
          </w:p>
        </w:tc>
        <w:tc>
          <w:tcPr>
            <w:tcW w:w="1331" w:type="dxa"/>
            <w:hideMark/>
          </w:tcPr>
          <w:p w14:paraId="282A6424" w14:textId="77777777" w:rsidR="00DC3946" w:rsidRDefault="004868DB" w:rsidP="00DC3946">
            <w:pPr>
              <w:spacing w:after="0"/>
              <w:jc w:val="left"/>
              <w:rPr>
                <w:rFonts w:asciiTheme="minorHAnsi" w:eastAsia="Times New Roman" w:hAnsiTheme="minorHAnsi" w:cstheme="minorHAnsi"/>
                <w:color w:val="000000" w:themeColor="dark1"/>
                <w:kern w:val="24"/>
                <w:sz w:val="18"/>
                <w:szCs w:val="18"/>
                <w:lang w:val="en-US"/>
              </w:rPr>
            </w:pPr>
            <w:r>
              <w:rPr>
                <w:rFonts w:asciiTheme="minorHAnsi" w:eastAsia="Times New Roman" w:hAnsiTheme="minorHAnsi" w:cstheme="minorHAnsi"/>
                <w:color w:val="000000" w:themeColor="dark1"/>
                <w:kern w:val="24"/>
                <w:sz w:val="18"/>
                <w:szCs w:val="18"/>
                <w:lang w:val="en-US"/>
              </w:rPr>
              <w:t>TDL-A</w:t>
            </w:r>
          </w:p>
          <w:p w14:paraId="7D5079E3" w14:textId="77777777" w:rsidR="004868DB" w:rsidRPr="00DC3946" w:rsidRDefault="004868DB" w:rsidP="004868DB">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RMS DS=30ns,</w:t>
            </w:r>
          </w:p>
          <w:p w14:paraId="1360FE3E" w14:textId="77777777" w:rsidR="004868DB" w:rsidRPr="00DC3946" w:rsidRDefault="004868DB" w:rsidP="004868DB">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Doppler=</w:t>
            </w:r>
            <w:r>
              <w:rPr>
                <w:rFonts w:asciiTheme="minorHAnsi" w:eastAsia="Times New Roman" w:hAnsiTheme="minorHAnsi" w:cstheme="minorHAnsi"/>
                <w:color w:val="000000" w:themeColor="dark1"/>
                <w:kern w:val="24"/>
                <w:sz w:val="18"/>
                <w:szCs w:val="18"/>
                <w:lang w:val="en-US"/>
              </w:rPr>
              <w:t>75</w:t>
            </w:r>
            <w:r w:rsidRPr="00DC3946">
              <w:rPr>
                <w:rFonts w:asciiTheme="minorHAnsi" w:eastAsia="Times New Roman" w:hAnsiTheme="minorHAnsi" w:cstheme="minorHAnsi"/>
                <w:color w:val="000000" w:themeColor="dark1"/>
                <w:kern w:val="24"/>
                <w:sz w:val="18"/>
                <w:szCs w:val="18"/>
                <w:lang w:val="en-US"/>
              </w:rPr>
              <w:t>Hz</w:t>
            </w:r>
          </w:p>
        </w:tc>
        <w:tc>
          <w:tcPr>
            <w:tcW w:w="1369" w:type="dxa"/>
            <w:hideMark/>
          </w:tcPr>
          <w:p w14:paraId="0B063EE8" w14:textId="77777777" w:rsidR="004868DB" w:rsidRDefault="004868DB" w:rsidP="004868DB">
            <w:pPr>
              <w:spacing w:after="0"/>
              <w:jc w:val="left"/>
              <w:rPr>
                <w:rFonts w:asciiTheme="minorHAnsi" w:eastAsia="Times New Roman" w:hAnsiTheme="minorHAnsi" w:cstheme="minorHAnsi"/>
                <w:color w:val="000000" w:themeColor="dark1"/>
                <w:kern w:val="24"/>
                <w:sz w:val="18"/>
                <w:szCs w:val="18"/>
                <w:lang w:val="en-US"/>
              </w:rPr>
            </w:pPr>
            <w:r>
              <w:rPr>
                <w:rFonts w:asciiTheme="minorHAnsi" w:eastAsia="Times New Roman" w:hAnsiTheme="minorHAnsi" w:cstheme="minorHAnsi"/>
                <w:color w:val="000000" w:themeColor="dark1"/>
                <w:kern w:val="24"/>
                <w:sz w:val="18"/>
                <w:szCs w:val="18"/>
                <w:lang w:val="en-US"/>
              </w:rPr>
              <w:t>TDL-A</w:t>
            </w:r>
          </w:p>
          <w:p w14:paraId="09A80E78" w14:textId="77777777" w:rsidR="004868DB" w:rsidRPr="00DC3946" w:rsidRDefault="004868DB" w:rsidP="004868DB">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RMS DS=30ns,</w:t>
            </w:r>
          </w:p>
          <w:p w14:paraId="0F3FD050" w14:textId="77777777" w:rsidR="00DC3946" w:rsidRPr="00DC3946" w:rsidRDefault="004868DB" w:rsidP="004868DB">
            <w:pPr>
              <w:spacing w:after="0"/>
              <w:jc w:val="left"/>
              <w:rPr>
                <w:rFonts w:asciiTheme="minorHAnsi" w:eastAsia="Times New Roman" w:hAnsiTheme="minorHAnsi" w:cstheme="minorHAnsi"/>
                <w:sz w:val="18"/>
                <w:szCs w:val="18"/>
                <w:lang w:val="en-US"/>
              </w:rPr>
            </w:pPr>
            <w:r w:rsidRPr="00DC3946">
              <w:rPr>
                <w:rFonts w:asciiTheme="minorHAnsi" w:eastAsia="Times New Roman" w:hAnsiTheme="minorHAnsi" w:cstheme="minorHAnsi"/>
                <w:color w:val="000000" w:themeColor="dark1"/>
                <w:kern w:val="24"/>
                <w:sz w:val="18"/>
                <w:szCs w:val="18"/>
                <w:lang w:val="en-US"/>
              </w:rPr>
              <w:t>Doppler=</w:t>
            </w:r>
            <w:r>
              <w:rPr>
                <w:rFonts w:asciiTheme="minorHAnsi" w:eastAsia="Times New Roman" w:hAnsiTheme="minorHAnsi" w:cstheme="minorHAnsi"/>
                <w:color w:val="000000" w:themeColor="dark1"/>
                <w:kern w:val="24"/>
                <w:sz w:val="18"/>
                <w:szCs w:val="18"/>
                <w:lang w:val="en-US"/>
              </w:rPr>
              <w:t>300</w:t>
            </w:r>
            <w:r w:rsidRPr="00DC3946">
              <w:rPr>
                <w:rFonts w:asciiTheme="minorHAnsi" w:eastAsia="Times New Roman" w:hAnsiTheme="minorHAnsi" w:cstheme="minorHAnsi"/>
                <w:color w:val="000000" w:themeColor="dark1"/>
                <w:kern w:val="24"/>
                <w:sz w:val="18"/>
                <w:szCs w:val="18"/>
                <w:lang w:val="en-US"/>
              </w:rPr>
              <w:t>Hz</w:t>
            </w:r>
          </w:p>
        </w:tc>
      </w:tr>
      <w:tr w:rsidR="00DC3946" w:rsidRPr="00DC3946" w14:paraId="28EF235E" w14:textId="77777777" w:rsidTr="004868DB">
        <w:trPr>
          <w:cnfStyle w:val="000000100000" w:firstRow="0" w:lastRow="0" w:firstColumn="0" w:lastColumn="0" w:oddVBand="0" w:evenVBand="0" w:oddHBand="1" w:evenHBand="0" w:firstRowFirstColumn="0" w:firstRowLastColumn="0" w:lastRowFirstColumn="0" w:lastRowLastColumn="0"/>
          <w:trHeight w:val="489"/>
          <w:jc w:val="center"/>
        </w:trPr>
        <w:tc>
          <w:tcPr>
            <w:tcW w:w="7555" w:type="dxa"/>
            <w:gridSpan w:val="5"/>
          </w:tcPr>
          <w:p w14:paraId="63149D9B" w14:textId="77777777" w:rsidR="00DC3946" w:rsidRPr="00DC3946" w:rsidRDefault="00DC3946" w:rsidP="004868DB">
            <w:pPr>
              <w:spacing w:after="0"/>
              <w:jc w:val="left"/>
              <w:rPr>
                <w:rFonts w:asciiTheme="minorHAnsi" w:eastAsia="Times New Roman" w:hAnsiTheme="minorHAnsi" w:cstheme="minorHAnsi"/>
                <w:color w:val="000000" w:themeColor="dark1"/>
                <w:kern w:val="24"/>
                <w:sz w:val="18"/>
                <w:szCs w:val="18"/>
                <w:lang w:val="en-US"/>
              </w:rPr>
            </w:pPr>
            <w:r w:rsidRPr="00DC3946">
              <w:rPr>
                <w:rFonts w:asciiTheme="minorHAnsi" w:eastAsia="Times New Roman" w:hAnsiTheme="minorHAnsi" w:cstheme="minorHAnsi"/>
                <w:color w:val="000000" w:themeColor="dark1"/>
                <w:kern w:val="24"/>
                <w:sz w:val="18"/>
                <w:szCs w:val="18"/>
                <w:lang w:val="en-US"/>
              </w:rPr>
              <w:t>Note 1: Depending on the operating band. Refers to TS38.101-1 Table 5.4.3.3-1 for which band uses which pattern</w:t>
            </w:r>
          </w:p>
        </w:tc>
      </w:tr>
    </w:tbl>
    <w:p w14:paraId="792CA1BD" w14:textId="77777777" w:rsidR="00DC3946" w:rsidRDefault="00DC3946" w:rsidP="003841F4"/>
    <w:p w14:paraId="357B9D4C" w14:textId="77777777" w:rsidR="00DC3946" w:rsidRDefault="00DC3946" w:rsidP="003841F4"/>
    <w:tbl>
      <w:tblPr>
        <w:tblStyle w:val="TableGrid"/>
        <w:tblW w:w="0" w:type="auto"/>
        <w:tblLayout w:type="fixed"/>
        <w:tblLook w:val="04A0" w:firstRow="1" w:lastRow="0" w:firstColumn="1" w:lastColumn="0" w:noHBand="0" w:noVBand="1"/>
      </w:tblPr>
      <w:tblGrid>
        <w:gridCol w:w="4675"/>
        <w:gridCol w:w="4675"/>
      </w:tblGrid>
      <w:tr w:rsidR="00196879" w14:paraId="4BD1F390" w14:textId="77777777" w:rsidTr="00196879">
        <w:tc>
          <w:tcPr>
            <w:tcW w:w="4675" w:type="dxa"/>
          </w:tcPr>
          <w:p w14:paraId="7FDD9F3A" w14:textId="360C6A2C" w:rsidR="009E4E9A" w:rsidRDefault="009E4E9A" w:rsidP="003841F4">
            <w:r w:rsidRPr="009E4E9A">
              <w:rPr>
                <w:noProof/>
                <w:lang w:val="en-US"/>
              </w:rPr>
              <w:drawing>
                <wp:inline distT="0" distB="0" distL="0" distR="0" wp14:anchorId="50C7E0C6" wp14:editId="6FA19774">
                  <wp:extent cx="3065069" cy="2012932"/>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74612" cy="2019199"/>
                          </a:xfrm>
                          <a:prstGeom prst="rect">
                            <a:avLst/>
                          </a:prstGeom>
                          <a:noFill/>
                          <a:ln>
                            <a:noFill/>
                          </a:ln>
                        </pic:spPr>
                      </pic:pic>
                    </a:graphicData>
                  </a:graphic>
                </wp:inline>
              </w:drawing>
            </w:r>
          </w:p>
        </w:tc>
        <w:tc>
          <w:tcPr>
            <w:tcW w:w="4675" w:type="dxa"/>
          </w:tcPr>
          <w:p w14:paraId="74326176" w14:textId="12ED824B" w:rsidR="009E4E9A" w:rsidRDefault="009E4E9A" w:rsidP="00196879">
            <w:pPr>
              <w:keepNext/>
            </w:pPr>
            <w:r w:rsidRPr="009E4E9A">
              <w:rPr>
                <w:noProof/>
                <w:lang w:val="en-US"/>
              </w:rPr>
              <w:drawing>
                <wp:inline distT="0" distB="0" distL="0" distR="0" wp14:anchorId="3CAC3656" wp14:editId="35AD58D6">
                  <wp:extent cx="3163412" cy="207751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66996" cy="2079870"/>
                          </a:xfrm>
                          <a:prstGeom prst="rect">
                            <a:avLst/>
                          </a:prstGeom>
                          <a:noFill/>
                          <a:ln>
                            <a:noFill/>
                          </a:ln>
                        </pic:spPr>
                      </pic:pic>
                    </a:graphicData>
                  </a:graphic>
                </wp:inline>
              </w:drawing>
            </w:r>
          </w:p>
        </w:tc>
      </w:tr>
    </w:tbl>
    <w:p w14:paraId="4A8C8C15" w14:textId="5F573B1F" w:rsidR="009E4E9A" w:rsidRDefault="009E4E9A" w:rsidP="0019687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PBCH Performance in FR1</w:t>
      </w:r>
    </w:p>
    <w:p w14:paraId="57A591C7" w14:textId="77777777" w:rsidR="009E4E9A" w:rsidRDefault="009E4E9A" w:rsidP="009E4E9A">
      <w:r>
        <w:t>In Table 3 we provide the summary of simulation results for the SNR @ 1% Pm-bch for the FR1 PBCH performance for the case of using 2 and 4 RX antennas.</w:t>
      </w:r>
    </w:p>
    <w:p w14:paraId="05D6608E" w14:textId="77777777" w:rsidR="009E4E9A" w:rsidRDefault="009E4E9A" w:rsidP="009E4E9A">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Simulation Results for PBCH for FR1</w:t>
      </w:r>
    </w:p>
    <w:tbl>
      <w:tblPr>
        <w:tblStyle w:val="GridTable4-Accent5"/>
        <w:tblW w:w="0" w:type="auto"/>
        <w:jc w:val="center"/>
        <w:tblLook w:val="04A0" w:firstRow="1" w:lastRow="0" w:firstColumn="1" w:lastColumn="0" w:noHBand="0" w:noVBand="1"/>
      </w:tblPr>
      <w:tblGrid>
        <w:gridCol w:w="1929"/>
        <w:gridCol w:w="1930"/>
        <w:gridCol w:w="1930"/>
      </w:tblGrid>
      <w:tr w:rsidR="009E4E9A" w14:paraId="3E888D57" w14:textId="77777777" w:rsidTr="00E116B3">
        <w:trPr>
          <w:cnfStyle w:val="100000000000" w:firstRow="1" w:lastRow="0" w:firstColumn="0" w:lastColumn="0" w:oddVBand="0" w:evenVBand="0" w:oddHBand="0"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929" w:type="dxa"/>
            <w:vMerge w:val="restart"/>
            <w:vAlign w:val="center"/>
          </w:tcPr>
          <w:p w14:paraId="0C42D239" w14:textId="77777777" w:rsidR="009E4E9A" w:rsidRPr="00DC3946" w:rsidRDefault="009E4E9A" w:rsidP="00E116B3">
            <w:pPr>
              <w:spacing w:before="60" w:after="60"/>
              <w:jc w:val="center"/>
              <w:rPr>
                <w:rFonts w:asciiTheme="minorHAnsi" w:eastAsia="Times New Roman" w:hAnsiTheme="minorHAnsi" w:cstheme="minorHAnsi"/>
                <w:color w:val="FFFFFF" w:themeColor="light1"/>
                <w:kern w:val="24"/>
                <w:sz w:val="18"/>
                <w:szCs w:val="18"/>
                <w:lang w:val="en-US"/>
              </w:rPr>
            </w:pPr>
            <w:r w:rsidRPr="00DC3946">
              <w:rPr>
                <w:rFonts w:asciiTheme="minorHAnsi" w:eastAsia="Times New Roman" w:hAnsiTheme="minorHAnsi" w:cstheme="minorHAnsi"/>
                <w:color w:val="FFFFFF" w:themeColor="light1"/>
                <w:kern w:val="24"/>
                <w:sz w:val="18"/>
                <w:szCs w:val="18"/>
                <w:lang w:val="en-US"/>
              </w:rPr>
              <w:t>Test</w:t>
            </w:r>
          </w:p>
        </w:tc>
        <w:tc>
          <w:tcPr>
            <w:tcW w:w="3860" w:type="dxa"/>
            <w:gridSpan w:val="2"/>
            <w:vAlign w:val="center"/>
          </w:tcPr>
          <w:p w14:paraId="7A8795BE" w14:textId="170E3C57" w:rsidR="009E4E9A" w:rsidRPr="00DC3946" w:rsidRDefault="009E4E9A" w:rsidP="00E116B3">
            <w:pPr>
              <w:spacing w:before="60" w:after="60"/>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FFFF" w:themeColor="light1"/>
                <w:kern w:val="24"/>
                <w:sz w:val="18"/>
                <w:szCs w:val="18"/>
                <w:lang w:val="en-US"/>
              </w:rPr>
            </w:pPr>
            <w:r w:rsidRPr="00E116B3">
              <w:rPr>
                <w:rFonts w:asciiTheme="minorHAnsi" w:eastAsia="Times New Roman" w:hAnsiTheme="minorHAnsi" w:cstheme="minorHAnsi"/>
                <w:color w:val="FFFFFF" w:themeColor="light1"/>
                <w:kern w:val="24"/>
                <w:sz w:val="18"/>
                <w:szCs w:val="18"/>
                <w:lang w:val="en-US"/>
              </w:rPr>
              <w:t>SNR</w:t>
            </w:r>
            <w:r w:rsidR="00196879">
              <w:rPr>
                <w:rFonts w:asciiTheme="minorHAnsi" w:eastAsia="Times New Roman" w:hAnsiTheme="minorHAnsi" w:cstheme="minorHAnsi"/>
                <w:color w:val="FFFFFF" w:themeColor="light1"/>
                <w:kern w:val="24"/>
                <w:sz w:val="18"/>
                <w:szCs w:val="18"/>
                <w:lang w:val="en-US"/>
              </w:rPr>
              <w:t xml:space="preserve"> (dB)</w:t>
            </w:r>
            <w:r w:rsidRPr="00E116B3">
              <w:rPr>
                <w:rFonts w:asciiTheme="minorHAnsi" w:eastAsia="Times New Roman" w:hAnsiTheme="minorHAnsi" w:cstheme="minorHAnsi"/>
                <w:color w:val="FFFFFF" w:themeColor="light1"/>
                <w:kern w:val="24"/>
                <w:sz w:val="18"/>
                <w:szCs w:val="18"/>
                <w:lang w:val="en-US"/>
              </w:rPr>
              <w:t xml:space="preserve"> @ 1% Pm-bch</w:t>
            </w:r>
          </w:p>
        </w:tc>
      </w:tr>
      <w:tr w:rsidR="009E4E9A" w14:paraId="07632ACA" w14:textId="77777777" w:rsidTr="00E116B3">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929" w:type="dxa"/>
            <w:vMerge/>
            <w:vAlign w:val="center"/>
          </w:tcPr>
          <w:p w14:paraId="17A30B10" w14:textId="77777777" w:rsidR="009E4E9A" w:rsidRPr="00DC3946" w:rsidRDefault="009E4E9A" w:rsidP="00E116B3">
            <w:pPr>
              <w:spacing w:before="60" w:after="60"/>
              <w:jc w:val="center"/>
              <w:rPr>
                <w:rFonts w:asciiTheme="minorHAnsi" w:eastAsia="Times New Roman" w:hAnsiTheme="minorHAnsi" w:cstheme="minorHAnsi"/>
                <w:color w:val="FFFFFF" w:themeColor="light1"/>
                <w:kern w:val="24"/>
                <w:sz w:val="18"/>
                <w:szCs w:val="18"/>
                <w:lang w:val="en-US"/>
              </w:rPr>
            </w:pPr>
          </w:p>
        </w:tc>
        <w:tc>
          <w:tcPr>
            <w:tcW w:w="1930" w:type="dxa"/>
            <w:vAlign w:val="center"/>
          </w:tcPr>
          <w:p w14:paraId="64EC3116" w14:textId="77777777" w:rsidR="009E4E9A" w:rsidRPr="00E116B3" w:rsidRDefault="009E4E9A" w:rsidP="00E116B3">
            <w:pPr>
              <w:spacing w:before="60" w:after="60"/>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kern w:val="24"/>
                <w:sz w:val="18"/>
                <w:szCs w:val="18"/>
                <w:lang w:val="en-US"/>
              </w:rPr>
            </w:pPr>
            <w:r w:rsidRPr="00E116B3">
              <w:rPr>
                <w:rFonts w:asciiTheme="minorHAnsi" w:eastAsia="Times New Roman" w:hAnsiTheme="minorHAnsi" w:cstheme="minorHAnsi"/>
                <w:b/>
                <w:kern w:val="24"/>
                <w:sz w:val="18"/>
                <w:szCs w:val="18"/>
                <w:lang w:val="en-US"/>
              </w:rPr>
              <w:t>1x2</w:t>
            </w:r>
          </w:p>
        </w:tc>
        <w:tc>
          <w:tcPr>
            <w:tcW w:w="1930" w:type="dxa"/>
            <w:vAlign w:val="center"/>
          </w:tcPr>
          <w:p w14:paraId="542415BF" w14:textId="77777777" w:rsidR="009E4E9A" w:rsidRPr="00E116B3" w:rsidRDefault="009E4E9A" w:rsidP="00E116B3">
            <w:pPr>
              <w:spacing w:before="60" w:after="60"/>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kern w:val="24"/>
                <w:sz w:val="18"/>
                <w:szCs w:val="18"/>
                <w:lang w:val="en-US"/>
              </w:rPr>
            </w:pPr>
            <w:r w:rsidRPr="00E116B3">
              <w:rPr>
                <w:rFonts w:asciiTheme="minorHAnsi" w:eastAsia="Times New Roman" w:hAnsiTheme="minorHAnsi" w:cstheme="minorHAnsi"/>
                <w:b/>
                <w:kern w:val="24"/>
                <w:sz w:val="18"/>
                <w:szCs w:val="18"/>
                <w:lang w:val="en-US"/>
              </w:rPr>
              <w:t>1x4</w:t>
            </w:r>
          </w:p>
        </w:tc>
      </w:tr>
      <w:tr w:rsidR="009E4E9A" w14:paraId="14E4119A" w14:textId="77777777" w:rsidTr="00E116B3">
        <w:trPr>
          <w:trHeight w:val="376"/>
          <w:jc w:val="center"/>
        </w:trPr>
        <w:tc>
          <w:tcPr>
            <w:cnfStyle w:val="001000000000" w:firstRow="0" w:lastRow="0" w:firstColumn="1" w:lastColumn="0" w:oddVBand="0" w:evenVBand="0" w:oddHBand="0" w:evenHBand="0" w:firstRowFirstColumn="0" w:firstRowLastColumn="0" w:lastRowFirstColumn="0" w:lastRowLastColumn="0"/>
            <w:tcW w:w="1929" w:type="dxa"/>
            <w:vAlign w:val="center"/>
          </w:tcPr>
          <w:p w14:paraId="026D382A" w14:textId="77777777" w:rsidR="009E4E9A" w:rsidRPr="006A0EDC" w:rsidRDefault="009E4E9A" w:rsidP="00E116B3">
            <w:pPr>
              <w:spacing w:before="60" w:after="60"/>
              <w:jc w:val="center"/>
              <w:rPr>
                <w:rFonts w:asciiTheme="minorHAnsi" w:eastAsia="Times New Roman" w:hAnsiTheme="minorHAnsi" w:cstheme="minorHAnsi"/>
                <w:b w:val="0"/>
                <w:kern w:val="24"/>
                <w:sz w:val="18"/>
                <w:szCs w:val="18"/>
                <w:lang w:val="en-US"/>
              </w:rPr>
            </w:pPr>
            <w:r>
              <w:rPr>
                <w:rFonts w:asciiTheme="minorHAnsi" w:eastAsia="Times New Roman" w:hAnsiTheme="minorHAnsi" w:cstheme="minorHAnsi"/>
                <w:b w:val="0"/>
                <w:kern w:val="24"/>
                <w:sz w:val="18"/>
                <w:szCs w:val="18"/>
                <w:lang w:val="en-US"/>
              </w:rPr>
              <w:t xml:space="preserve">Test </w:t>
            </w:r>
            <w:r w:rsidRPr="006A0EDC">
              <w:rPr>
                <w:rFonts w:asciiTheme="minorHAnsi" w:eastAsia="Times New Roman" w:hAnsiTheme="minorHAnsi" w:cstheme="minorHAnsi"/>
                <w:b w:val="0"/>
                <w:kern w:val="24"/>
                <w:sz w:val="18"/>
                <w:szCs w:val="18"/>
                <w:lang w:val="en-US"/>
              </w:rPr>
              <w:t>1</w:t>
            </w:r>
          </w:p>
        </w:tc>
        <w:tc>
          <w:tcPr>
            <w:tcW w:w="1930" w:type="dxa"/>
            <w:vAlign w:val="center"/>
          </w:tcPr>
          <w:p w14:paraId="33106040" w14:textId="77777777" w:rsidR="009E4E9A" w:rsidRPr="006A0EDC" w:rsidRDefault="009E4E9A" w:rsidP="00E116B3">
            <w:pPr>
              <w:spacing w:before="60" w:after="6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18"/>
                <w:szCs w:val="18"/>
                <w:lang w:val="en-US"/>
              </w:rPr>
            </w:pPr>
            <w:r w:rsidRPr="006A0EDC">
              <w:rPr>
                <w:rFonts w:ascii="Calibri" w:hAnsi="Calibri" w:cs="Calibri"/>
                <w:bCs/>
                <w:color w:val="000000"/>
                <w:sz w:val="18"/>
                <w:szCs w:val="18"/>
              </w:rPr>
              <w:t>-5.3</w:t>
            </w:r>
          </w:p>
        </w:tc>
        <w:tc>
          <w:tcPr>
            <w:tcW w:w="1930" w:type="dxa"/>
            <w:vAlign w:val="center"/>
          </w:tcPr>
          <w:p w14:paraId="16494B8D" w14:textId="77777777" w:rsidR="009E4E9A" w:rsidRPr="006A0EDC" w:rsidRDefault="009E4E9A" w:rsidP="00E116B3">
            <w:pPr>
              <w:spacing w:before="60" w:after="6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18"/>
                <w:szCs w:val="18"/>
                <w:lang w:val="en-US"/>
              </w:rPr>
            </w:pPr>
            <w:r w:rsidRPr="006A0EDC">
              <w:rPr>
                <w:rFonts w:ascii="Calibri" w:hAnsi="Calibri" w:cs="Calibri"/>
                <w:bCs/>
                <w:color w:val="000000"/>
                <w:sz w:val="18"/>
                <w:szCs w:val="18"/>
              </w:rPr>
              <w:t>-9.0</w:t>
            </w:r>
          </w:p>
        </w:tc>
      </w:tr>
      <w:tr w:rsidR="009E4E9A" w14:paraId="50BDDA81" w14:textId="77777777" w:rsidTr="00E116B3">
        <w:trPr>
          <w:cnfStyle w:val="000000100000" w:firstRow="0" w:lastRow="0" w:firstColumn="0" w:lastColumn="0" w:oddVBand="0" w:evenVBand="0" w:oddHBand="1" w:evenHBand="0" w:firstRowFirstColumn="0" w:firstRowLastColumn="0" w:lastRowFirstColumn="0" w:lastRowLastColumn="0"/>
          <w:trHeight w:val="217"/>
          <w:jc w:val="center"/>
        </w:trPr>
        <w:tc>
          <w:tcPr>
            <w:cnfStyle w:val="001000000000" w:firstRow="0" w:lastRow="0" w:firstColumn="1" w:lastColumn="0" w:oddVBand="0" w:evenVBand="0" w:oddHBand="0" w:evenHBand="0" w:firstRowFirstColumn="0" w:firstRowLastColumn="0" w:lastRowFirstColumn="0" w:lastRowLastColumn="0"/>
            <w:tcW w:w="1929" w:type="dxa"/>
            <w:vAlign w:val="center"/>
          </w:tcPr>
          <w:p w14:paraId="0C840F53" w14:textId="77777777" w:rsidR="009E4E9A" w:rsidRPr="006A0EDC" w:rsidRDefault="009E4E9A" w:rsidP="00E116B3">
            <w:pPr>
              <w:spacing w:before="60" w:after="60"/>
              <w:jc w:val="center"/>
              <w:rPr>
                <w:rFonts w:asciiTheme="minorHAnsi" w:eastAsia="Times New Roman" w:hAnsiTheme="minorHAnsi" w:cstheme="minorHAnsi"/>
                <w:b w:val="0"/>
                <w:kern w:val="24"/>
                <w:sz w:val="18"/>
                <w:szCs w:val="18"/>
                <w:lang w:val="en-US"/>
              </w:rPr>
            </w:pPr>
            <w:r w:rsidRPr="006A0EDC">
              <w:rPr>
                <w:rFonts w:asciiTheme="minorHAnsi" w:eastAsia="Times New Roman" w:hAnsiTheme="minorHAnsi" w:cstheme="minorHAnsi"/>
                <w:b w:val="0"/>
                <w:kern w:val="24"/>
                <w:sz w:val="18"/>
                <w:szCs w:val="18"/>
                <w:lang w:val="en-US"/>
              </w:rPr>
              <w:t>Tes</w:t>
            </w:r>
            <w:r>
              <w:rPr>
                <w:rFonts w:asciiTheme="minorHAnsi" w:eastAsia="Times New Roman" w:hAnsiTheme="minorHAnsi" w:cstheme="minorHAnsi"/>
                <w:b w:val="0"/>
                <w:kern w:val="24"/>
                <w:sz w:val="18"/>
                <w:szCs w:val="18"/>
                <w:lang w:val="en-US"/>
              </w:rPr>
              <w:t>t</w:t>
            </w:r>
            <w:r w:rsidRPr="006A0EDC">
              <w:rPr>
                <w:rFonts w:asciiTheme="minorHAnsi" w:eastAsia="Times New Roman" w:hAnsiTheme="minorHAnsi" w:cstheme="minorHAnsi"/>
                <w:b w:val="0"/>
                <w:kern w:val="24"/>
                <w:sz w:val="18"/>
                <w:szCs w:val="18"/>
                <w:lang w:val="en-US"/>
              </w:rPr>
              <w:t xml:space="preserve"> 2</w:t>
            </w:r>
            <w:r>
              <w:rPr>
                <w:rFonts w:asciiTheme="minorHAnsi" w:eastAsia="Times New Roman" w:hAnsiTheme="minorHAnsi" w:cstheme="minorHAnsi"/>
                <w:b w:val="0"/>
                <w:kern w:val="24"/>
                <w:sz w:val="18"/>
                <w:szCs w:val="18"/>
                <w:lang w:val="en-US"/>
              </w:rPr>
              <w:t>-1</w:t>
            </w:r>
          </w:p>
        </w:tc>
        <w:tc>
          <w:tcPr>
            <w:tcW w:w="1930" w:type="dxa"/>
            <w:vAlign w:val="center"/>
          </w:tcPr>
          <w:p w14:paraId="414C967A" w14:textId="77777777" w:rsidR="009E4E9A" w:rsidRPr="006A0EDC" w:rsidRDefault="009E4E9A" w:rsidP="00E116B3">
            <w:pPr>
              <w:spacing w:before="60"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bCs/>
                <w:color w:val="000000"/>
                <w:sz w:val="18"/>
                <w:szCs w:val="18"/>
              </w:rPr>
            </w:pPr>
            <w:r w:rsidRPr="006A0EDC">
              <w:rPr>
                <w:rFonts w:ascii="Calibri" w:hAnsi="Calibri" w:cs="Calibri"/>
                <w:bCs/>
                <w:color w:val="000000"/>
                <w:sz w:val="18"/>
                <w:szCs w:val="18"/>
              </w:rPr>
              <w:t>-3.0</w:t>
            </w:r>
          </w:p>
        </w:tc>
        <w:tc>
          <w:tcPr>
            <w:tcW w:w="1930" w:type="dxa"/>
            <w:vAlign w:val="center"/>
          </w:tcPr>
          <w:p w14:paraId="3235B06C" w14:textId="77777777" w:rsidR="009E4E9A" w:rsidRPr="006A0EDC" w:rsidRDefault="009E4E9A" w:rsidP="00E116B3">
            <w:pPr>
              <w:spacing w:before="60"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bCs/>
                <w:color w:val="000000"/>
                <w:sz w:val="18"/>
                <w:szCs w:val="18"/>
              </w:rPr>
            </w:pPr>
            <w:r w:rsidRPr="006A0EDC">
              <w:rPr>
                <w:rFonts w:ascii="Calibri" w:hAnsi="Calibri" w:cs="Calibri"/>
                <w:bCs/>
                <w:color w:val="000000"/>
                <w:sz w:val="18"/>
                <w:szCs w:val="18"/>
              </w:rPr>
              <w:t>-7.7</w:t>
            </w:r>
          </w:p>
        </w:tc>
      </w:tr>
      <w:tr w:rsidR="009E4E9A" w14:paraId="5E2C0DA8" w14:textId="77777777" w:rsidTr="00E116B3">
        <w:trPr>
          <w:trHeight w:val="205"/>
          <w:jc w:val="center"/>
        </w:trPr>
        <w:tc>
          <w:tcPr>
            <w:cnfStyle w:val="001000000000" w:firstRow="0" w:lastRow="0" w:firstColumn="1" w:lastColumn="0" w:oddVBand="0" w:evenVBand="0" w:oddHBand="0" w:evenHBand="0" w:firstRowFirstColumn="0" w:firstRowLastColumn="0" w:lastRowFirstColumn="0" w:lastRowLastColumn="0"/>
            <w:tcW w:w="1929" w:type="dxa"/>
            <w:vAlign w:val="center"/>
          </w:tcPr>
          <w:p w14:paraId="1E745457" w14:textId="77777777" w:rsidR="009E4E9A" w:rsidRPr="006A0EDC" w:rsidRDefault="009E4E9A" w:rsidP="00E116B3">
            <w:pPr>
              <w:spacing w:before="60" w:after="60"/>
              <w:jc w:val="center"/>
              <w:rPr>
                <w:rFonts w:asciiTheme="minorHAnsi" w:eastAsia="Times New Roman" w:hAnsiTheme="minorHAnsi" w:cstheme="minorHAnsi"/>
                <w:b w:val="0"/>
                <w:kern w:val="24"/>
                <w:sz w:val="18"/>
                <w:szCs w:val="18"/>
                <w:lang w:val="en-US"/>
              </w:rPr>
            </w:pPr>
            <w:r>
              <w:rPr>
                <w:rFonts w:asciiTheme="minorHAnsi" w:eastAsia="Times New Roman" w:hAnsiTheme="minorHAnsi" w:cstheme="minorHAnsi"/>
                <w:b w:val="0"/>
                <w:kern w:val="24"/>
                <w:sz w:val="18"/>
                <w:szCs w:val="18"/>
                <w:lang w:val="en-US"/>
              </w:rPr>
              <w:t>Test 2-2</w:t>
            </w:r>
          </w:p>
        </w:tc>
        <w:tc>
          <w:tcPr>
            <w:tcW w:w="1930" w:type="dxa"/>
            <w:vAlign w:val="center"/>
          </w:tcPr>
          <w:p w14:paraId="6FD46066" w14:textId="77777777" w:rsidR="009E4E9A" w:rsidRPr="006A0EDC" w:rsidRDefault="009E4E9A" w:rsidP="00E116B3">
            <w:pPr>
              <w:spacing w:before="60" w:after="60"/>
              <w:jc w:val="center"/>
              <w:cnfStyle w:val="000000000000" w:firstRow="0" w:lastRow="0" w:firstColumn="0" w:lastColumn="0" w:oddVBand="0" w:evenVBand="0" w:oddHBand="0" w:evenHBand="0" w:firstRowFirstColumn="0" w:firstRowLastColumn="0" w:lastRowFirstColumn="0" w:lastRowLastColumn="0"/>
              <w:rPr>
                <w:rFonts w:ascii="Calibri" w:hAnsi="Calibri" w:cs="Calibri"/>
                <w:bCs/>
                <w:color w:val="000000"/>
                <w:sz w:val="18"/>
                <w:szCs w:val="18"/>
              </w:rPr>
            </w:pPr>
            <w:r w:rsidRPr="006A0EDC">
              <w:rPr>
                <w:rFonts w:ascii="Calibri" w:hAnsi="Calibri" w:cs="Calibri"/>
                <w:bCs/>
                <w:color w:val="000000"/>
                <w:sz w:val="18"/>
                <w:szCs w:val="18"/>
              </w:rPr>
              <w:t>-3.0</w:t>
            </w:r>
          </w:p>
        </w:tc>
        <w:tc>
          <w:tcPr>
            <w:tcW w:w="1930" w:type="dxa"/>
            <w:vAlign w:val="center"/>
          </w:tcPr>
          <w:p w14:paraId="41831E3E" w14:textId="77777777" w:rsidR="009E4E9A" w:rsidRPr="006A0EDC" w:rsidRDefault="009E4E9A" w:rsidP="00E116B3">
            <w:pPr>
              <w:spacing w:before="60" w:after="60"/>
              <w:jc w:val="center"/>
              <w:cnfStyle w:val="000000000000" w:firstRow="0" w:lastRow="0" w:firstColumn="0" w:lastColumn="0" w:oddVBand="0" w:evenVBand="0" w:oddHBand="0" w:evenHBand="0" w:firstRowFirstColumn="0" w:firstRowLastColumn="0" w:lastRowFirstColumn="0" w:lastRowLastColumn="0"/>
              <w:rPr>
                <w:rFonts w:ascii="Calibri" w:hAnsi="Calibri" w:cs="Calibri"/>
                <w:bCs/>
                <w:color w:val="000000"/>
                <w:sz w:val="18"/>
                <w:szCs w:val="18"/>
              </w:rPr>
            </w:pPr>
            <w:r w:rsidRPr="006A0EDC">
              <w:rPr>
                <w:rFonts w:ascii="Calibri" w:hAnsi="Calibri" w:cs="Calibri"/>
                <w:bCs/>
                <w:color w:val="000000"/>
                <w:sz w:val="18"/>
                <w:szCs w:val="18"/>
              </w:rPr>
              <w:t>-7.5</w:t>
            </w:r>
          </w:p>
        </w:tc>
      </w:tr>
    </w:tbl>
    <w:p w14:paraId="0083D24F" w14:textId="77777777" w:rsidR="009E4E9A" w:rsidRDefault="009E4E9A" w:rsidP="003841F4"/>
    <w:p w14:paraId="3FD853DE" w14:textId="77777777" w:rsidR="009E4E9A" w:rsidRDefault="009E4E9A" w:rsidP="003841F4"/>
    <w:p w14:paraId="4615C4B2" w14:textId="548E0C1B" w:rsidR="00782308" w:rsidRDefault="006A0EDC">
      <w:r>
        <w:lastRenderedPageBreak/>
        <w:t xml:space="preserve">Based on the results in Table 3, we see that the SNR @ 1% </w:t>
      </w:r>
      <w:r w:rsidR="0000054A">
        <w:t>P</w:t>
      </w:r>
      <w:r>
        <w:t>m-bch with 4Rx antenna is very low</w:t>
      </w:r>
      <w:r w:rsidR="000A6F77">
        <w:t xml:space="preserve"> (in the range from -7.5 to -9 dB)</w:t>
      </w:r>
      <w:r>
        <w:t xml:space="preserve"> and not feasible to define test cases. </w:t>
      </w:r>
      <w:r w:rsidR="000A6F77">
        <w:t xml:space="preserve">Under such low SNR conditions the UE RRM performance is not guaranteed and defining demodulation requirements is meaningless. </w:t>
      </w:r>
      <w:r w:rsidR="00014BA9">
        <w:t xml:space="preserve">For the particular </w:t>
      </w:r>
      <w:r w:rsidR="00782308">
        <w:t xml:space="preserve">low SNR conditions </w:t>
      </w:r>
      <w:r w:rsidR="00014BA9">
        <w:t xml:space="preserve">UE most likely will not be able to operate with the serving cell and will </w:t>
      </w:r>
      <w:r w:rsidR="00782308">
        <w:t>trigger handover</w:t>
      </w:r>
      <w:r w:rsidR="00014BA9">
        <w:t xml:space="preserve"> to another cell</w:t>
      </w:r>
      <w:r w:rsidR="00782308">
        <w:t>.</w:t>
      </w:r>
    </w:p>
    <w:p w14:paraId="2D1C022A" w14:textId="59933060" w:rsidR="00782308" w:rsidRPr="00C7598B" w:rsidRDefault="00782308">
      <w:pPr>
        <w:rPr>
          <w:b/>
          <w:i/>
        </w:rPr>
      </w:pPr>
      <w:r w:rsidRPr="00C7598B">
        <w:rPr>
          <w:b/>
          <w:i/>
        </w:rPr>
        <w:t>Observation #1: The SNR operating range for PBCH testcases with 4Rx is very low -9 to -7.5 dB</w:t>
      </w:r>
    </w:p>
    <w:p w14:paraId="7EB3C091" w14:textId="77B4F160" w:rsidR="00782308" w:rsidRDefault="0000054A">
      <w:pPr>
        <w:rPr>
          <w:lang w:val="en-US"/>
        </w:rPr>
      </w:pPr>
      <w:r>
        <w:t xml:space="preserve">Also, </w:t>
      </w:r>
      <w:r w:rsidRPr="0000054A">
        <w:rPr>
          <w:lang w:val="en-US"/>
        </w:rPr>
        <w:t>PBCH is transmitted in along with PSS/SSS</w:t>
      </w:r>
      <w:r w:rsidR="00782308">
        <w:rPr>
          <w:lang w:val="en-US"/>
        </w:rPr>
        <w:t xml:space="preserve"> in SS-Block</w:t>
      </w:r>
      <w:r w:rsidRPr="0000054A">
        <w:rPr>
          <w:lang w:val="en-US"/>
        </w:rPr>
        <w:t>. In NR the RRM requirements based on SS/PBCH block are limited to 2Rx.</w:t>
      </w:r>
      <w:r w:rsidR="00C7598B">
        <w:rPr>
          <w:lang w:val="en-US"/>
        </w:rPr>
        <w:t xml:space="preserve"> </w:t>
      </w:r>
      <w:r w:rsidR="00014BA9">
        <w:rPr>
          <w:lang w:val="en-US"/>
        </w:rPr>
        <w:t xml:space="preserve">Technically UE cannot use 2RX for PSS/SSS reception and 4RX for PBCH reception. In case the 4RX PBCH demodulation requirements are defined, similarly 4RX RRM requirements shall be considered which contradicts the RRM requirements design assumptions. </w:t>
      </w:r>
      <w:r w:rsidR="00C7598B">
        <w:rPr>
          <w:lang w:val="en-US"/>
        </w:rPr>
        <w:t>Hence,</w:t>
      </w:r>
      <w:r w:rsidRPr="0000054A">
        <w:rPr>
          <w:lang w:val="en-US"/>
        </w:rPr>
        <w:t xml:space="preserve"> </w:t>
      </w:r>
      <w:r w:rsidR="00C7598B">
        <w:rPr>
          <w:lang w:val="en-US"/>
        </w:rPr>
        <w:t>demodulation requirements can be limited to 2Rx as well.</w:t>
      </w:r>
    </w:p>
    <w:p w14:paraId="2EB11B5B" w14:textId="1207C596" w:rsidR="00C7598B" w:rsidRDefault="00C7598B">
      <w:pPr>
        <w:rPr>
          <w:b/>
          <w:i/>
        </w:rPr>
      </w:pPr>
      <w:r w:rsidRPr="00C7598B">
        <w:rPr>
          <w:b/>
          <w:i/>
        </w:rPr>
        <w:t>Observation #</w:t>
      </w:r>
      <w:r>
        <w:rPr>
          <w:b/>
          <w:i/>
        </w:rPr>
        <w:t>2</w:t>
      </w:r>
      <w:r w:rsidRPr="00C7598B">
        <w:rPr>
          <w:b/>
          <w:i/>
        </w:rPr>
        <w:t xml:space="preserve">: </w:t>
      </w:r>
      <w:r>
        <w:rPr>
          <w:b/>
          <w:i/>
        </w:rPr>
        <w:t>In NR RRM requirements based on SS/PBCH are limited to 2Rx</w:t>
      </w:r>
    </w:p>
    <w:p w14:paraId="4F33C509" w14:textId="739CECB4" w:rsidR="00C7598B" w:rsidRPr="00C7598B" w:rsidRDefault="00C7598B">
      <w:r>
        <w:t xml:space="preserve">Enabling 4Rx for SS/PBCH reception significantly increases UE power consumption due to </w:t>
      </w:r>
      <w:r w:rsidR="00014BA9">
        <w:t xml:space="preserve">cell </w:t>
      </w:r>
      <w:r>
        <w:t xml:space="preserve">searcher complexity in NR. There is no clear motivation to mandate 4Rx requirements for PBCH in NR. </w:t>
      </w:r>
    </w:p>
    <w:p w14:paraId="58582DF2" w14:textId="2D0CD9B5" w:rsidR="00C7598B" w:rsidRPr="00C7598B" w:rsidRDefault="00C7598B">
      <w:pPr>
        <w:rPr>
          <w:b/>
          <w:i/>
          <w:lang w:val="en-US"/>
        </w:rPr>
      </w:pPr>
      <w:r>
        <w:rPr>
          <w:b/>
          <w:i/>
          <w:lang w:val="en-US"/>
        </w:rPr>
        <w:t>Observation #3: Enabling 4Rx for SS/PBCH increases UE power consumption significantly</w:t>
      </w:r>
    </w:p>
    <w:p w14:paraId="6108ADC6" w14:textId="687353DA" w:rsidR="00C7598B" w:rsidRDefault="00C7598B">
      <w:pPr>
        <w:rPr>
          <w:lang w:val="en-US"/>
        </w:rPr>
      </w:pPr>
      <w:r>
        <w:rPr>
          <w:lang w:val="en-US"/>
        </w:rPr>
        <w:t>The motivation to introduce 4Rx requirements for PBCH is not clear. The performance with 2Rx already shows very good coverage and doesn’t suggest to be a bottleneck to performance.</w:t>
      </w:r>
      <w:r w:rsidR="00014BA9">
        <w:rPr>
          <w:lang w:val="en-US"/>
        </w:rPr>
        <w:t xml:space="preserve"> In particular, PBCH typically has the most reliable demodulation performance among all DL channels</w:t>
      </w:r>
      <w:r>
        <w:rPr>
          <w:lang w:val="en-US"/>
        </w:rPr>
        <w:t xml:space="preserve"> Also UE coverage is</w:t>
      </w:r>
      <w:r w:rsidR="00014BA9">
        <w:rPr>
          <w:lang w:val="en-US"/>
        </w:rPr>
        <w:t xml:space="preserve"> typically</w:t>
      </w:r>
      <w:r>
        <w:rPr>
          <w:lang w:val="en-US"/>
        </w:rPr>
        <w:t xml:space="preserve"> limited by uplink performance rather </w:t>
      </w:r>
      <w:r w:rsidR="00014BA9">
        <w:rPr>
          <w:lang w:val="en-US"/>
        </w:rPr>
        <w:t xml:space="preserve">than </w:t>
      </w:r>
      <w:r>
        <w:rPr>
          <w:lang w:val="en-US"/>
        </w:rPr>
        <w:t xml:space="preserve">PBCH. </w:t>
      </w:r>
      <w:r w:rsidR="00014BA9">
        <w:rPr>
          <w:lang w:val="en-US"/>
        </w:rPr>
        <w:t>Hence, in order to justify the introduction of the 4RX PBCH requirements, interested companies are encouraged to provide the MCL (maximum coupling loss) analysis proving that 4RX PBCH processing can give any benefits in the practical deployments. We also note, that i</w:t>
      </w:r>
      <w:r>
        <w:rPr>
          <w:lang w:val="en-US"/>
        </w:rPr>
        <w:t xml:space="preserve">n case better </w:t>
      </w:r>
      <w:r w:rsidR="001D60E6">
        <w:rPr>
          <w:lang w:val="en-US"/>
        </w:rPr>
        <w:t>coverage for PBCH is desired, the SS/PBCH periodicity could be reduced to 5ms or 10ms in order to enable more combining within the 80ms PBCH TTI.</w:t>
      </w:r>
    </w:p>
    <w:p w14:paraId="4C670F9F" w14:textId="18DC5ABD" w:rsidR="001D60E6" w:rsidRDefault="001D60E6">
      <w:pPr>
        <w:rPr>
          <w:b/>
          <w:i/>
          <w:lang w:val="en-US"/>
        </w:rPr>
      </w:pPr>
      <w:r>
        <w:rPr>
          <w:b/>
          <w:i/>
          <w:lang w:val="en-US"/>
        </w:rPr>
        <w:t>Observation #4: Motivation to introduce 4Rx requirements for PBCH is not clear</w:t>
      </w:r>
    </w:p>
    <w:p w14:paraId="5891B390" w14:textId="322B261A" w:rsidR="001D60E6" w:rsidRDefault="001D60E6">
      <w:pPr>
        <w:rPr>
          <w:b/>
          <w:i/>
          <w:lang w:val="en-US"/>
        </w:rPr>
      </w:pPr>
      <w:r>
        <w:rPr>
          <w:b/>
          <w:i/>
          <w:lang w:val="en-US"/>
        </w:rPr>
        <w:t xml:space="preserve">Observation #5: PBCH performance is not a bottleneck </w:t>
      </w:r>
      <w:r w:rsidR="00014BA9">
        <w:rPr>
          <w:b/>
          <w:i/>
          <w:lang w:val="en-US"/>
        </w:rPr>
        <w:t>factor for the network c</w:t>
      </w:r>
      <w:r>
        <w:rPr>
          <w:b/>
          <w:i/>
          <w:lang w:val="en-US"/>
        </w:rPr>
        <w:t>overage</w:t>
      </w:r>
      <w:r w:rsidR="00014BA9">
        <w:rPr>
          <w:b/>
          <w:i/>
          <w:lang w:val="en-US"/>
        </w:rPr>
        <w:t xml:space="preserve"> and the coverage is typically limited by UL physical channels</w:t>
      </w:r>
    </w:p>
    <w:p w14:paraId="23DFB57A" w14:textId="64E6CC46" w:rsidR="001D60E6" w:rsidRDefault="001D60E6">
      <w:pPr>
        <w:rPr>
          <w:b/>
          <w:i/>
          <w:lang w:val="en-US"/>
        </w:rPr>
      </w:pPr>
      <w:r>
        <w:rPr>
          <w:b/>
          <w:i/>
          <w:lang w:val="en-US"/>
        </w:rPr>
        <w:t xml:space="preserve">Observation #6: PBCH performance with 2Rx can be further improved by lowering the SSB periodicity to 5ms or 10ms and enabling more SSBs to be combined within the PBCH TTI. </w:t>
      </w:r>
    </w:p>
    <w:p w14:paraId="6D22ADB6" w14:textId="3A3B78D4" w:rsidR="001D60E6" w:rsidRPr="001D60E6" w:rsidRDefault="001D60E6">
      <w:pPr>
        <w:spacing w:before="240"/>
      </w:pPr>
      <w:r>
        <w:t>Based on the observations made regarding PBCH performance with 2Rx, it doesn’t seem necessary to introduce requirements with 4Rx for PBCH.</w:t>
      </w:r>
    </w:p>
    <w:p w14:paraId="6F53628F" w14:textId="0214C21F" w:rsidR="0000054A" w:rsidRPr="001D60E6" w:rsidRDefault="0000054A">
      <w:pPr>
        <w:spacing w:before="240"/>
        <w:rPr>
          <w:b/>
          <w:i/>
        </w:rPr>
      </w:pPr>
      <w:r w:rsidRPr="001D60E6">
        <w:rPr>
          <w:b/>
          <w:i/>
        </w:rPr>
        <w:t xml:space="preserve">Proposal #1: </w:t>
      </w:r>
      <w:r w:rsidR="00014BA9">
        <w:rPr>
          <w:b/>
          <w:i/>
        </w:rPr>
        <w:t xml:space="preserve">Do not introduce 4RX </w:t>
      </w:r>
      <w:r w:rsidRPr="001D60E6">
        <w:rPr>
          <w:b/>
          <w:i/>
        </w:rPr>
        <w:t>PBCH performance requirements</w:t>
      </w:r>
    </w:p>
    <w:p w14:paraId="6CC9B8DD" w14:textId="7167DF19" w:rsidR="00014BA9" w:rsidRDefault="001D60E6">
      <w:r>
        <w:t xml:space="preserve">Furthermore, </w:t>
      </w:r>
      <w:r w:rsidR="00014BA9">
        <w:t xml:space="preserve">we note that at current stage there are no PBCH conformance tests in RAN5 and, therefore, the </w:t>
      </w:r>
      <w:r w:rsidR="00CC783F">
        <w:t>PBCH demodulation performance requirements serve mostly the reference purpose. So, there is not strong motivation to introduce the respective requirements in Rel-15. In case no consensus on the common scenarios could be reached, we recommend RAN4 to further deprioritize work on PBCH requirements and focus on the remaining physical channels.</w:t>
      </w:r>
    </w:p>
    <w:p w14:paraId="41900E70" w14:textId="182D9034" w:rsidR="0000054A" w:rsidRPr="00196879" w:rsidRDefault="001D60E6" w:rsidP="0000054A">
      <w:pPr>
        <w:rPr>
          <w:b/>
          <w:i/>
        </w:rPr>
      </w:pPr>
      <w:r w:rsidRPr="001D60E6">
        <w:rPr>
          <w:b/>
          <w:i/>
        </w:rPr>
        <w:t>Proposal #</w:t>
      </w:r>
      <w:r>
        <w:rPr>
          <w:b/>
          <w:i/>
        </w:rPr>
        <w:t>2</w:t>
      </w:r>
      <w:r w:rsidRPr="001D60E6">
        <w:rPr>
          <w:b/>
          <w:i/>
        </w:rPr>
        <w:t xml:space="preserve">: </w:t>
      </w:r>
      <w:r w:rsidR="00CC783F">
        <w:rPr>
          <w:b/>
          <w:i/>
        </w:rPr>
        <w:t>Deprioritize the work on the</w:t>
      </w:r>
      <w:r w:rsidR="00B14442">
        <w:rPr>
          <w:b/>
          <w:i/>
        </w:rPr>
        <w:t xml:space="preserve"> PBCH performance </w:t>
      </w:r>
      <w:r w:rsidR="00CC783F">
        <w:rPr>
          <w:b/>
          <w:i/>
        </w:rPr>
        <w:t>requirements definition</w:t>
      </w:r>
    </w:p>
    <w:p w14:paraId="4E86BBF9" w14:textId="77777777" w:rsidR="0000054A" w:rsidRDefault="0000054A" w:rsidP="0000054A">
      <w:pPr>
        <w:pStyle w:val="Heading1"/>
        <w:numPr>
          <w:ilvl w:val="0"/>
          <w:numId w:val="22"/>
        </w:numPr>
      </w:pPr>
      <w:r>
        <w:t>Conclusions</w:t>
      </w:r>
    </w:p>
    <w:p w14:paraId="21E61EC5" w14:textId="7F5A17B3" w:rsidR="0000054A" w:rsidRDefault="0000054A" w:rsidP="0000054A">
      <w:r>
        <w:t xml:space="preserve">In this contribution we provide simulation results and propose test cases for PBCH performance requirements. We have the following </w:t>
      </w:r>
      <w:r w:rsidR="00B14442">
        <w:t xml:space="preserve">observations and </w:t>
      </w:r>
      <w:r>
        <w:t>proposals:</w:t>
      </w:r>
    </w:p>
    <w:p w14:paraId="658C60ED" w14:textId="77777777" w:rsidR="00B14442" w:rsidRPr="00C7598B" w:rsidRDefault="00B14442" w:rsidP="00B14442">
      <w:pPr>
        <w:rPr>
          <w:b/>
          <w:i/>
        </w:rPr>
      </w:pPr>
      <w:r w:rsidRPr="00C7598B">
        <w:rPr>
          <w:b/>
          <w:i/>
        </w:rPr>
        <w:t>Observation #1: The SNR operating range for PBCH testcases with 4Rx is very low -9 to -7.5 dB</w:t>
      </w:r>
    </w:p>
    <w:p w14:paraId="2B5C872F" w14:textId="77777777" w:rsidR="00B14442" w:rsidRDefault="00B14442" w:rsidP="00B14442">
      <w:pPr>
        <w:rPr>
          <w:b/>
          <w:i/>
        </w:rPr>
      </w:pPr>
      <w:r w:rsidRPr="00C7598B">
        <w:rPr>
          <w:b/>
          <w:i/>
        </w:rPr>
        <w:t>Observation #</w:t>
      </w:r>
      <w:r>
        <w:rPr>
          <w:b/>
          <w:i/>
        </w:rPr>
        <w:t>2</w:t>
      </w:r>
      <w:r w:rsidRPr="00C7598B">
        <w:rPr>
          <w:b/>
          <w:i/>
        </w:rPr>
        <w:t xml:space="preserve">: </w:t>
      </w:r>
      <w:r>
        <w:rPr>
          <w:b/>
          <w:i/>
        </w:rPr>
        <w:t>In NR RRM requirements based on SS/PBCH are limited to 2Rx</w:t>
      </w:r>
    </w:p>
    <w:p w14:paraId="76EC5433" w14:textId="77777777" w:rsidR="00B14442" w:rsidRPr="00C7598B" w:rsidRDefault="00B14442" w:rsidP="00B14442">
      <w:pPr>
        <w:rPr>
          <w:b/>
          <w:i/>
          <w:lang w:val="en-US"/>
        </w:rPr>
      </w:pPr>
      <w:r>
        <w:rPr>
          <w:b/>
          <w:i/>
          <w:lang w:val="en-US"/>
        </w:rPr>
        <w:t>Observation #3: Enabling 4Rx for SS/PBCH increases UE power consumption significantly</w:t>
      </w:r>
    </w:p>
    <w:p w14:paraId="0387CE0C" w14:textId="77777777" w:rsidR="00D83EE5" w:rsidRDefault="00D83EE5" w:rsidP="00D83EE5">
      <w:pPr>
        <w:rPr>
          <w:b/>
          <w:i/>
          <w:lang w:val="en-US"/>
        </w:rPr>
      </w:pPr>
      <w:r>
        <w:rPr>
          <w:b/>
          <w:i/>
          <w:lang w:val="en-US"/>
        </w:rPr>
        <w:t>Observation #4: Motivation to introduce 4Rx requirements for PBCH is not clear</w:t>
      </w:r>
    </w:p>
    <w:p w14:paraId="0BF85AA2" w14:textId="77777777" w:rsidR="00D83EE5" w:rsidRDefault="00D83EE5" w:rsidP="00D83EE5">
      <w:pPr>
        <w:rPr>
          <w:b/>
          <w:i/>
          <w:lang w:val="en-US"/>
        </w:rPr>
      </w:pPr>
      <w:r>
        <w:rPr>
          <w:b/>
          <w:i/>
          <w:lang w:val="en-US"/>
        </w:rPr>
        <w:t>Observation #5: PBCH performance is not a bottleneck factor for the network coverage and the coverage is typically limited by UL physical channels</w:t>
      </w:r>
    </w:p>
    <w:p w14:paraId="51B9BC23" w14:textId="77777777" w:rsidR="00D83EE5" w:rsidRDefault="00D83EE5" w:rsidP="00D83EE5">
      <w:pPr>
        <w:rPr>
          <w:b/>
          <w:i/>
          <w:lang w:val="en-US"/>
        </w:rPr>
      </w:pPr>
      <w:r>
        <w:rPr>
          <w:b/>
          <w:i/>
          <w:lang w:val="en-US"/>
        </w:rPr>
        <w:t xml:space="preserve">Observation #6: PBCH performance with 2Rx can be further improved by lowering the SSB periodicity to 5ms or 10ms and enabling more SSBs to be combined within the PBCH TTI. </w:t>
      </w:r>
    </w:p>
    <w:p w14:paraId="20B5BC1C" w14:textId="77777777" w:rsidR="00D83EE5" w:rsidRDefault="00D83EE5" w:rsidP="00D83EE5">
      <w:pPr>
        <w:spacing w:before="240"/>
        <w:rPr>
          <w:b/>
          <w:i/>
        </w:rPr>
      </w:pPr>
    </w:p>
    <w:p w14:paraId="0C020E06" w14:textId="77777777" w:rsidR="00D83EE5" w:rsidRPr="001D60E6" w:rsidRDefault="00D83EE5" w:rsidP="00D83EE5">
      <w:pPr>
        <w:spacing w:before="240"/>
        <w:rPr>
          <w:b/>
          <w:i/>
        </w:rPr>
      </w:pPr>
      <w:r w:rsidRPr="001D60E6">
        <w:rPr>
          <w:b/>
          <w:i/>
        </w:rPr>
        <w:t xml:space="preserve">Proposal #1: </w:t>
      </w:r>
      <w:r>
        <w:rPr>
          <w:b/>
          <w:i/>
        </w:rPr>
        <w:t xml:space="preserve">Do not introduce 4RX </w:t>
      </w:r>
      <w:r w:rsidRPr="001D60E6">
        <w:rPr>
          <w:b/>
          <w:i/>
        </w:rPr>
        <w:t>PBCH performance requirements</w:t>
      </w:r>
    </w:p>
    <w:p w14:paraId="7AD68482" w14:textId="77777777" w:rsidR="00D83EE5" w:rsidRPr="001D60E6" w:rsidRDefault="00D83EE5" w:rsidP="00D83EE5">
      <w:pPr>
        <w:rPr>
          <w:b/>
          <w:i/>
        </w:rPr>
      </w:pPr>
      <w:r w:rsidRPr="001D60E6">
        <w:rPr>
          <w:b/>
          <w:i/>
        </w:rPr>
        <w:t>Proposal #</w:t>
      </w:r>
      <w:r>
        <w:rPr>
          <w:b/>
          <w:i/>
        </w:rPr>
        <w:t>2</w:t>
      </w:r>
      <w:r w:rsidRPr="001D60E6">
        <w:rPr>
          <w:b/>
          <w:i/>
        </w:rPr>
        <w:t xml:space="preserve">: </w:t>
      </w:r>
      <w:r>
        <w:rPr>
          <w:b/>
          <w:i/>
        </w:rPr>
        <w:t>Deprioritize the work on the PBCH performance requirements definition</w:t>
      </w:r>
    </w:p>
    <w:p w14:paraId="35377291" w14:textId="41F2631B" w:rsidR="000A6F77" w:rsidRDefault="000A6F77" w:rsidP="00196879">
      <w:pPr>
        <w:pStyle w:val="Heading1"/>
        <w:numPr>
          <w:ilvl w:val="0"/>
          <w:numId w:val="0"/>
        </w:numPr>
        <w:ind w:left="432" w:hanging="432"/>
      </w:pPr>
      <w:r>
        <w:t>References</w:t>
      </w:r>
    </w:p>
    <w:p w14:paraId="65EDAA0B" w14:textId="77777777" w:rsidR="00D83EE5" w:rsidRPr="00196879" w:rsidRDefault="009E4E9A" w:rsidP="00196879">
      <w:pPr>
        <w:pStyle w:val="ListParagraph"/>
        <w:numPr>
          <w:ilvl w:val="0"/>
          <w:numId w:val="27"/>
        </w:numPr>
        <w:ind w:left="360"/>
        <w:rPr>
          <w:bCs/>
          <w:lang w:val="en-US"/>
        </w:rPr>
      </w:pPr>
      <w:bookmarkStart w:id="0" w:name="_GoBack"/>
      <w:bookmarkEnd w:id="0"/>
      <w:r w:rsidRPr="00196879">
        <w:rPr>
          <w:bCs/>
          <w:lang w:val="en-US"/>
        </w:rPr>
        <w:t>R4-1811730, “</w:t>
      </w:r>
      <w:r w:rsidRPr="00196879">
        <w:rPr>
          <w:bCs/>
        </w:rPr>
        <w:t>Way forward on NR PBCH demodulation requirements”</w:t>
      </w:r>
      <w:r w:rsidR="00D83EE5" w:rsidRPr="00196879">
        <w:rPr>
          <w:bCs/>
        </w:rPr>
        <w:t xml:space="preserve">, </w:t>
      </w:r>
      <w:r w:rsidR="00D83EE5" w:rsidRPr="00196879">
        <w:rPr>
          <w:bCs/>
          <w:lang w:val="en-US"/>
        </w:rPr>
        <w:t>Huawei, HiSilicon, China Telecom, CMCC, NTT DOCOMO, Vodafone, Orange, Sprint, AT&amp;T, KDDI, SoftBank,  Deutsche Telekom, Nokia, Nokia Shanghai Bell, SK telecom</w:t>
      </w:r>
    </w:p>
    <w:p w14:paraId="69BA901C" w14:textId="77777777" w:rsidR="000A6F77" w:rsidRPr="00196879" w:rsidRDefault="000A6F77" w:rsidP="0000054A"/>
    <w:sectPr w:rsidR="000A6F77" w:rsidRPr="001968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F81087A"/>
    <w:multiLevelType w:val="hybridMultilevel"/>
    <w:tmpl w:val="D312D54A"/>
    <w:lvl w:ilvl="0" w:tplc="FD64A7AE">
      <w:start w:val="1"/>
      <w:numFmt w:val="bullet"/>
      <w:lvlText w:val="•"/>
      <w:lvlJc w:val="left"/>
      <w:pPr>
        <w:tabs>
          <w:tab w:val="num" w:pos="360"/>
        </w:tabs>
        <w:ind w:left="360" w:hanging="360"/>
      </w:pPr>
      <w:rPr>
        <w:rFonts w:ascii="Arial" w:hAnsi="Arial" w:hint="default"/>
      </w:rPr>
    </w:lvl>
    <w:lvl w:ilvl="1" w:tplc="594C5068">
      <w:start w:val="82"/>
      <w:numFmt w:val="bullet"/>
      <w:lvlText w:val="–"/>
      <w:lvlJc w:val="left"/>
      <w:pPr>
        <w:tabs>
          <w:tab w:val="num" w:pos="1080"/>
        </w:tabs>
        <w:ind w:left="1080" w:hanging="360"/>
      </w:pPr>
      <w:rPr>
        <w:rFonts w:ascii="Arial" w:hAnsi="Arial" w:hint="default"/>
      </w:rPr>
    </w:lvl>
    <w:lvl w:ilvl="2" w:tplc="118EF440" w:tentative="1">
      <w:start w:val="1"/>
      <w:numFmt w:val="bullet"/>
      <w:lvlText w:val="•"/>
      <w:lvlJc w:val="left"/>
      <w:pPr>
        <w:tabs>
          <w:tab w:val="num" w:pos="1800"/>
        </w:tabs>
        <w:ind w:left="1800" w:hanging="360"/>
      </w:pPr>
      <w:rPr>
        <w:rFonts w:ascii="Arial" w:hAnsi="Arial" w:hint="default"/>
      </w:rPr>
    </w:lvl>
    <w:lvl w:ilvl="3" w:tplc="EDA219EA" w:tentative="1">
      <w:start w:val="1"/>
      <w:numFmt w:val="bullet"/>
      <w:lvlText w:val="•"/>
      <w:lvlJc w:val="left"/>
      <w:pPr>
        <w:tabs>
          <w:tab w:val="num" w:pos="2520"/>
        </w:tabs>
        <w:ind w:left="2520" w:hanging="360"/>
      </w:pPr>
      <w:rPr>
        <w:rFonts w:ascii="Arial" w:hAnsi="Arial" w:hint="default"/>
      </w:rPr>
    </w:lvl>
    <w:lvl w:ilvl="4" w:tplc="835038F6" w:tentative="1">
      <w:start w:val="1"/>
      <w:numFmt w:val="bullet"/>
      <w:lvlText w:val="•"/>
      <w:lvlJc w:val="left"/>
      <w:pPr>
        <w:tabs>
          <w:tab w:val="num" w:pos="3240"/>
        </w:tabs>
        <w:ind w:left="3240" w:hanging="360"/>
      </w:pPr>
      <w:rPr>
        <w:rFonts w:ascii="Arial" w:hAnsi="Arial" w:hint="default"/>
      </w:rPr>
    </w:lvl>
    <w:lvl w:ilvl="5" w:tplc="BE00A108" w:tentative="1">
      <w:start w:val="1"/>
      <w:numFmt w:val="bullet"/>
      <w:lvlText w:val="•"/>
      <w:lvlJc w:val="left"/>
      <w:pPr>
        <w:tabs>
          <w:tab w:val="num" w:pos="3960"/>
        </w:tabs>
        <w:ind w:left="3960" w:hanging="360"/>
      </w:pPr>
      <w:rPr>
        <w:rFonts w:ascii="Arial" w:hAnsi="Arial" w:hint="default"/>
      </w:rPr>
    </w:lvl>
    <w:lvl w:ilvl="6" w:tplc="1A022958" w:tentative="1">
      <w:start w:val="1"/>
      <w:numFmt w:val="bullet"/>
      <w:lvlText w:val="•"/>
      <w:lvlJc w:val="left"/>
      <w:pPr>
        <w:tabs>
          <w:tab w:val="num" w:pos="4680"/>
        </w:tabs>
        <w:ind w:left="4680" w:hanging="360"/>
      </w:pPr>
      <w:rPr>
        <w:rFonts w:ascii="Arial" w:hAnsi="Arial" w:hint="default"/>
      </w:rPr>
    </w:lvl>
    <w:lvl w:ilvl="7" w:tplc="8146FA3C" w:tentative="1">
      <w:start w:val="1"/>
      <w:numFmt w:val="bullet"/>
      <w:lvlText w:val="•"/>
      <w:lvlJc w:val="left"/>
      <w:pPr>
        <w:tabs>
          <w:tab w:val="num" w:pos="5400"/>
        </w:tabs>
        <w:ind w:left="5400" w:hanging="360"/>
      </w:pPr>
      <w:rPr>
        <w:rFonts w:ascii="Arial" w:hAnsi="Arial" w:hint="default"/>
      </w:rPr>
    </w:lvl>
    <w:lvl w:ilvl="8" w:tplc="7B3AECF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F2E644C"/>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9E12399"/>
    <w:multiLevelType w:val="multilevel"/>
    <w:tmpl w:val="DCBEE308"/>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7E665F04"/>
    <w:multiLevelType w:val="hybridMultilevel"/>
    <w:tmpl w:val="ADECCA28"/>
    <w:lvl w:ilvl="0" w:tplc="C140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0"/>
  </w:num>
  <w:num w:numId="24">
    <w:abstractNumId w:val="4"/>
  </w:num>
  <w:num w:numId="25">
    <w:abstractNumId w:val="2"/>
  </w:num>
  <w:num w:numId="26">
    <w:abstractNumId w:val="6"/>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761"/>
    <w:rsid w:val="0000054A"/>
    <w:rsid w:val="00014BA9"/>
    <w:rsid w:val="00097990"/>
    <w:rsid w:val="000A630D"/>
    <w:rsid w:val="000A6F77"/>
    <w:rsid w:val="000C2D67"/>
    <w:rsid w:val="000D6425"/>
    <w:rsid w:val="001452CE"/>
    <w:rsid w:val="00176D89"/>
    <w:rsid w:val="00196879"/>
    <w:rsid w:val="001B2D2F"/>
    <w:rsid w:val="001D60E6"/>
    <w:rsid w:val="001E7EA1"/>
    <w:rsid w:val="00265ECE"/>
    <w:rsid w:val="00314BC5"/>
    <w:rsid w:val="003841F4"/>
    <w:rsid w:val="00390B7D"/>
    <w:rsid w:val="003C6FB0"/>
    <w:rsid w:val="004868DB"/>
    <w:rsid w:val="005444E8"/>
    <w:rsid w:val="005C774C"/>
    <w:rsid w:val="006534F9"/>
    <w:rsid w:val="006A0EDC"/>
    <w:rsid w:val="006F55C0"/>
    <w:rsid w:val="007267F1"/>
    <w:rsid w:val="00782308"/>
    <w:rsid w:val="007D2A8B"/>
    <w:rsid w:val="007E0F44"/>
    <w:rsid w:val="008816F3"/>
    <w:rsid w:val="008C0C01"/>
    <w:rsid w:val="009A6800"/>
    <w:rsid w:val="009D59E6"/>
    <w:rsid w:val="009E4E9A"/>
    <w:rsid w:val="00A56641"/>
    <w:rsid w:val="00B13CAE"/>
    <w:rsid w:val="00B14442"/>
    <w:rsid w:val="00C32B2C"/>
    <w:rsid w:val="00C51C71"/>
    <w:rsid w:val="00C546F9"/>
    <w:rsid w:val="00C7598B"/>
    <w:rsid w:val="00CA62D1"/>
    <w:rsid w:val="00CC783F"/>
    <w:rsid w:val="00D457D3"/>
    <w:rsid w:val="00D83EE5"/>
    <w:rsid w:val="00DA6117"/>
    <w:rsid w:val="00DB24FD"/>
    <w:rsid w:val="00DC0E02"/>
    <w:rsid w:val="00DC3946"/>
    <w:rsid w:val="00EB64E6"/>
    <w:rsid w:val="00EC4761"/>
    <w:rsid w:val="00ED2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E615F"/>
  <w15:chartTrackingRefBased/>
  <w15:docId w15:val="{F9D2E849-0319-43AE-A9A1-4E63CCA32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1F4"/>
    <w:pPr>
      <w:spacing w:after="180"/>
      <w:jc w:val="both"/>
    </w:pPr>
    <w:rPr>
      <w:rFonts w:eastAsia="MS Mincho"/>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Head5,M5,mh2,Module heading 2,heading 8,Numbered Sub-list,Heading 81,Heading 811,标题 81,Heading 8111"/>
    <w:basedOn w:val="Heading4"/>
    <w:next w:val="Normal"/>
    <w:link w:val="Heading5Char"/>
    <w:qFormat/>
    <w:rsid w:val="007267F1"/>
    <w:pPr>
      <w:numPr>
        <w:ilvl w:val="4"/>
      </w:numPr>
      <w:outlineLvl w:val="4"/>
    </w:pPr>
    <w:rPr>
      <w:sz w:val="22"/>
    </w:rPr>
  </w:style>
  <w:style w:type="paragraph" w:styleId="Heading6">
    <w:name w:val="heading 6"/>
    <w:aliases w:val="T1,Header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link w:val="Heading1"/>
    <w:rsid w:val="007267F1"/>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Head5 Char,M5 Char,mh2 Char,Module heading 2 Char,heading 8 Char,Numbered Sub-list Char,Heading 81 Char,Heading 811 Char,标题 81 Char,Heading 8111 Char"/>
    <w:link w:val="Heading5"/>
    <w:rsid w:val="007267F1"/>
    <w:rPr>
      <w:rFonts w:ascii="Intel Clear" w:hAnsi="Intel Clear" w:cs="Intel Clear"/>
      <w:sz w:val="22"/>
      <w:lang w:val="en-GB" w:eastAsia="en-GB"/>
    </w:rPr>
  </w:style>
  <w:style w:type="character" w:customStyle="1" w:styleId="Heading6Char">
    <w:name w:val="Heading 6 Char"/>
    <w:aliases w:val="T1 Char,Header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C4761"/>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C4761"/>
    <w:rPr>
      <w:rFonts w:ascii="Arial" w:eastAsia="MS Mincho" w:hAnsi="Arial"/>
      <w:b/>
      <w:noProof/>
      <w:sz w:val="18"/>
    </w:rPr>
  </w:style>
  <w:style w:type="paragraph" w:styleId="Footer">
    <w:name w:val="footer"/>
    <w:basedOn w:val="Header"/>
    <w:link w:val="FooterChar"/>
    <w:rsid w:val="00EC4761"/>
    <w:pPr>
      <w:jc w:val="center"/>
    </w:pPr>
    <w:rPr>
      <w:i/>
    </w:rPr>
  </w:style>
  <w:style w:type="character" w:customStyle="1" w:styleId="FooterChar">
    <w:name w:val="Footer Char"/>
    <w:basedOn w:val="DefaultParagraphFont"/>
    <w:link w:val="Footer"/>
    <w:rsid w:val="00EC4761"/>
    <w:rPr>
      <w:rFonts w:ascii="Arial" w:eastAsia="MS Mincho" w:hAnsi="Arial"/>
      <w:b/>
      <w:i/>
      <w:noProof/>
      <w:sz w:val="18"/>
    </w:rPr>
  </w:style>
  <w:style w:type="paragraph" w:styleId="NormalWeb">
    <w:name w:val="Normal (Web)"/>
    <w:basedOn w:val="Normal"/>
    <w:uiPriority w:val="99"/>
    <w:semiHidden/>
    <w:unhideWhenUsed/>
    <w:rsid w:val="00DC3946"/>
    <w:pPr>
      <w:spacing w:before="100" w:beforeAutospacing="1" w:after="100" w:afterAutospacing="1"/>
      <w:jc w:val="left"/>
    </w:pPr>
    <w:rPr>
      <w:rFonts w:eastAsia="Times New Roman"/>
      <w:sz w:val="24"/>
      <w:szCs w:val="24"/>
      <w:lang w:val="en-US"/>
    </w:rPr>
  </w:style>
  <w:style w:type="table" w:styleId="TableGrid">
    <w:name w:val="Table Grid"/>
    <w:basedOn w:val="TableNormal"/>
    <w:uiPriority w:val="39"/>
    <w:rsid w:val="00DC39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DC394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5">
    <w:name w:val="Grid Table 5 Dark Accent 5"/>
    <w:basedOn w:val="TableNormal"/>
    <w:uiPriority w:val="50"/>
    <w:rsid w:val="00DC394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5">
    <w:name w:val="Grid Table 4 Accent 5"/>
    <w:basedOn w:val="TableNormal"/>
    <w:uiPriority w:val="49"/>
    <w:rsid w:val="00DC394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BalloonText">
    <w:name w:val="Balloon Text"/>
    <w:basedOn w:val="Normal"/>
    <w:link w:val="BalloonTextChar"/>
    <w:uiPriority w:val="99"/>
    <w:semiHidden/>
    <w:unhideWhenUsed/>
    <w:rsid w:val="00DC394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3946"/>
    <w:rPr>
      <w:rFonts w:ascii="Segoe UI" w:eastAsia="MS Mincho" w:hAnsi="Segoe UI" w:cs="Segoe UI"/>
      <w:sz w:val="18"/>
      <w:szCs w:val="18"/>
      <w:lang w:val="en-GB"/>
    </w:rPr>
  </w:style>
  <w:style w:type="character" w:styleId="CommentReference">
    <w:name w:val="annotation reference"/>
    <w:basedOn w:val="DefaultParagraphFont"/>
    <w:uiPriority w:val="99"/>
    <w:semiHidden/>
    <w:unhideWhenUsed/>
    <w:rsid w:val="00DA6117"/>
    <w:rPr>
      <w:sz w:val="16"/>
      <w:szCs w:val="16"/>
    </w:rPr>
  </w:style>
  <w:style w:type="paragraph" w:styleId="CommentText">
    <w:name w:val="annotation text"/>
    <w:basedOn w:val="Normal"/>
    <w:link w:val="CommentTextChar"/>
    <w:uiPriority w:val="99"/>
    <w:semiHidden/>
    <w:unhideWhenUsed/>
    <w:rsid w:val="00DA6117"/>
  </w:style>
  <w:style w:type="character" w:customStyle="1" w:styleId="CommentTextChar">
    <w:name w:val="Comment Text Char"/>
    <w:basedOn w:val="DefaultParagraphFont"/>
    <w:link w:val="CommentText"/>
    <w:uiPriority w:val="99"/>
    <w:semiHidden/>
    <w:rsid w:val="00DA6117"/>
    <w:rPr>
      <w:rFonts w:eastAsia="MS Mincho"/>
      <w:lang w:val="en-GB"/>
    </w:rPr>
  </w:style>
  <w:style w:type="paragraph" w:styleId="CommentSubject">
    <w:name w:val="annotation subject"/>
    <w:basedOn w:val="CommentText"/>
    <w:next w:val="CommentText"/>
    <w:link w:val="CommentSubjectChar"/>
    <w:uiPriority w:val="99"/>
    <w:semiHidden/>
    <w:unhideWhenUsed/>
    <w:rsid w:val="00DA6117"/>
    <w:rPr>
      <w:b/>
      <w:bCs/>
    </w:rPr>
  </w:style>
  <w:style w:type="character" w:customStyle="1" w:styleId="CommentSubjectChar">
    <w:name w:val="Comment Subject Char"/>
    <w:basedOn w:val="CommentTextChar"/>
    <w:link w:val="CommentSubject"/>
    <w:uiPriority w:val="99"/>
    <w:semiHidden/>
    <w:rsid w:val="00DA6117"/>
    <w:rPr>
      <w:rFonts w:eastAsia="MS Mincho"/>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418194">
      <w:bodyDiv w:val="1"/>
      <w:marLeft w:val="0"/>
      <w:marRight w:val="0"/>
      <w:marTop w:val="0"/>
      <w:marBottom w:val="0"/>
      <w:divBdr>
        <w:top w:val="none" w:sz="0" w:space="0" w:color="auto"/>
        <w:left w:val="none" w:sz="0" w:space="0" w:color="auto"/>
        <w:bottom w:val="none" w:sz="0" w:space="0" w:color="auto"/>
        <w:right w:val="none" w:sz="0" w:space="0" w:color="auto"/>
      </w:divBdr>
    </w:div>
    <w:div w:id="557014895">
      <w:bodyDiv w:val="1"/>
      <w:marLeft w:val="0"/>
      <w:marRight w:val="0"/>
      <w:marTop w:val="0"/>
      <w:marBottom w:val="0"/>
      <w:divBdr>
        <w:top w:val="none" w:sz="0" w:space="0" w:color="auto"/>
        <w:left w:val="none" w:sz="0" w:space="0" w:color="auto"/>
        <w:bottom w:val="none" w:sz="0" w:space="0" w:color="auto"/>
        <w:right w:val="none" w:sz="0" w:space="0" w:color="auto"/>
      </w:divBdr>
    </w:div>
    <w:div w:id="823622598">
      <w:bodyDiv w:val="1"/>
      <w:marLeft w:val="0"/>
      <w:marRight w:val="0"/>
      <w:marTop w:val="0"/>
      <w:marBottom w:val="0"/>
      <w:divBdr>
        <w:top w:val="none" w:sz="0" w:space="0" w:color="auto"/>
        <w:left w:val="none" w:sz="0" w:space="0" w:color="auto"/>
        <w:bottom w:val="none" w:sz="0" w:space="0" w:color="auto"/>
        <w:right w:val="none" w:sz="0" w:space="0" w:color="auto"/>
      </w:divBdr>
      <w:divsChild>
        <w:div w:id="515996420">
          <w:marLeft w:val="547"/>
          <w:marRight w:val="0"/>
          <w:marTop w:val="96"/>
          <w:marBottom w:val="0"/>
          <w:divBdr>
            <w:top w:val="none" w:sz="0" w:space="0" w:color="auto"/>
            <w:left w:val="none" w:sz="0" w:space="0" w:color="auto"/>
            <w:bottom w:val="none" w:sz="0" w:space="0" w:color="auto"/>
            <w:right w:val="none" w:sz="0" w:space="0" w:color="auto"/>
          </w:divBdr>
        </w:div>
        <w:div w:id="1008749535">
          <w:marLeft w:val="1166"/>
          <w:marRight w:val="0"/>
          <w:marTop w:val="86"/>
          <w:marBottom w:val="0"/>
          <w:divBdr>
            <w:top w:val="none" w:sz="0" w:space="0" w:color="auto"/>
            <w:left w:val="none" w:sz="0" w:space="0" w:color="auto"/>
            <w:bottom w:val="none" w:sz="0" w:space="0" w:color="auto"/>
            <w:right w:val="none" w:sz="0" w:space="0" w:color="auto"/>
          </w:divBdr>
        </w:div>
        <w:div w:id="2004622397">
          <w:marLeft w:val="547"/>
          <w:marRight w:val="0"/>
          <w:marTop w:val="96"/>
          <w:marBottom w:val="0"/>
          <w:divBdr>
            <w:top w:val="none" w:sz="0" w:space="0" w:color="auto"/>
            <w:left w:val="none" w:sz="0" w:space="0" w:color="auto"/>
            <w:bottom w:val="none" w:sz="0" w:space="0" w:color="auto"/>
            <w:right w:val="none" w:sz="0" w:space="0" w:color="auto"/>
          </w:divBdr>
        </w:div>
        <w:div w:id="440606545">
          <w:marLeft w:val="1166"/>
          <w:marRight w:val="0"/>
          <w:marTop w:val="86"/>
          <w:marBottom w:val="0"/>
          <w:divBdr>
            <w:top w:val="none" w:sz="0" w:space="0" w:color="auto"/>
            <w:left w:val="none" w:sz="0" w:space="0" w:color="auto"/>
            <w:bottom w:val="none" w:sz="0" w:space="0" w:color="auto"/>
            <w:right w:val="none" w:sz="0" w:space="0" w:color="auto"/>
          </w:divBdr>
        </w:div>
        <w:div w:id="2112584330">
          <w:marLeft w:val="1166"/>
          <w:marRight w:val="0"/>
          <w:marTop w:val="86"/>
          <w:marBottom w:val="0"/>
          <w:divBdr>
            <w:top w:val="none" w:sz="0" w:space="0" w:color="auto"/>
            <w:left w:val="none" w:sz="0" w:space="0" w:color="auto"/>
            <w:bottom w:val="none" w:sz="0" w:space="0" w:color="auto"/>
            <w:right w:val="none" w:sz="0" w:space="0" w:color="auto"/>
          </w:divBdr>
        </w:div>
      </w:divsChild>
    </w:div>
    <w:div w:id="917206253">
      <w:bodyDiv w:val="1"/>
      <w:marLeft w:val="0"/>
      <w:marRight w:val="0"/>
      <w:marTop w:val="0"/>
      <w:marBottom w:val="0"/>
      <w:divBdr>
        <w:top w:val="none" w:sz="0" w:space="0" w:color="auto"/>
        <w:left w:val="none" w:sz="0" w:space="0" w:color="auto"/>
        <w:bottom w:val="none" w:sz="0" w:space="0" w:color="auto"/>
        <w:right w:val="none" w:sz="0" w:space="0" w:color="auto"/>
      </w:divBdr>
    </w:div>
    <w:div w:id="1489861740">
      <w:bodyDiv w:val="1"/>
      <w:marLeft w:val="0"/>
      <w:marRight w:val="0"/>
      <w:marTop w:val="0"/>
      <w:marBottom w:val="0"/>
      <w:divBdr>
        <w:top w:val="none" w:sz="0" w:space="0" w:color="auto"/>
        <w:left w:val="none" w:sz="0" w:space="0" w:color="auto"/>
        <w:bottom w:val="none" w:sz="0" w:space="0" w:color="auto"/>
        <w:right w:val="none" w:sz="0" w:space="0" w:color="auto"/>
      </w:divBdr>
    </w:div>
    <w:div w:id="211439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1144</Words>
  <Characters>5988</Characters>
  <Application>Microsoft Office Word</Application>
  <DocSecurity>0</DocSecurity>
  <Lines>184</Lines>
  <Paragraphs>134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2</cp:revision>
  <dcterms:created xsi:type="dcterms:W3CDTF">2018-09-28T16:37:00Z</dcterms:created>
  <dcterms:modified xsi:type="dcterms:W3CDTF">2018-09-28T16:37:00Z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cc57a914-9405-4643-97b4-0ff06f71964d</vt:lpwstr>
  </property>
  <property fmtid="{D5CDD505-2E9C-101B-9397-08002B2CF9AE}" pid="3" name="CTP_TimeStamp">
    <vt:lpwstr>2018-09-28 16:36:56Z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