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572A58">
        <w:rPr>
          <w:rFonts w:ascii="Arial" w:eastAsia="宋体" w:hAnsi="Arial" w:cs="Times New Roman"/>
          <w:b/>
          <w:sz w:val="24"/>
          <w:szCs w:val="20"/>
          <w:lang w:val="en-GB"/>
        </w:rPr>
        <w:t>WG4 Meeting #88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622BC" w:rsidRPr="004622BC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R4-1810599</w:t>
      </w:r>
    </w:p>
    <w:p w:rsidR="00841BCD" w:rsidRPr="00841BCD" w:rsidRDefault="00572A5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 w:rsidRPr="00572A58">
        <w:rPr>
          <w:rFonts w:ascii="Arial" w:eastAsia="宋体" w:hAnsi="Arial" w:cs="Times New Roman"/>
          <w:b/>
          <w:sz w:val="24"/>
          <w:szCs w:val="20"/>
          <w:lang w:val="en-GB"/>
        </w:rPr>
        <w:t>Gothenburg, Sweden, August 20 – 24 2018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bookmarkStart w:id="3" w:name="_GoBack"/>
      <w:bookmarkEnd w:id="3"/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2199B">
        <w:rPr>
          <w:rFonts w:ascii="Arial" w:eastAsia="Calibri" w:hAnsi="Arial" w:cs="Arial"/>
          <w:b/>
          <w:bCs/>
          <w:sz w:val="24"/>
          <w:lang w:val="en-GB"/>
        </w:rPr>
        <w:t>C</w:t>
      </w:r>
      <w:r w:rsidR="0092199B" w:rsidRPr="0092199B">
        <w:rPr>
          <w:rFonts w:ascii="Arial" w:eastAsia="Calibri" w:hAnsi="Arial" w:cs="Arial"/>
          <w:b/>
          <w:bCs/>
          <w:sz w:val="24"/>
          <w:lang w:val="en-GB"/>
        </w:rPr>
        <w:t>larification of MRTD and MTTD for inter-band EN-DC</w:t>
      </w:r>
      <w:r w:rsidR="00FF55C5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006B5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72A58">
        <w:rPr>
          <w:rFonts w:ascii="Arial" w:eastAsia="MS Mincho" w:hAnsi="Arial" w:cs="Arial"/>
          <w:b/>
          <w:bCs/>
          <w:sz w:val="24"/>
          <w:szCs w:val="20"/>
          <w:lang w:val="en-GB"/>
        </w:rPr>
        <w:t>7.11.</w:t>
      </w:r>
      <w:r w:rsidR="0092199B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6764B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6A4DAC" w:rsidRDefault="0092199B" w:rsidP="00C74935">
      <w:pPr>
        <w:ind w:right="-23"/>
        <w:rPr>
          <w:rFonts w:eastAsia="Calibri" w:cs="Times New Roman"/>
          <w:szCs w:val="20"/>
        </w:rPr>
      </w:pPr>
      <w:bookmarkStart w:id="4" w:name="_Hlk513205245"/>
      <w:r>
        <w:rPr>
          <w:rFonts w:eastAsia="Calibri" w:cs="Times New Roman"/>
          <w:szCs w:val="20"/>
        </w:rPr>
        <w:t xml:space="preserve">RAN4 has specified the MRTD and MTTD for EN-DC, and related requirements are in section 7.5 and 7.6 of 38.133. The requirements are </w:t>
      </w:r>
      <w:r w:rsidR="002F331F">
        <w:rPr>
          <w:rFonts w:eastAsia="Calibri" w:cs="Times New Roman"/>
          <w:szCs w:val="20"/>
        </w:rPr>
        <w:t xml:space="preserve">defined for </w:t>
      </w:r>
    </w:p>
    <w:p w:rsidR="002F331F" w:rsidRDefault="002F331F" w:rsidP="002F331F">
      <w:pPr>
        <w:pStyle w:val="ListParagraph"/>
        <w:numPr>
          <w:ilvl w:val="0"/>
          <w:numId w:val="18"/>
        </w:num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Inter-band synchronous EN-DC</w:t>
      </w:r>
    </w:p>
    <w:p w:rsidR="002F331F" w:rsidRPr="002F331F" w:rsidRDefault="002F331F" w:rsidP="002F331F">
      <w:pPr>
        <w:pStyle w:val="ListParagraph"/>
        <w:numPr>
          <w:ilvl w:val="0"/>
          <w:numId w:val="18"/>
        </w:numPr>
        <w:rPr>
          <w:rFonts w:eastAsia="Calibri" w:cs="Times New Roman"/>
          <w:szCs w:val="20"/>
        </w:rPr>
      </w:pPr>
      <w:r w:rsidRPr="002F331F">
        <w:rPr>
          <w:rFonts w:eastAsia="Calibri" w:cs="Times New Roman"/>
          <w:szCs w:val="20"/>
        </w:rPr>
        <w:t xml:space="preserve">Inter-band </w:t>
      </w:r>
      <w:r>
        <w:rPr>
          <w:rFonts w:eastAsia="Calibri" w:cs="Times New Roman"/>
          <w:szCs w:val="20"/>
        </w:rPr>
        <w:t>a</w:t>
      </w:r>
      <w:r w:rsidRPr="002F331F">
        <w:rPr>
          <w:rFonts w:eastAsia="Calibri" w:cs="Times New Roman"/>
          <w:szCs w:val="20"/>
        </w:rPr>
        <w:t>synchronous EN-DC</w:t>
      </w:r>
    </w:p>
    <w:p w:rsidR="002F331F" w:rsidRPr="002F331F" w:rsidRDefault="002F331F" w:rsidP="002F331F">
      <w:pPr>
        <w:pStyle w:val="ListParagraph"/>
        <w:numPr>
          <w:ilvl w:val="0"/>
          <w:numId w:val="18"/>
        </w:numPr>
        <w:rPr>
          <w:rFonts w:eastAsia="Calibri" w:cs="Times New Roman"/>
          <w:szCs w:val="20"/>
        </w:rPr>
      </w:pPr>
      <w:r w:rsidRPr="002F331F">
        <w:rPr>
          <w:rFonts w:eastAsia="Calibri" w:cs="Times New Roman"/>
          <w:szCs w:val="20"/>
        </w:rPr>
        <w:t>Int</w:t>
      </w:r>
      <w:r>
        <w:rPr>
          <w:rFonts w:eastAsia="Calibri" w:cs="Times New Roman"/>
          <w:szCs w:val="20"/>
        </w:rPr>
        <w:t>ra</w:t>
      </w:r>
      <w:r w:rsidRPr="002F331F">
        <w:rPr>
          <w:rFonts w:eastAsia="Calibri" w:cs="Times New Roman"/>
          <w:szCs w:val="20"/>
        </w:rPr>
        <w:t>-band synchronous EN-DC</w:t>
      </w:r>
    </w:p>
    <w:p w:rsidR="002F331F" w:rsidRPr="002F331F" w:rsidRDefault="002F331F" w:rsidP="002F331F">
      <w:pPr>
        <w:pStyle w:val="ListParagraph"/>
        <w:numPr>
          <w:ilvl w:val="0"/>
          <w:numId w:val="18"/>
        </w:numPr>
        <w:rPr>
          <w:rFonts w:eastAsia="Calibri" w:cs="Times New Roman"/>
          <w:szCs w:val="20"/>
        </w:rPr>
      </w:pPr>
      <w:r w:rsidRPr="002F331F">
        <w:rPr>
          <w:rFonts w:eastAsia="Calibri" w:cs="Times New Roman"/>
          <w:szCs w:val="20"/>
        </w:rPr>
        <w:t>Int</w:t>
      </w:r>
      <w:r>
        <w:rPr>
          <w:rFonts w:eastAsia="Calibri" w:cs="Times New Roman"/>
          <w:szCs w:val="20"/>
        </w:rPr>
        <w:t>ra</w:t>
      </w:r>
      <w:r w:rsidRPr="002F331F">
        <w:rPr>
          <w:rFonts w:eastAsia="Calibri" w:cs="Times New Roman"/>
          <w:szCs w:val="20"/>
        </w:rPr>
        <w:t xml:space="preserve">-band </w:t>
      </w:r>
      <w:r>
        <w:rPr>
          <w:rFonts w:eastAsia="Calibri" w:cs="Times New Roman"/>
          <w:szCs w:val="20"/>
        </w:rPr>
        <w:t>a</w:t>
      </w:r>
      <w:r w:rsidRPr="002F331F">
        <w:rPr>
          <w:rFonts w:eastAsia="Calibri" w:cs="Times New Roman"/>
          <w:szCs w:val="20"/>
        </w:rPr>
        <w:t>synchronous EN-DC</w:t>
      </w:r>
    </w:p>
    <w:p w:rsidR="002F331F" w:rsidRPr="002F331F" w:rsidRDefault="002F331F" w:rsidP="002F331F">
      <w:p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The UE capability in supporting above EN-DC type are agreed in </w:t>
      </w:r>
      <w:r>
        <w:rPr>
          <w:rFonts w:eastAsia="Calibri" w:cs="Times New Roman"/>
          <w:szCs w:val="20"/>
        </w:rPr>
        <w:fldChar w:fldCharType="begin"/>
      </w:r>
      <w:r>
        <w:rPr>
          <w:rFonts w:eastAsia="Calibri" w:cs="Times New Roman"/>
          <w:szCs w:val="20"/>
        </w:rPr>
        <w:instrText xml:space="preserve"> REF _Ref521603835 \r \h </w:instrText>
      </w:r>
      <w:r>
        <w:rPr>
          <w:rFonts w:eastAsia="Calibri" w:cs="Times New Roman"/>
          <w:szCs w:val="20"/>
        </w:rPr>
      </w:r>
      <w:r>
        <w:rPr>
          <w:rFonts w:eastAsia="Calibri" w:cs="Times New Roman"/>
          <w:szCs w:val="20"/>
        </w:rPr>
        <w:fldChar w:fldCharType="separate"/>
      </w:r>
      <w:r>
        <w:rPr>
          <w:rFonts w:eastAsia="Calibri" w:cs="Times New Roman"/>
          <w:szCs w:val="20"/>
        </w:rPr>
        <w:t>[1]</w:t>
      </w:r>
      <w:r>
        <w:rPr>
          <w:rFonts w:eastAsia="Calibri" w:cs="Times New Roman"/>
          <w:szCs w:val="20"/>
        </w:rPr>
        <w:fldChar w:fldCharType="end"/>
      </w:r>
      <w:r>
        <w:rPr>
          <w:rFonts w:eastAsia="Calibri" w:cs="Times New Roman"/>
          <w:szCs w:val="20"/>
        </w:rPr>
        <w:t xml:space="preserve">. However, in recent RAN4 meetings there seemed to be different understanding among companies </w:t>
      </w:r>
      <w:r w:rsidR="00505C3F">
        <w:rPr>
          <w:rFonts w:eastAsia="Calibri" w:cs="Times New Roman"/>
          <w:szCs w:val="20"/>
        </w:rPr>
        <w:t xml:space="preserve">on the related capability </w:t>
      </w:r>
      <w:r w:rsidR="00505C3F">
        <w:rPr>
          <w:rFonts w:eastAsia="Calibri" w:cs="Times New Roman"/>
          <w:szCs w:val="20"/>
        </w:rPr>
        <w:fldChar w:fldCharType="begin"/>
      </w:r>
      <w:r w:rsidR="00505C3F">
        <w:rPr>
          <w:rFonts w:eastAsia="Calibri" w:cs="Times New Roman"/>
          <w:szCs w:val="20"/>
        </w:rPr>
        <w:instrText xml:space="preserve"> REF _Ref521508748 \r \h </w:instrText>
      </w:r>
      <w:r w:rsidR="00505C3F">
        <w:rPr>
          <w:rFonts w:eastAsia="Calibri" w:cs="Times New Roman"/>
          <w:szCs w:val="20"/>
        </w:rPr>
      </w:r>
      <w:r w:rsidR="00505C3F">
        <w:rPr>
          <w:rFonts w:eastAsia="Calibri" w:cs="Times New Roman"/>
          <w:szCs w:val="20"/>
        </w:rPr>
        <w:fldChar w:fldCharType="separate"/>
      </w:r>
      <w:r w:rsidR="00505C3F">
        <w:rPr>
          <w:rFonts w:eastAsia="Calibri" w:cs="Times New Roman"/>
          <w:szCs w:val="20"/>
        </w:rPr>
        <w:t>[2]</w:t>
      </w:r>
      <w:r w:rsidR="00505C3F">
        <w:rPr>
          <w:rFonts w:eastAsia="Calibri" w:cs="Times New Roman"/>
          <w:szCs w:val="20"/>
        </w:rPr>
        <w:fldChar w:fldCharType="end"/>
      </w:r>
      <w:r w:rsidR="00505C3F">
        <w:rPr>
          <w:rFonts w:eastAsia="Calibri" w:cs="Times New Roman"/>
          <w:szCs w:val="20"/>
        </w:rPr>
        <w:fldChar w:fldCharType="begin"/>
      </w:r>
      <w:r w:rsidR="00505C3F">
        <w:rPr>
          <w:rFonts w:eastAsia="Calibri" w:cs="Times New Roman"/>
          <w:szCs w:val="20"/>
        </w:rPr>
        <w:instrText xml:space="preserve"> REF _Ref521506785 \r \h </w:instrText>
      </w:r>
      <w:r w:rsidR="00505C3F">
        <w:rPr>
          <w:rFonts w:eastAsia="Calibri" w:cs="Times New Roman"/>
          <w:szCs w:val="20"/>
        </w:rPr>
      </w:r>
      <w:r w:rsidR="00505C3F">
        <w:rPr>
          <w:rFonts w:eastAsia="Calibri" w:cs="Times New Roman"/>
          <w:szCs w:val="20"/>
        </w:rPr>
        <w:fldChar w:fldCharType="separate"/>
      </w:r>
      <w:r w:rsidR="00505C3F">
        <w:rPr>
          <w:rFonts w:eastAsia="Calibri" w:cs="Times New Roman"/>
          <w:szCs w:val="20"/>
        </w:rPr>
        <w:t>[3]</w:t>
      </w:r>
      <w:r w:rsidR="00505C3F">
        <w:rPr>
          <w:rFonts w:eastAsia="Calibri" w:cs="Times New Roman"/>
          <w:szCs w:val="20"/>
        </w:rPr>
        <w:fldChar w:fldCharType="end"/>
      </w:r>
      <w:r w:rsidR="00505C3F">
        <w:rPr>
          <w:rFonts w:eastAsia="Calibri" w:cs="Times New Roman"/>
          <w:szCs w:val="20"/>
        </w:rPr>
        <w:t>.</w:t>
      </w:r>
      <w:r w:rsidR="005D6468">
        <w:rPr>
          <w:rFonts w:eastAsia="Calibri" w:cs="Times New Roman"/>
          <w:szCs w:val="20"/>
        </w:rPr>
        <w:t xml:space="preserve"> The main open issue is the applicability of inter-band sync/async EN-DC for FDD-FDD, TDD-TDD and TDD-FDD cases. </w:t>
      </w:r>
    </w:p>
    <w:p w:rsidR="00126990" w:rsidRPr="00126990" w:rsidRDefault="00C203DD" w:rsidP="00C74935">
      <w:pPr>
        <w:ind w:right="-23"/>
        <w:rPr>
          <w:rFonts w:eastAsia="Calibri" w:cs="Times New Roman"/>
          <w:szCs w:val="20"/>
        </w:rPr>
      </w:pPr>
      <w:bookmarkStart w:id="5" w:name="_Hlk513205847"/>
      <w:bookmarkEnd w:id="4"/>
      <w:r>
        <w:rPr>
          <w:rFonts w:eastAsia="Calibri" w:cs="Times New Roman"/>
          <w:szCs w:val="20"/>
        </w:rPr>
        <w:t xml:space="preserve">In this paper, we will provide our views on </w:t>
      </w:r>
      <w:r w:rsidR="005D6468" w:rsidRPr="005D6468">
        <w:rPr>
          <w:rFonts w:eastAsia="Calibri" w:cs="Times New Roman"/>
          <w:szCs w:val="20"/>
        </w:rPr>
        <w:t>MRTD and MTTD for inter-band EN-DC</w:t>
      </w:r>
      <w:r w:rsidR="00E1417F">
        <w:rPr>
          <w:rFonts w:eastAsia="Calibri" w:cs="Times New Roman"/>
          <w:szCs w:val="20"/>
        </w:rPr>
        <w:t>.</w:t>
      </w:r>
    </w:p>
    <w:bookmarkEnd w:id="5"/>
    <w:p w:rsidR="003B659E" w:rsidRDefault="003B659E" w:rsidP="00AE56B1">
      <w:pPr>
        <w:pStyle w:val="RAN4H1"/>
      </w:pPr>
      <w:r w:rsidRPr="00AE56B1">
        <w:t>Discussion</w:t>
      </w:r>
    </w:p>
    <w:p w:rsidR="004646C5" w:rsidRDefault="005D6468" w:rsidP="006769B7">
      <w:pPr>
        <w:rPr>
          <w:rFonts w:eastAsia="Calibri" w:cs="Times New Roman"/>
          <w:szCs w:val="20"/>
        </w:rPr>
      </w:pPr>
      <w:bookmarkStart w:id="6" w:name="_Hlk513733380"/>
      <w:r>
        <w:t xml:space="preserve">In </w:t>
      </w:r>
      <w:r>
        <w:rPr>
          <w:rFonts w:eastAsia="Calibri" w:cs="Times New Roman"/>
          <w:szCs w:val="20"/>
        </w:rPr>
        <w:fldChar w:fldCharType="begin"/>
      </w:r>
      <w:r>
        <w:rPr>
          <w:rFonts w:eastAsia="Calibri" w:cs="Times New Roman"/>
          <w:szCs w:val="20"/>
        </w:rPr>
        <w:instrText xml:space="preserve"> REF _Ref521603835 \r \h </w:instrText>
      </w:r>
      <w:r>
        <w:rPr>
          <w:rFonts w:eastAsia="Calibri" w:cs="Times New Roman"/>
          <w:szCs w:val="20"/>
        </w:rPr>
      </w:r>
      <w:r>
        <w:rPr>
          <w:rFonts w:eastAsia="Calibri" w:cs="Times New Roman"/>
          <w:szCs w:val="20"/>
        </w:rPr>
        <w:fldChar w:fldCharType="separate"/>
      </w:r>
      <w:r>
        <w:rPr>
          <w:rFonts w:eastAsia="Calibri" w:cs="Times New Roman"/>
          <w:szCs w:val="20"/>
        </w:rPr>
        <w:t>[1]</w:t>
      </w:r>
      <w:r>
        <w:rPr>
          <w:rFonts w:eastAsia="Calibri" w:cs="Times New Roman"/>
          <w:szCs w:val="20"/>
        </w:rPr>
        <w:fldChar w:fldCharType="end"/>
      </w:r>
      <w:r>
        <w:rPr>
          <w:rFonts w:eastAsia="Calibri" w:cs="Times New Roman"/>
          <w:szCs w:val="20"/>
        </w:rPr>
        <w:t xml:space="preserve"> it is stated that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6468" w:rsidTr="005D6468">
        <w:tc>
          <w:tcPr>
            <w:tcW w:w="9617" w:type="dxa"/>
          </w:tcPr>
          <w:p w:rsidR="00CC4593" w:rsidRPr="005D6468" w:rsidRDefault="009F482B" w:rsidP="005D6468">
            <w:pPr>
              <w:numPr>
                <w:ilvl w:val="0"/>
                <w:numId w:val="19"/>
              </w:numPr>
            </w:pPr>
            <w:r w:rsidRPr="005D6468">
              <w:t>All UEs support asynchronous DC between LTE and NR for inter-band LTE-NR in Rel-15.</w:t>
            </w:r>
          </w:p>
          <w:p w:rsidR="005D6468" w:rsidRDefault="009F482B" w:rsidP="006769B7">
            <w:pPr>
              <w:numPr>
                <w:ilvl w:val="1"/>
                <w:numId w:val="19"/>
              </w:numPr>
            </w:pPr>
            <w:r w:rsidRPr="005D6468">
              <w:t>Asynchronous here refers to subframe/slot timing boundary alignment</w:t>
            </w:r>
          </w:p>
        </w:tc>
      </w:tr>
    </w:tbl>
    <w:p w:rsidR="005D6468" w:rsidRDefault="005D6468" w:rsidP="004646C5">
      <w:bookmarkStart w:id="7" w:name="_Hlk521590279"/>
      <w:r>
        <w:t xml:space="preserve">In </w:t>
      </w:r>
      <w:r>
        <w:fldChar w:fldCharType="begin"/>
      </w:r>
      <w:r>
        <w:instrText xml:space="preserve"> REF _Ref521605194 \r \h </w:instrText>
      </w:r>
      <w:r>
        <w:fldChar w:fldCharType="separate"/>
      </w:r>
      <w:r>
        <w:t>[3]</w:t>
      </w:r>
      <w:r>
        <w:fldChar w:fldCharType="end"/>
      </w:r>
      <w:r>
        <w:t xml:space="preserve"> it is proposed that for TDD-TDD and TDD-FDD, there may be sync only EN-DC, so some UE may not support async EN-DC for TDD-TDD and TDD-FDD. </w:t>
      </w:r>
      <w:r w:rsidR="007E54D0">
        <w:t>O</w:t>
      </w:r>
      <w:r>
        <w:rPr>
          <w:lang w:val="en-GB"/>
        </w:rPr>
        <w:t xml:space="preserve">ur understanding from </w:t>
      </w:r>
      <w:r>
        <w:rPr>
          <w:rFonts w:eastAsia="Calibri" w:cs="Times New Roman"/>
          <w:szCs w:val="20"/>
        </w:rPr>
        <w:fldChar w:fldCharType="begin"/>
      </w:r>
      <w:r>
        <w:rPr>
          <w:rFonts w:eastAsia="Calibri" w:cs="Times New Roman"/>
          <w:szCs w:val="20"/>
        </w:rPr>
        <w:instrText xml:space="preserve"> REF _Ref521603835 \r \h </w:instrText>
      </w:r>
      <w:r>
        <w:rPr>
          <w:rFonts w:eastAsia="Calibri" w:cs="Times New Roman"/>
          <w:szCs w:val="20"/>
        </w:rPr>
      </w:r>
      <w:r>
        <w:rPr>
          <w:rFonts w:eastAsia="Calibri" w:cs="Times New Roman"/>
          <w:szCs w:val="20"/>
        </w:rPr>
        <w:fldChar w:fldCharType="separate"/>
      </w:r>
      <w:r>
        <w:rPr>
          <w:rFonts w:eastAsia="Calibri" w:cs="Times New Roman"/>
          <w:szCs w:val="20"/>
        </w:rPr>
        <w:t>[1]</w:t>
      </w:r>
      <w:r>
        <w:rPr>
          <w:rFonts w:eastAsia="Calibri" w:cs="Times New Roman"/>
          <w:szCs w:val="20"/>
        </w:rPr>
        <w:fldChar w:fldCharType="end"/>
      </w:r>
      <w:r>
        <w:rPr>
          <w:lang w:val="en-GB"/>
        </w:rPr>
        <w:t xml:space="preserve"> </w:t>
      </w:r>
      <w:r w:rsidR="007E54D0">
        <w:rPr>
          <w:lang w:val="en-GB"/>
        </w:rPr>
        <w:t xml:space="preserve">is </w:t>
      </w:r>
      <w:r>
        <w:rPr>
          <w:lang w:val="en-GB"/>
        </w:rPr>
        <w:t>that for inter-band, UE is mandatory to support async EN-DC</w:t>
      </w:r>
      <w:r>
        <w:t>, and it applies for all cases of FDD-FDD, TDD-TDD and TDD-FDD.</w:t>
      </w:r>
    </w:p>
    <w:p w:rsidR="007E54D0" w:rsidRDefault="007E54D0" w:rsidP="004646C5">
      <w:r>
        <w:t>Of course, depending on the UE capability of “</w:t>
      </w:r>
      <w:r w:rsidRPr="007E54D0">
        <w:t>Simultaneous RXTX</w:t>
      </w:r>
      <w:r>
        <w:t>”, network may deploy sync EN-DC for TDD-TDD and TDD-FDD cases. However, it is up to network to choose using sync or async EN-DC even UE cannot support “</w:t>
      </w:r>
      <w:r w:rsidRPr="007E54D0">
        <w:t>Simultaneous RXTX</w:t>
      </w:r>
      <w:r>
        <w:t xml:space="preserve">”, and UE capability should be a separate issue from network deployment choice. Therefore, RAN4 should stick to the agreement in </w:t>
      </w:r>
      <w:r>
        <w:rPr>
          <w:rFonts w:eastAsia="Calibri" w:cs="Times New Roman"/>
          <w:szCs w:val="20"/>
        </w:rPr>
        <w:fldChar w:fldCharType="begin"/>
      </w:r>
      <w:r>
        <w:rPr>
          <w:rFonts w:eastAsia="Calibri" w:cs="Times New Roman"/>
          <w:szCs w:val="20"/>
        </w:rPr>
        <w:instrText xml:space="preserve"> REF _Ref521603835 \r \h </w:instrText>
      </w:r>
      <w:r>
        <w:rPr>
          <w:rFonts w:eastAsia="Calibri" w:cs="Times New Roman"/>
          <w:szCs w:val="20"/>
        </w:rPr>
      </w:r>
      <w:r>
        <w:rPr>
          <w:rFonts w:eastAsia="Calibri" w:cs="Times New Roman"/>
          <w:szCs w:val="20"/>
        </w:rPr>
        <w:fldChar w:fldCharType="separate"/>
      </w:r>
      <w:r>
        <w:rPr>
          <w:rFonts w:eastAsia="Calibri" w:cs="Times New Roman"/>
          <w:szCs w:val="20"/>
        </w:rPr>
        <w:t>[1]</w:t>
      </w:r>
      <w:r>
        <w:rPr>
          <w:rFonts w:eastAsia="Calibri" w:cs="Times New Roman"/>
          <w:szCs w:val="20"/>
        </w:rPr>
        <w:fldChar w:fldCharType="end"/>
      </w:r>
      <w:r>
        <w:t xml:space="preserve"> that </w:t>
      </w:r>
      <w:r w:rsidRPr="007E54D0">
        <w:t>for inter-band, UE is mandatory to support async EN-DC</w:t>
      </w:r>
      <w:r>
        <w:t xml:space="preserve"> </w:t>
      </w:r>
      <w:r w:rsidRPr="007E54D0">
        <w:t>for all cases of FDD-FDD, TDD-TDD and TDD-FDD</w:t>
      </w:r>
      <w:r>
        <w:t>.</w:t>
      </w:r>
    </w:p>
    <w:p w:rsidR="007E54D0" w:rsidRDefault="007E54D0" w:rsidP="007E54D0">
      <w:pPr>
        <w:pStyle w:val="RAN4proposal"/>
      </w:pPr>
      <w:bookmarkStart w:id="8" w:name="_Ref521606943"/>
      <w:r>
        <w:t xml:space="preserve">Confirm that </w:t>
      </w:r>
      <w:r w:rsidRPr="007E54D0">
        <w:t>for inter-band, UE is mandatory to support async EN-DC for all cases of FDD-FDD, TDD-TDD and TDD-FDD</w:t>
      </w:r>
      <w:r>
        <w:t>.</w:t>
      </w:r>
      <w:bookmarkEnd w:id="8"/>
    </w:p>
    <w:p w:rsidR="004646C5" w:rsidRDefault="007E54D0" w:rsidP="004646C5">
      <w:r>
        <w:t xml:space="preserve">If this can be confirmed, </w:t>
      </w:r>
      <w:r w:rsidR="005E4BC2">
        <w:t xml:space="preserve">the current MRTD/MTTD requirements for inter-band sync EN-DC may become unnecessary. Since UE is mandatory to support MRTD of half-slot (500/250/125/62.5us for 15/30/60/120kHz SCS), it is obvious that UE can support RTD of 33us. According to earlier discussion, </w:t>
      </w:r>
      <w:r w:rsidR="00811D80">
        <w:t xml:space="preserve">unlike LTE DC, </w:t>
      </w:r>
      <w:r w:rsidR="005E4BC2">
        <w:t xml:space="preserve">there is no difference in UE </w:t>
      </w:r>
      <w:r w:rsidR="00811D80">
        <w:t xml:space="preserve">power control </w:t>
      </w:r>
      <w:r w:rsidR="005E4BC2">
        <w:t>behavior</w:t>
      </w:r>
      <w:r w:rsidR="00811D80">
        <w:t xml:space="preserve"> </w:t>
      </w:r>
      <w:r w:rsidR="005E4BC2">
        <w:t>with sync or async EN-DC</w:t>
      </w:r>
      <w:r w:rsidR="00811D80">
        <w:t xml:space="preserve"> </w:t>
      </w:r>
      <w:r w:rsidR="00811D80">
        <w:fldChar w:fldCharType="begin"/>
      </w:r>
      <w:r w:rsidR="00811D80">
        <w:instrText xml:space="preserve"> REF _Ref521606378 \r \h </w:instrText>
      </w:r>
      <w:r w:rsidR="00811D80">
        <w:fldChar w:fldCharType="separate"/>
      </w:r>
      <w:r w:rsidR="00811D80">
        <w:t>[4]</w:t>
      </w:r>
      <w:r w:rsidR="00811D80">
        <w:fldChar w:fldCharType="end"/>
      </w:r>
      <w:r w:rsidR="005E4BC2">
        <w:t xml:space="preserve">, </w:t>
      </w:r>
      <w:r w:rsidR="00811D80">
        <w:t xml:space="preserve">so sync EN-DC and related MRTD/MTTD requirements for inter-band are not needed. </w:t>
      </w:r>
    </w:p>
    <w:p w:rsidR="00811D80" w:rsidRDefault="00811D80" w:rsidP="00811D80">
      <w:pPr>
        <w:pStyle w:val="RAN4proposal"/>
      </w:pPr>
      <w:bookmarkStart w:id="9" w:name="_Ref521606944"/>
      <w:r>
        <w:t>For inter-band, remove the mentioning of sync EN-DC and related MRTD/MTTD requirements in 38.133.</w:t>
      </w:r>
      <w:bookmarkEnd w:id="9"/>
    </w:p>
    <w:bookmarkEnd w:id="6"/>
    <w:bookmarkEnd w:id="7"/>
    <w:p w:rsidR="00CD7492" w:rsidRDefault="00CD7492" w:rsidP="00A37002">
      <w:pPr>
        <w:pStyle w:val="RAN4H1"/>
      </w:pPr>
      <w:r w:rsidRPr="00A37002">
        <w:lastRenderedPageBreak/>
        <w:t>Conclusion</w:t>
      </w:r>
    </w:p>
    <w:p w:rsidR="004F3D3B" w:rsidRDefault="00B8606D" w:rsidP="004F3D3B">
      <w:pPr>
        <w:rPr>
          <w:lang w:val="en-GB"/>
        </w:rPr>
      </w:pPr>
      <w:r w:rsidRPr="00B8606D">
        <w:rPr>
          <w:lang w:val="en-GB"/>
        </w:rPr>
        <w:t>In this paper, we provide</w:t>
      </w:r>
      <w:r w:rsidR="0019443D">
        <w:rPr>
          <w:lang w:val="en-GB"/>
        </w:rPr>
        <w:t>d</w:t>
      </w:r>
      <w:r w:rsidRPr="00B8606D">
        <w:rPr>
          <w:lang w:val="en-GB"/>
        </w:rPr>
        <w:t xml:space="preserve"> our views </w:t>
      </w:r>
      <w:r w:rsidR="00811D80">
        <w:rPr>
          <w:lang w:val="en-GB"/>
        </w:rPr>
        <w:t xml:space="preserve">on the </w:t>
      </w:r>
      <w:r w:rsidR="00811D80" w:rsidRPr="00811D80">
        <w:rPr>
          <w:lang w:val="en-GB"/>
        </w:rPr>
        <w:t>MRTD and MTTD for inter-band EN-DC</w:t>
      </w:r>
      <w:r w:rsidRPr="00B8606D">
        <w:rPr>
          <w:lang w:val="en-GB"/>
        </w:rPr>
        <w:t>.</w:t>
      </w:r>
    </w:p>
    <w:p w:rsidR="00811D80" w:rsidRPr="00811D80" w:rsidRDefault="00811D80" w:rsidP="004F3D3B">
      <w:pPr>
        <w:rPr>
          <w:b/>
          <w:lang w:val="en-GB"/>
        </w:rPr>
      </w:pPr>
      <w:r w:rsidRPr="00811D80">
        <w:rPr>
          <w:b/>
          <w:lang w:val="en-GB"/>
        </w:rPr>
        <w:fldChar w:fldCharType="begin"/>
      </w:r>
      <w:r w:rsidRPr="00811D80">
        <w:rPr>
          <w:b/>
          <w:lang w:val="en-GB"/>
        </w:rPr>
        <w:instrText xml:space="preserve"> REF _Ref521606943 \r \h </w:instrText>
      </w:r>
      <w:r>
        <w:rPr>
          <w:b/>
          <w:lang w:val="en-GB"/>
        </w:rPr>
        <w:instrText xml:space="preserve"> \* MERGEFORMAT </w:instrText>
      </w:r>
      <w:r w:rsidRPr="00811D80">
        <w:rPr>
          <w:b/>
          <w:lang w:val="en-GB"/>
        </w:rPr>
      </w:r>
      <w:r w:rsidRPr="00811D80">
        <w:rPr>
          <w:b/>
          <w:lang w:val="en-GB"/>
        </w:rPr>
        <w:fldChar w:fldCharType="separate"/>
      </w:r>
      <w:r w:rsidRPr="00811D80">
        <w:rPr>
          <w:b/>
          <w:lang w:val="en-GB"/>
        </w:rPr>
        <w:t>Proposal 1:</w:t>
      </w:r>
      <w:r w:rsidRPr="00811D80">
        <w:rPr>
          <w:b/>
          <w:lang w:val="en-GB"/>
        </w:rPr>
        <w:fldChar w:fldCharType="end"/>
      </w:r>
      <w:r w:rsidRPr="00811D80">
        <w:rPr>
          <w:b/>
          <w:lang w:val="en-GB"/>
        </w:rPr>
        <w:t xml:space="preserve"> </w:t>
      </w:r>
      <w:r w:rsidRPr="00811D80">
        <w:rPr>
          <w:b/>
          <w:lang w:val="en-GB"/>
        </w:rPr>
        <w:fldChar w:fldCharType="begin"/>
      </w:r>
      <w:r w:rsidRPr="00811D80">
        <w:rPr>
          <w:b/>
          <w:lang w:val="en-GB"/>
        </w:rPr>
        <w:instrText xml:space="preserve"> REF _Ref521606943 \h </w:instrText>
      </w:r>
      <w:r>
        <w:rPr>
          <w:b/>
          <w:lang w:val="en-GB"/>
        </w:rPr>
        <w:instrText xml:space="preserve"> \* MERGEFORMAT </w:instrText>
      </w:r>
      <w:r w:rsidRPr="00811D80">
        <w:rPr>
          <w:b/>
          <w:lang w:val="en-GB"/>
        </w:rPr>
      </w:r>
      <w:r w:rsidRPr="00811D80">
        <w:rPr>
          <w:b/>
          <w:lang w:val="en-GB"/>
        </w:rPr>
        <w:fldChar w:fldCharType="separate"/>
      </w:r>
      <w:r w:rsidRPr="00811D80">
        <w:rPr>
          <w:b/>
        </w:rPr>
        <w:t>Confirm that for inter-band, UE is mandatory to support async EN-DC for all cases of FDD-FDD, TDD-TDD and TDD-FDD.</w:t>
      </w:r>
      <w:r w:rsidRPr="00811D80">
        <w:rPr>
          <w:b/>
          <w:lang w:val="en-GB"/>
        </w:rPr>
        <w:fldChar w:fldCharType="end"/>
      </w:r>
    </w:p>
    <w:p w:rsidR="00811D80" w:rsidRPr="00811D80" w:rsidRDefault="00811D80" w:rsidP="004F3D3B">
      <w:pPr>
        <w:rPr>
          <w:b/>
          <w:lang w:val="en-GB"/>
        </w:rPr>
      </w:pPr>
      <w:r w:rsidRPr="00811D80">
        <w:rPr>
          <w:b/>
          <w:lang w:val="en-GB"/>
        </w:rPr>
        <w:fldChar w:fldCharType="begin"/>
      </w:r>
      <w:r w:rsidRPr="00811D80">
        <w:rPr>
          <w:b/>
          <w:lang w:val="en-GB"/>
        </w:rPr>
        <w:instrText xml:space="preserve"> REF _Ref521606944 \r \h  \* MERGEFORMAT </w:instrText>
      </w:r>
      <w:r w:rsidRPr="00811D80">
        <w:rPr>
          <w:b/>
          <w:lang w:val="en-GB"/>
        </w:rPr>
      </w:r>
      <w:r w:rsidRPr="00811D80">
        <w:rPr>
          <w:b/>
          <w:lang w:val="en-GB"/>
        </w:rPr>
        <w:fldChar w:fldCharType="separate"/>
      </w:r>
      <w:r w:rsidRPr="00811D80">
        <w:rPr>
          <w:b/>
          <w:lang w:val="en-GB"/>
        </w:rPr>
        <w:t>Proposal 2:</w:t>
      </w:r>
      <w:r w:rsidRPr="00811D80">
        <w:rPr>
          <w:b/>
          <w:lang w:val="en-GB"/>
        </w:rPr>
        <w:fldChar w:fldCharType="end"/>
      </w:r>
      <w:r w:rsidRPr="00811D80">
        <w:rPr>
          <w:b/>
          <w:lang w:val="en-GB"/>
        </w:rPr>
        <w:t xml:space="preserve"> </w:t>
      </w:r>
      <w:r w:rsidRPr="00811D80">
        <w:rPr>
          <w:b/>
          <w:lang w:val="en-GB"/>
        </w:rPr>
        <w:fldChar w:fldCharType="begin"/>
      </w:r>
      <w:r w:rsidRPr="00811D80">
        <w:rPr>
          <w:b/>
          <w:lang w:val="en-GB"/>
        </w:rPr>
        <w:instrText xml:space="preserve"> REF _Ref521606944 \h  \* MERGEFORMAT </w:instrText>
      </w:r>
      <w:r w:rsidRPr="00811D80">
        <w:rPr>
          <w:b/>
          <w:lang w:val="en-GB"/>
        </w:rPr>
      </w:r>
      <w:r w:rsidRPr="00811D80">
        <w:rPr>
          <w:b/>
          <w:lang w:val="en-GB"/>
        </w:rPr>
        <w:fldChar w:fldCharType="separate"/>
      </w:r>
      <w:r w:rsidRPr="00811D80">
        <w:rPr>
          <w:b/>
        </w:rPr>
        <w:t>For inter-band, remove the mentioning of sync EN-DC and related MRTD/MTTD requirements in 38.133.</w:t>
      </w:r>
      <w:r w:rsidRPr="00811D80">
        <w:rPr>
          <w:b/>
          <w:lang w:val="en-GB"/>
        </w:rPr>
        <w:fldChar w:fldCharType="end"/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CF7FE6" w:rsidRDefault="00985193" w:rsidP="00505C3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/>
        <w:jc w:val="both"/>
        <w:rPr>
          <w:rFonts w:eastAsia="Times New Roman" w:cs="Times New Roman"/>
          <w:szCs w:val="20"/>
          <w:lang w:val="en-GB"/>
        </w:rPr>
      </w:pPr>
      <w:bookmarkStart w:id="10" w:name="_Ref521603835"/>
      <w:bookmarkStart w:id="11" w:name="_Ref521504631"/>
      <w:r>
        <w:rPr>
          <w:rFonts w:eastAsia="Times New Roman" w:cs="Times New Roman"/>
          <w:szCs w:val="20"/>
          <w:lang w:val="en-GB"/>
        </w:rPr>
        <w:t>R</w:t>
      </w:r>
      <w:r w:rsidR="00505C3F">
        <w:rPr>
          <w:rFonts w:eastAsia="Times New Roman" w:cs="Times New Roman"/>
          <w:szCs w:val="20"/>
          <w:lang w:val="en-GB"/>
        </w:rPr>
        <w:t>4</w:t>
      </w:r>
      <w:r>
        <w:rPr>
          <w:rFonts w:eastAsia="Times New Roman" w:cs="Times New Roman"/>
          <w:szCs w:val="20"/>
          <w:lang w:val="en-GB"/>
        </w:rPr>
        <w:t>-1</w:t>
      </w:r>
      <w:r w:rsidR="00505C3F">
        <w:rPr>
          <w:rFonts w:eastAsia="Times New Roman" w:cs="Times New Roman"/>
          <w:szCs w:val="20"/>
          <w:lang w:val="en-GB"/>
        </w:rPr>
        <w:t>711964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505C3F" w:rsidRPr="00505C3F">
        <w:rPr>
          <w:rFonts w:eastAsia="Times New Roman" w:cs="Times New Roman"/>
          <w:szCs w:val="20"/>
          <w:lang w:val="en-GB"/>
        </w:rPr>
        <w:t>WF on synchronous and asynchronous definitions for LTE-NR DC in Rel-15</w:t>
      </w:r>
      <w:r>
        <w:rPr>
          <w:rFonts w:eastAsia="Times New Roman" w:cs="Times New Roman"/>
          <w:szCs w:val="20"/>
          <w:lang w:val="en-GB"/>
        </w:rPr>
        <w:t xml:space="preserve">, </w:t>
      </w:r>
      <w:bookmarkEnd w:id="10"/>
      <w:r w:rsidR="00505C3F" w:rsidRPr="00505C3F">
        <w:rPr>
          <w:rFonts w:eastAsia="Times New Roman" w:cs="Times New Roman"/>
          <w:szCs w:val="20"/>
          <w:lang w:val="en-GB"/>
        </w:rPr>
        <w:t>Ericsson, MediaTek</w:t>
      </w:r>
    </w:p>
    <w:p w:rsidR="00F35327" w:rsidRDefault="00505C3F" w:rsidP="00505C3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/>
        <w:jc w:val="both"/>
        <w:rPr>
          <w:rFonts w:eastAsia="Times New Roman" w:cs="Times New Roman"/>
          <w:szCs w:val="20"/>
          <w:lang w:val="en-GB"/>
        </w:rPr>
      </w:pPr>
      <w:bookmarkStart w:id="12" w:name="_Ref521508748"/>
      <w:r>
        <w:rPr>
          <w:rFonts w:eastAsia="Times New Roman" w:cs="Times New Roman"/>
          <w:szCs w:val="20"/>
          <w:lang w:val="en-GB"/>
        </w:rPr>
        <w:t>R4-1803849</w:t>
      </w:r>
      <w:r w:rsidR="00F35327">
        <w:rPr>
          <w:rFonts w:eastAsia="Times New Roman" w:cs="Times New Roman"/>
          <w:szCs w:val="20"/>
          <w:lang w:val="en-GB"/>
        </w:rPr>
        <w:t>,</w:t>
      </w:r>
      <w:r>
        <w:rPr>
          <w:rFonts w:eastAsia="Times New Roman" w:cs="Times New Roman"/>
          <w:szCs w:val="20"/>
          <w:lang w:val="en-GB"/>
        </w:rPr>
        <w:t xml:space="preserve"> </w:t>
      </w:r>
      <w:r w:rsidRPr="00505C3F">
        <w:rPr>
          <w:rFonts w:eastAsia="Times New Roman" w:cs="Times New Roman"/>
          <w:szCs w:val="20"/>
          <w:lang w:val="en-GB"/>
        </w:rPr>
        <w:t>Clarification on Sync/Async EN-DC scenarios and Correction to Timing Requirement</w:t>
      </w:r>
      <w:r w:rsidR="00F35327">
        <w:rPr>
          <w:rFonts w:eastAsia="Times New Roman" w:cs="Times New Roman"/>
          <w:szCs w:val="20"/>
          <w:lang w:val="en-GB"/>
        </w:rPr>
        <w:t xml:space="preserve">, </w:t>
      </w:r>
      <w:bookmarkEnd w:id="12"/>
      <w:r>
        <w:rPr>
          <w:rFonts w:eastAsia="Times New Roman" w:cs="Times New Roman"/>
          <w:szCs w:val="20"/>
          <w:lang w:val="en-GB"/>
        </w:rPr>
        <w:t>Samsung</w:t>
      </w:r>
    </w:p>
    <w:p w:rsidR="00505C3F" w:rsidRDefault="00505C3F" w:rsidP="00505C3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/>
        <w:jc w:val="both"/>
        <w:rPr>
          <w:rFonts w:eastAsia="Times New Roman" w:cs="Times New Roman"/>
          <w:szCs w:val="20"/>
          <w:lang w:val="en-GB"/>
        </w:rPr>
      </w:pPr>
      <w:bookmarkStart w:id="13" w:name="_Ref521605194"/>
      <w:r>
        <w:rPr>
          <w:rFonts w:eastAsia="Times New Roman" w:cs="Times New Roman"/>
          <w:szCs w:val="20"/>
          <w:lang w:val="en-GB"/>
        </w:rPr>
        <w:t xml:space="preserve">R4-1808967, </w:t>
      </w:r>
      <w:r w:rsidRPr="00505C3F">
        <w:rPr>
          <w:rFonts w:eastAsia="Times New Roman" w:cs="Times New Roman"/>
          <w:szCs w:val="20"/>
          <w:lang w:val="en-GB"/>
        </w:rPr>
        <w:t>Further discussions on synchronous/asynchronous definitions for inter-band</w:t>
      </w:r>
      <w:r>
        <w:rPr>
          <w:rFonts w:eastAsia="Times New Roman" w:cs="Times New Roman"/>
          <w:szCs w:val="20"/>
          <w:lang w:val="en-GB"/>
        </w:rPr>
        <w:t>, Ericsson</w:t>
      </w:r>
      <w:bookmarkEnd w:id="13"/>
    </w:p>
    <w:p w:rsidR="005E4BC2" w:rsidRDefault="005E4BC2" w:rsidP="005E4B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/>
        <w:jc w:val="both"/>
        <w:rPr>
          <w:rFonts w:eastAsia="Times New Roman" w:cs="Times New Roman"/>
          <w:szCs w:val="20"/>
          <w:lang w:val="en-GB"/>
        </w:rPr>
      </w:pPr>
      <w:bookmarkStart w:id="14" w:name="_Ref521606378"/>
      <w:r>
        <w:rPr>
          <w:rFonts w:eastAsia="Times New Roman" w:cs="Times New Roman"/>
          <w:szCs w:val="20"/>
          <w:lang w:val="en-GB"/>
        </w:rPr>
        <w:t xml:space="preserve">R4-1806315, </w:t>
      </w:r>
      <w:r w:rsidRPr="005E4BC2">
        <w:rPr>
          <w:rFonts w:eastAsia="Times New Roman" w:cs="Times New Roman"/>
          <w:szCs w:val="20"/>
          <w:lang w:val="en-GB"/>
        </w:rPr>
        <w:t>Reply LS on UL timing difference in EN-DC</w:t>
      </w:r>
      <w:r>
        <w:rPr>
          <w:rFonts w:eastAsia="Times New Roman" w:cs="Times New Roman"/>
          <w:szCs w:val="20"/>
          <w:lang w:val="en-GB"/>
        </w:rPr>
        <w:t>, RAN4</w:t>
      </w:r>
      <w:bookmarkEnd w:id="14"/>
    </w:p>
    <w:bookmarkEnd w:id="11"/>
    <w:p w:rsidR="00866276" w:rsidRPr="00505C3F" w:rsidRDefault="00866276" w:rsidP="00866276">
      <w:pPr>
        <w:rPr>
          <w:szCs w:val="20"/>
          <w:lang w:val="en-GB"/>
        </w:rPr>
      </w:pPr>
    </w:p>
    <w:sectPr w:rsidR="00866276" w:rsidRPr="00505C3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B8C" w:rsidRDefault="00547B8C" w:rsidP="00001C9B">
      <w:pPr>
        <w:spacing w:after="0" w:line="240" w:lineRule="auto"/>
      </w:pPr>
      <w:r>
        <w:separator/>
      </w:r>
    </w:p>
  </w:endnote>
  <w:endnote w:type="continuationSeparator" w:id="0">
    <w:p w:rsidR="00547B8C" w:rsidRDefault="00547B8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B8C" w:rsidRDefault="00547B8C" w:rsidP="00001C9B">
      <w:pPr>
        <w:spacing w:after="0" w:line="240" w:lineRule="auto"/>
      </w:pPr>
      <w:r>
        <w:separator/>
      </w:r>
    </w:p>
  </w:footnote>
  <w:footnote w:type="continuationSeparator" w:id="0">
    <w:p w:rsidR="00547B8C" w:rsidRDefault="00547B8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8364E9"/>
    <w:multiLevelType w:val="hybridMultilevel"/>
    <w:tmpl w:val="F7040724"/>
    <w:lvl w:ilvl="0" w:tplc="66FC3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5083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484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882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308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E6C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2E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AA17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F65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B20A5"/>
    <w:multiLevelType w:val="hybridMultilevel"/>
    <w:tmpl w:val="6F9AFD78"/>
    <w:lvl w:ilvl="0" w:tplc="EBD01D4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A6949"/>
    <w:multiLevelType w:val="hybridMultilevel"/>
    <w:tmpl w:val="8722A6B6"/>
    <w:lvl w:ilvl="0" w:tplc="02ACE14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DD642D"/>
    <w:multiLevelType w:val="hybridMultilevel"/>
    <w:tmpl w:val="9516EE56"/>
    <w:lvl w:ilvl="0" w:tplc="9AA2A7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BA5072"/>
    <w:multiLevelType w:val="hybridMultilevel"/>
    <w:tmpl w:val="986A9C6C"/>
    <w:lvl w:ilvl="0" w:tplc="88D61E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71CF4"/>
    <w:multiLevelType w:val="hybridMultilevel"/>
    <w:tmpl w:val="E76A90E0"/>
    <w:lvl w:ilvl="0" w:tplc="7EC60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3E5F64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EF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2F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A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2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6C0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E6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84B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5F0F8E"/>
    <w:multiLevelType w:val="hybridMultilevel"/>
    <w:tmpl w:val="0130D1F4"/>
    <w:lvl w:ilvl="0" w:tplc="F9FA6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E7E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8A0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48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2F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26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0E0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4A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86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49151B1"/>
    <w:multiLevelType w:val="hybridMultilevel"/>
    <w:tmpl w:val="EB1A014C"/>
    <w:lvl w:ilvl="0" w:tplc="6EE6EF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A1B6544"/>
    <w:multiLevelType w:val="hybridMultilevel"/>
    <w:tmpl w:val="64D4B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9EA51FB"/>
    <w:multiLevelType w:val="hybridMultilevel"/>
    <w:tmpl w:val="B7B40B66"/>
    <w:lvl w:ilvl="0" w:tplc="5C3CF4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13"/>
  </w:num>
  <w:num w:numId="6">
    <w:abstractNumId w:val="1"/>
  </w:num>
  <w:num w:numId="7">
    <w:abstractNumId w:val="5"/>
  </w:num>
  <w:num w:numId="8">
    <w:abstractNumId w:val="14"/>
  </w:num>
  <w:num w:numId="9">
    <w:abstractNumId w:val="12"/>
  </w:num>
  <w:num w:numId="10">
    <w:abstractNumId w:val="2"/>
  </w:num>
  <w:num w:numId="11">
    <w:abstractNumId w:val="16"/>
  </w:num>
  <w:num w:numId="12">
    <w:abstractNumId w:val="11"/>
  </w:num>
  <w:num w:numId="13">
    <w:abstractNumId w:val="6"/>
  </w:num>
  <w:num w:numId="14">
    <w:abstractNumId w:val="15"/>
  </w:num>
  <w:num w:numId="15">
    <w:abstractNumId w:val="3"/>
  </w:num>
  <w:num w:numId="16">
    <w:abstractNumId w:val="7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5259"/>
    <w:rsid w:val="00006B53"/>
    <w:rsid w:val="000308D2"/>
    <w:rsid w:val="0007101A"/>
    <w:rsid w:val="0008612A"/>
    <w:rsid w:val="000A10B9"/>
    <w:rsid w:val="000A1A77"/>
    <w:rsid w:val="000A1D60"/>
    <w:rsid w:val="000B0056"/>
    <w:rsid w:val="000B021D"/>
    <w:rsid w:val="000C5B30"/>
    <w:rsid w:val="000D0EC5"/>
    <w:rsid w:val="000D447E"/>
    <w:rsid w:val="000E02C1"/>
    <w:rsid w:val="000E0505"/>
    <w:rsid w:val="00100DF1"/>
    <w:rsid w:val="00107D6F"/>
    <w:rsid w:val="00126990"/>
    <w:rsid w:val="001625F8"/>
    <w:rsid w:val="00162C40"/>
    <w:rsid w:val="001715FF"/>
    <w:rsid w:val="001745F8"/>
    <w:rsid w:val="001754B4"/>
    <w:rsid w:val="00175770"/>
    <w:rsid w:val="00176671"/>
    <w:rsid w:val="00181C34"/>
    <w:rsid w:val="001838CF"/>
    <w:rsid w:val="001841C4"/>
    <w:rsid w:val="00191266"/>
    <w:rsid w:val="0019443D"/>
    <w:rsid w:val="001B0034"/>
    <w:rsid w:val="001B2AE3"/>
    <w:rsid w:val="001B7100"/>
    <w:rsid w:val="001C5304"/>
    <w:rsid w:val="001E30F6"/>
    <w:rsid w:val="00213824"/>
    <w:rsid w:val="00220ED5"/>
    <w:rsid w:val="00230501"/>
    <w:rsid w:val="002316D0"/>
    <w:rsid w:val="0023185B"/>
    <w:rsid w:val="00235F5C"/>
    <w:rsid w:val="00237338"/>
    <w:rsid w:val="00241561"/>
    <w:rsid w:val="00251A3E"/>
    <w:rsid w:val="002714C1"/>
    <w:rsid w:val="00293297"/>
    <w:rsid w:val="002A07E4"/>
    <w:rsid w:val="002A37E4"/>
    <w:rsid w:val="002A71D5"/>
    <w:rsid w:val="002B4922"/>
    <w:rsid w:val="002C2D19"/>
    <w:rsid w:val="002C7989"/>
    <w:rsid w:val="002D10FA"/>
    <w:rsid w:val="002D4C55"/>
    <w:rsid w:val="002F15C5"/>
    <w:rsid w:val="002F331F"/>
    <w:rsid w:val="002F3989"/>
    <w:rsid w:val="00300C27"/>
    <w:rsid w:val="00314818"/>
    <w:rsid w:val="0032623A"/>
    <w:rsid w:val="003471C5"/>
    <w:rsid w:val="0036162C"/>
    <w:rsid w:val="00370383"/>
    <w:rsid w:val="0038214C"/>
    <w:rsid w:val="003A2443"/>
    <w:rsid w:val="003B659E"/>
    <w:rsid w:val="003E7F12"/>
    <w:rsid w:val="003F53B4"/>
    <w:rsid w:val="004003D3"/>
    <w:rsid w:val="00404E00"/>
    <w:rsid w:val="00417AA0"/>
    <w:rsid w:val="00422290"/>
    <w:rsid w:val="0043750A"/>
    <w:rsid w:val="00443559"/>
    <w:rsid w:val="00450F5D"/>
    <w:rsid w:val="004622BC"/>
    <w:rsid w:val="00463825"/>
    <w:rsid w:val="004646C5"/>
    <w:rsid w:val="004B57BB"/>
    <w:rsid w:val="004B7B4A"/>
    <w:rsid w:val="004C1EB4"/>
    <w:rsid w:val="004D35C8"/>
    <w:rsid w:val="004D7F9F"/>
    <w:rsid w:val="004E27A4"/>
    <w:rsid w:val="004E5E66"/>
    <w:rsid w:val="004F3D3B"/>
    <w:rsid w:val="004F796F"/>
    <w:rsid w:val="00503B4D"/>
    <w:rsid w:val="00504EE9"/>
    <w:rsid w:val="00505C3F"/>
    <w:rsid w:val="00510765"/>
    <w:rsid w:val="00512F8C"/>
    <w:rsid w:val="005340CE"/>
    <w:rsid w:val="0054442C"/>
    <w:rsid w:val="00547B8C"/>
    <w:rsid w:val="00547F5E"/>
    <w:rsid w:val="00550285"/>
    <w:rsid w:val="00572A58"/>
    <w:rsid w:val="0058317D"/>
    <w:rsid w:val="005836F8"/>
    <w:rsid w:val="00590C59"/>
    <w:rsid w:val="005918FA"/>
    <w:rsid w:val="005C18F5"/>
    <w:rsid w:val="005D6468"/>
    <w:rsid w:val="005E4BC2"/>
    <w:rsid w:val="005E61A8"/>
    <w:rsid w:val="005F6419"/>
    <w:rsid w:val="00617400"/>
    <w:rsid w:val="00655EA6"/>
    <w:rsid w:val="00660DC2"/>
    <w:rsid w:val="00663C6D"/>
    <w:rsid w:val="00664950"/>
    <w:rsid w:val="00670729"/>
    <w:rsid w:val="006764BB"/>
    <w:rsid w:val="006769B7"/>
    <w:rsid w:val="00683220"/>
    <w:rsid w:val="00687FA0"/>
    <w:rsid w:val="006909A7"/>
    <w:rsid w:val="006A4DAC"/>
    <w:rsid w:val="006B2AF8"/>
    <w:rsid w:val="006B7010"/>
    <w:rsid w:val="006F1199"/>
    <w:rsid w:val="006F4187"/>
    <w:rsid w:val="00702B7D"/>
    <w:rsid w:val="007145FF"/>
    <w:rsid w:val="00736818"/>
    <w:rsid w:val="00742CFE"/>
    <w:rsid w:val="00751515"/>
    <w:rsid w:val="007739BF"/>
    <w:rsid w:val="0077428A"/>
    <w:rsid w:val="00782462"/>
    <w:rsid w:val="00785232"/>
    <w:rsid w:val="007A040C"/>
    <w:rsid w:val="007A6422"/>
    <w:rsid w:val="007B0ED3"/>
    <w:rsid w:val="007C0DA8"/>
    <w:rsid w:val="007C33D9"/>
    <w:rsid w:val="007C3ED0"/>
    <w:rsid w:val="007D6A52"/>
    <w:rsid w:val="007E54D0"/>
    <w:rsid w:val="007F6B81"/>
    <w:rsid w:val="00806A76"/>
    <w:rsid w:val="00811C9D"/>
    <w:rsid w:val="00811D80"/>
    <w:rsid w:val="00816C80"/>
    <w:rsid w:val="00820C48"/>
    <w:rsid w:val="00820C57"/>
    <w:rsid w:val="00821EA5"/>
    <w:rsid w:val="0082271A"/>
    <w:rsid w:val="00835C66"/>
    <w:rsid w:val="00841BCD"/>
    <w:rsid w:val="00860308"/>
    <w:rsid w:val="00862337"/>
    <w:rsid w:val="00866276"/>
    <w:rsid w:val="0086744C"/>
    <w:rsid w:val="00877C6F"/>
    <w:rsid w:val="0088046B"/>
    <w:rsid w:val="008826C1"/>
    <w:rsid w:val="00893B4E"/>
    <w:rsid w:val="008A23C5"/>
    <w:rsid w:val="008C37E4"/>
    <w:rsid w:val="008C6F57"/>
    <w:rsid w:val="008D36CC"/>
    <w:rsid w:val="008E1227"/>
    <w:rsid w:val="008E3C0E"/>
    <w:rsid w:val="009042BD"/>
    <w:rsid w:val="00912E2D"/>
    <w:rsid w:val="00916E4C"/>
    <w:rsid w:val="0092199B"/>
    <w:rsid w:val="00921C13"/>
    <w:rsid w:val="009249B4"/>
    <w:rsid w:val="00937A19"/>
    <w:rsid w:val="00940095"/>
    <w:rsid w:val="009419C0"/>
    <w:rsid w:val="009461D5"/>
    <w:rsid w:val="0095476A"/>
    <w:rsid w:val="00977E1D"/>
    <w:rsid w:val="009830D1"/>
    <w:rsid w:val="00985193"/>
    <w:rsid w:val="00985EAF"/>
    <w:rsid w:val="009967E3"/>
    <w:rsid w:val="0099686D"/>
    <w:rsid w:val="009B2113"/>
    <w:rsid w:val="009B396D"/>
    <w:rsid w:val="009C3226"/>
    <w:rsid w:val="009C4527"/>
    <w:rsid w:val="009C7D8C"/>
    <w:rsid w:val="009F0439"/>
    <w:rsid w:val="009F482B"/>
    <w:rsid w:val="00A02AF0"/>
    <w:rsid w:val="00A077CE"/>
    <w:rsid w:val="00A15A9F"/>
    <w:rsid w:val="00A22B78"/>
    <w:rsid w:val="00A25AE5"/>
    <w:rsid w:val="00A37002"/>
    <w:rsid w:val="00A506FD"/>
    <w:rsid w:val="00A653E9"/>
    <w:rsid w:val="00A85E46"/>
    <w:rsid w:val="00A95C98"/>
    <w:rsid w:val="00AA1B0E"/>
    <w:rsid w:val="00AA1C57"/>
    <w:rsid w:val="00AC21E5"/>
    <w:rsid w:val="00AC2B38"/>
    <w:rsid w:val="00AC5CA7"/>
    <w:rsid w:val="00AD7661"/>
    <w:rsid w:val="00AE4940"/>
    <w:rsid w:val="00AE56B1"/>
    <w:rsid w:val="00AE6451"/>
    <w:rsid w:val="00B13BFE"/>
    <w:rsid w:val="00B16397"/>
    <w:rsid w:val="00B17E6E"/>
    <w:rsid w:val="00B470BF"/>
    <w:rsid w:val="00B520FD"/>
    <w:rsid w:val="00B53D00"/>
    <w:rsid w:val="00B5454D"/>
    <w:rsid w:val="00B56F0A"/>
    <w:rsid w:val="00B73862"/>
    <w:rsid w:val="00B749E2"/>
    <w:rsid w:val="00B74C1F"/>
    <w:rsid w:val="00B85AFC"/>
    <w:rsid w:val="00B8606D"/>
    <w:rsid w:val="00BA6E48"/>
    <w:rsid w:val="00BC6076"/>
    <w:rsid w:val="00BD708B"/>
    <w:rsid w:val="00BF2218"/>
    <w:rsid w:val="00C03867"/>
    <w:rsid w:val="00C04855"/>
    <w:rsid w:val="00C05C39"/>
    <w:rsid w:val="00C073BD"/>
    <w:rsid w:val="00C13A0B"/>
    <w:rsid w:val="00C1670A"/>
    <w:rsid w:val="00C17F56"/>
    <w:rsid w:val="00C203DD"/>
    <w:rsid w:val="00C22A0E"/>
    <w:rsid w:val="00C36634"/>
    <w:rsid w:val="00C42272"/>
    <w:rsid w:val="00C5261B"/>
    <w:rsid w:val="00C63E4C"/>
    <w:rsid w:val="00C74935"/>
    <w:rsid w:val="00C83C46"/>
    <w:rsid w:val="00CB31E5"/>
    <w:rsid w:val="00CB5915"/>
    <w:rsid w:val="00CC4593"/>
    <w:rsid w:val="00CD7492"/>
    <w:rsid w:val="00CE1EBA"/>
    <w:rsid w:val="00CE2001"/>
    <w:rsid w:val="00CE2E4F"/>
    <w:rsid w:val="00CE3A6B"/>
    <w:rsid w:val="00CF5B5D"/>
    <w:rsid w:val="00CF7FE6"/>
    <w:rsid w:val="00D00211"/>
    <w:rsid w:val="00D01BFA"/>
    <w:rsid w:val="00D03FC6"/>
    <w:rsid w:val="00D06309"/>
    <w:rsid w:val="00D24E4B"/>
    <w:rsid w:val="00D351EA"/>
    <w:rsid w:val="00D3564B"/>
    <w:rsid w:val="00D43403"/>
    <w:rsid w:val="00D62E71"/>
    <w:rsid w:val="00D740CA"/>
    <w:rsid w:val="00D762F2"/>
    <w:rsid w:val="00D775D8"/>
    <w:rsid w:val="00D85728"/>
    <w:rsid w:val="00DA2080"/>
    <w:rsid w:val="00DA7616"/>
    <w:rsid w:val="00DE7F06"/>
    <w:rsid w:val="00DF2997"/>
    <w:rsid w:val="00E0134E"/>
    <w:rsid w:val="00E1417F"/>
    <w:rsid w:val="00E20ED2"/>
    <w:rsid w:val="00E529FA"/>
    <w:rsid w:val="00E6410D"/>
    <w:rsid w:val="00E72309"/>
    <w:rsid w:val="00E80E17"/>
    <w:rsid w:val="00E8297E"/>
    <w:rsid w:val="00E93772"/>
    <w:rsid w:val="00EA09F1"/>
    <w:rsid w:val="00EA0AE8"/>
    <w:rsid w:val="00EA2962"/>
    <w:rsid w:val="00EB40FE"/>
    <w:rsid w:val="00EB7D30"/>
    <w:rsid w:val="00EC1B37"/>
    <w:rsid w:val="00EC7BC3"/>
    <w:rsid w:val="00ED7600"/>
    <w:rsid w:val="00EE15DB"/>
    <w:rsid w:val="00EE7CB7"/>
    <w:rsid w:val="00EF236A"/>
    <w:rsid w:val="00EF6F57"/>
    <w:rsid w:val="00F03CC9"/>
    <w:rsid w:val="00F1362C"/>
    <w:rsid w:val="00F3291A"/>
    <w:rsid w:val="00F34499"/>
    <w:rsid w:val="00F35327"/>
    <w:rsid w:val="00F360C7"/>
    <w:rsid w:val="00F44843"/>
    <w:rsid w:val="00F45713"/>
    <w:rsid w:val="00F67140"/>
    <w:rsid w:val="00F77F26"/>
    <w:rsid w:val="00F824F5"/>
    <w:rsid w:val="00F92A15"/>
    <w:rsid w:val="00F954A3"/>
    <w:rsid w:val="00FC29B9"/>
    <w:rsid w:val="00FC3EA3"/>
    <w:rsid w:val="00FC6FD3"/>
    <w:rsid w:val="00FC7B92"/>
    <w:rsid w:val="00FE12A5"/>
    <w:rsid w:val="00FE46F7"/>
    <w:rsid w:val="00FF2B96"/>
    <w:rsid w:val="00F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89"/>
    <w:pPr>
      <w:spacing w:before="120" w:after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F6B81"/>
    <w:pPr>
      <w:numPr>
        <w:numId w:val="4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B021D"/>
    <w:pPr>
      <w:tabs>
        <w:tab w:val="left" w:pos="1622"/>
      </w:tabs>
      <w:spacing w:before="0" w:after="0" w:line="240" w:lineRule="auto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rsid w:val="000B021D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38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9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74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2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89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16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3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67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1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9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77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2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99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4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3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4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10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9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4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8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1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7858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8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4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4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52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7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1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4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8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2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9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8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7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10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1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111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4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C60BB-8C80-42CD-B9BE-CF8E6255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8477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Zhang, Li 7. (NSB - CN/Beijing)</cp:lastModifiedBy>
  <cp:revision>70</cp:revision>
  <dcterms:created xsi:type="dcterms:W3CDTF">2018-05-01T11:51:00Z</dcterms:created>
  <dcterms:modified xsi:type="dcterms:W3CDTF">2018-08-10T15:43:00Z</dcterms:modified>
</cp:coreProperties>
</file>