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C9F" w:rsidRPr="00E14DDF" w:rsidRDefault="00AE6C9F" w:rsidP="00AE6C9F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E14DDF"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FA8B43E" wp14:editId="7617840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2" name="Freeform 4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29CFEF" id="Freeform 4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Pf11jIXBQAAU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E14DDF">
        <w:rPr>
          <w:b/>
          <w:kern w:val="2"/>
          <w:lang w:eastAsia="zh-CN"/>
        </w:rPr>
        <w:t>3GPP TSG</w:t>
      </w:r>
      <w:r w:rsidR="002624F2">
        <w:rPr>
          <w:b/>
          <w:kern w:val="2"/>
          <w:lang w:eastAsia="zh-CN"/>
        </w:rPr>
        <w:t xml:space="preserve"> </w:t>
      </w:r>
      <w:r w:rsidR="00666121">
        <w:rPr>
          <w:b/>
          <w:kern w:val="2"/>
          <w:lang w:eastAsia="zh-CN"/>
        </w:rPr>
        <w:t>RAN WG4 Meeting #87</w:t>
      </w:r>
      <w:r w:rsidRPr="00E14DDF">
        <w:rPr>
          <w:b/>
          <w:kern w:val="2"/>
          <w:lang w:eastAsia="zh-CN"/>
        </w:rPr>
        <w:tab/>
      </w:r>
      <w:r w:rsidR="0001159A" w:rsidRPr="0001159A">
        <w:rPr>
          <w:b/>
          <w:kern w:val="2"/>
          <w:lang w:eastAsia="zh-CN"/>
        </w:rPr>
        <w:t>R4-1807852</w:t>
      </w:r>
    </w:p>
    <w:p w:rsidR="00AE6C9F" w:rsidRPr="00E14DDF" w:rsidRDefault="00666121" w:rsidP="00AE6C9F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Busan, Korea</w:t>
      </w:r>
      <w:r w:rsidRPr="00666121">
        <w:rPr>
          <w:b/>
          <w:kern w:val="2"/>
          <w:lang w:eastAsia="zh-CN"/>
        </w:rPr>
        <w:t>, May 21 – 25, 2018</w:t>
      </w:r>
    </w:p>
    <w:p w:rsidR="00AE6C9F" w:rsidRPr="00E14DDF" w:rsidRDefault="00AE6C9F" w:rsidP="00AE6C9F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AE6C9F" w:rsidRPr="00E14DDF" w:rsidRDefault="00AE6C9F" w:rsidP="00AE6C9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Agenda Item:</w:t>
      </w:r>
      <w:r w:rsidRPr="00E14DDF">
        <w:rPr>
          <w:b/>
          <w:kern w:val="2"/>
          <w:lang w:eastAsia="zh-CN"/>
        </w:rPr>
        <w:tab/>
      </w:r>
      <w:r w:rsidR="004D46BB" w:rsidRPr="004D46BB">
        <w:rPr>
          <w:b/>
          <w:kern w:val="2"/>
          <w:lang w:eastAsia="zh-CN"/>
        </w:rPr>
        <w:t>7.</w:t>
      </w:r>
      <w:r w:rsidR="00561F42">
        <w:rPr>
          <w:b/>
          <w:kern w:val="2"/>
          <w:lang w:eastAsia="zh-CN"/>
        </w:rPr>
        <w:t>8.2</w:t>
      </w:r>
    </w:p>
    <w:p w:rsidR="00AE6C9F" w:rsidRPr="00E14DDF" w:rsidRDefault="00AE6C9F" w:rsidP="00AE6C9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Source:</w:t>
      </w:r>
      <w:r w:rsidRPr="00E14DDF">
        <w:rPr>
          <w:b/>
          <w:kern w:val="2"/>
          <w:lang w:eastAsia="zh-CN"/>
        </w:rPr>
        <w:tab/>
        <w:t>Huawei, HiSilicon</w:t>
      </w:r>
    </w:p>
    <w:p w:rsidR="00AE6C9F" w:rsidRPr="00E14DDF" w:rsidRDefault="00AE6C9F" w:rsidP="00AE6C9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Title:</w:t>
      </w:r>
      <w:r w:rsidRPr="00E14DDF">
        <w:rPr>
          <w:b/>
          <w:kern w:val="2"/>
          <w:lang w:eastAsia="zh-CN"/>
        </w:rPr>
        <w:tab/>
      </w:r>
      <w:r w:rsidR="000E43A1">
        <w:rPr>
          <w:b/>
          <w:kern w:val="2"/>
          <w:lang w:eastAsia="zh-CN"/>
        </w:rPr>
        <w:t>Test models for NR base station conformance testing</w:t>
      </w:r>
    </w:p>
    <w:p w:rsidR="00AE6C9F" w:rsidRPr="00E14DDF" w:rsidRDefault="00AE6C9F" w:rsidP="00AE6C9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Document for:</w:t>
      </w:r>
      <w:r w:rsidRPr="00E14DDF">
        <w:rPr>
          <w:b/>
          <w:kern w:val="2"/>
          <w:lang w:eastAsia="zh-CN"/>
        </w:rPr>
        <w:tab/>
      </w:r>
      <w:r w:rsidR="000E43A1">
        <w:rPr>
          <w:b/>
          <w:kern w:val="2"/>
          <w:lang w:eastAsia="zh-CN"/>
        </w:rPr>
        <w:t>Discussion</w:t>
      </w:r>
    </w:p>
    <w:p w:rsidR="00AE6C9F" w:rsidRPr="00E14DDF" w:rsidRDefault="00AE6C9F" w:rsidP="00AE6C9F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AE6C9F" w:rsidRPr="00E14DDF" w:rsidRDefault="00AE6C9F" w:rsidP="00AE6C9F"/>
    <w:p w:rsidR="00AE6C9F" w:rsidRDefault="00AE6C9F" w:rsidP="00AE6C9F">
      <w:pPr>
        <w:pStyle w:val="Heading1"/>
      </w:pPr>
      <w:bookmarkStart w:id="0" w:name="_Ref124589705"/>
      <w:bookmarkStart w:id="1" w:name="_Ref129681862"/>
      <w:r w:rsidRPr="00E14DDF">
        <w:t>Introduction</w:t>
      </w:r>
      <w:bookmarkEnd w:id="0"/>
      <w:bookmarkEnd w:id="1"/>
    </w:p>
    <w:p w:rsidR="002A4E75" w:rsidRDefault="00231914" w:rsidP="00231914">
      <w:r>
        <w:t xml:space="preserve">In the previous meeting, </w:t>
      </w:r>
      <w:r w:rsidR="002A4E75">
        <w:t xml:space="preserve">two way forwards </w:t>
      </w:r>
      <w:proofErr w:type="gramStart"/>
      <w:r w:rsidR="002A4E75">
        <w:t>were agreed</w:t>
      </w:r>
      <w:proofErr w:type="gramEnd"/>
      <w:r w:rsidR="002A4E75">
        <w:t xml:space="preserve"> to establish guidelines for NR conformance testing. </w:t>
      </w:r>
    </w:p>
    <w:p w:rsidR="002A4E75" w:rsidRPr="00231914" w:rsidRDefault="002A4E75" w:rsidP="002A4E75">
      <w:r>
        <w:t xml:space="preserve">Agreed way forward </w:t>
      </w:r>
      <w:r>
        <w:fldChar w:fldCharType="begin"/>
      </w:r>
      <w:r>
        <w:instrText xml:space="preserve"> REF _Ref513647682 \r \h </w:instrText>
      </w:r>
      <w:r>
        <w:fldChar w:fldCharType="separate"/>
      </w:r>
      <w:r w:rsidR="006077EF">
        <w:t>[2]</w:t>
      </w:r>
      <w:r>
        <w:fldChar w:fldCharType="end"/>
      </w:r>
    </w:p>
    <w:p w:rsidR="002A4E75" w:rsidRPr="00231914" w:rsidRDefault="002A4E75" w:rsidP="002A4E75">
      <w:pPr>
        <w:numPr>
          <w:ilvl w:val="0"/>
          <w:numId w:val="13"/>
        </w:numPr>
        <w:spacing w:after="0"/>
        <w:rPr>
          <w:sz w:val="20"/>
        </w:rPr>
      </w:pPr>
      <w:r w:rsidRPr="00231914">
        <w:rPr>
          <w:sz w:val="20"/>
        </w:rPr>
        <w:t>RAN4 should consider possible reduction of BS NR conformance test cases, to avoid excessive test permutations, due to large number of supported channel bandwidths and SCSs in NR.</w:t>
      </w:r>
    </w:p>
    <w:p w:rsidR="002A4E75" w:rsidRPr="00231914" w:rsidRDefault="002A4E75" w:rsidP="002A4E75">
      <w:pPr>
        <w:numPr>
          <w:ilvl w:val="0"/>
          <w:numId w:val="13"/>
        </w:numPr>
        <w:spacing w:after="0"/>
        <w:rPr>
          <w:sz w:val="20"/>
        </w:rPr>
      </w:pPr>
      <w:r w:rsidRPr="00231914">
        <w:rPr>
          <w:sz w:val="20"/>
        </w:rPr>
        <w:t>For each frequency range (FR1 and FR2) adequate number of test cases should be chosen taking into account requirement by requirement:</w:t>
      </w:r>
    </w:p>
    <w:p w:rsidR="002A4E75" w:rsidRPr="00231914" w:rsidRDefault="002A4E75" w:rsidP="002A4E75">
      <w:pPr>
        <w:numPr>
          <w:ilvl w:val="1"/>
          <w:numId w:val="13"/>
        </w:numPr>
        <w:spacing w:after="0"/>
        <w:rPr>
          <w:sz w:val="20"/>
        </w:rPr>
      </w:pPr>
      <w:r w:rsidRPr="00231914">
        <w:rPr>
          <w:sz w:val="20"/>
        </w:rPr>
        <w:t>Channel bandwidth:</w:t>
      </w:r>
    </w:p>
    <w:p w:rsidR="002A4E75" w:rsidRPr="00231914" w:rsidRDefault="002A4E75" w:rsidP="002A4E75">
      <w:pPr>
        <w:numPr>
          <w:ilvl w:val="0"/>
          <w:numId w:val="14"/>
        </w:numPr>
        <w:spacing w:after="0"/>
        <w:rPr>
          <w:sz w:val="20"/>
        </w:rPr>
      </w:pPr>
      <w:r w:rsidRPr="00231914">
        <w:rPr>
          <w:sz w:val="20"/>
        </w:rPr>
        <w:t xml:space="preserve">Limited number of channel bandwidths </w:t>
      </w:r>
      <w:proofErr w:type="gramStart"/>
      <w:r w:rsidRPr="00231914">
        <w:rPr>
          <w:sz w:val="20"/>
        </w:rPr>
        <w:t>should be considered</w:t>
      </w:r>
      <w:proofErr w:type="gramEnd"/>
      <w:r w:rsidRPr="00231914">
        <w:rPr>
          <w:sz w:val="20"/>
        </w:rPr>
        <w:t>.</w:t>
      </w:r>
      <w:r>
        <w:rPr>
          <w:sz w:val="20"/>
        </w:rPr>
        <w:t xml:space="preserve"> </w:t>
      </w:r>
      <w:r w:rsidRPr="00231914">
        <w:rPr>
          <w:sz w:val="20"/>
        </w:rPr>
        <w:t>FFS to test maximum supported CBW by BS, and one of the smaller supported CBW</w:t>
      </w:r>
    </w:p>
    <w:p w:rsidR="002A4E75" w:rsidRPr="00231914" w:rsidRDefault="002A4E75" w:rsidP="002A4E75">
      <w:pPr>
        <w:numPr>
          <w:ilvl w:val="1"/>
          <w:numId w:val="13"/>
        </w:numPr>
        <w:spacing w:after="0"/>
        <w:rPr>
          <w:sz w:val="20"/>
        </w:rPr>
      </w:pPr>
      <w:r w:rsidRPr="00231914">
        <w:rPr>
          <w:sz w:val="20"/>
        </w:rPr>
        <w:t>Sub-carrier spacing:</w:t>
      </w:r>
    </w:p>
    <w:p w:rsidR="002A4E75" w:rsidRPr="00231914" w:rsidRDefault="002A4E75" w:rsidP="002A4E75">
      <w:pPr>
        <w:numPr>
          <w:ilvl w:val="0"/>
          <w:numId w:val="14"/>
        </w:numPr>
        <w:spacing w:after="0"/>
        <w:rPr>
          <w:sz w:val="20"/>
        </w:rPr>
      </w:pPr>
      <w:r w:rsidRPr="00231914">
        <w:rPr>
          <w:sz w:val="20"/>
        </w:rPr>
        <w:t>If the BS support more th</w:t>
      </w:r>
      <w:r>
        <w:rPr>
          <w:sz w:val="20"/>
        </w:rPr>
        <w:t>a</w:t>
      </w:r>
      <w:r w:rsidRPr="00231914">
        <w:rPr>
          <w:sz w:val="20"/>
        </w:rPr>
        <w:t>n one SCS</w:t>
      </w:r>
      <w:r>
        <w:rPr>
          <w:sz w:val="20"/>
        </w:rPr>
        <w:t>,</w:t>
      </w:r>
      <w:r w:rsidRPr="00231914">
        <w:rPr>
          <w:sz w:val="20"/>
        </w:rPr>
        <w:t xml:space="preserve"> not all SCS need to be considered in test cases </w:t>
      </w:r>
    </w:p>
    <w:p w:rsidR="002A4E75" w:rsidRPr="00231914" w:rsidRDefault="002A4E75" w:rsidP="002A4E75">
      <w:pPr>
        <w:numPr>
          <w:ilvl w:val="1"/>
          <w:numId w:val="13"/>
        </w:numPr>
        <w:spacing w:after="0"/>
        <w:rPr>
          <w:sz w:val="20"/>
        </w:rPr>
      </w:pPr>
      <w:r w:rsidRPr="00231914">
        <w:rPr>
          <w:sz w:val="20"/>
        </w:rPr>
        <w:t>Modulation scheme:</w:t>
      </w:r>
    </w:p>
    <w:p w:rsidR="002A4E75" w:rsidRPr="00231914" w:rsidRDefault="002A4E75" w:rsidP="002A4E75">
      <w:pPr>
        <w:numPr>
          <w:ilvl w:val="0"/>
          <w:numId w:val="14"/>
        </w:numPr>
        <w:spacing w:after="0"/>
        <w:rPr>
          <w:sz w:val="20"/>
        </w:rPr>
      </w:pPr>
      <w:r w:rsidRPr="00231914">
        <w:rPr>
          <w:sz w:val="20"/>
        </w:rPr>
        <w:t>Limited number of modulation scheme should be considered (</w:t>
      </w:r>
      <w:proofErr w:type="gramStart"/>
      <w:r w:rsidRPr="00231914">
        <w:rPr>
          <w:sz w:val="20"/>
        </w:rPr>
        <w:t>it’s</w:t>
      </w:r>
      <w:proofErr w:type="gramEnd"/>
      <w:r w:rsidRPr="00231914">
        <w:rPr>
          <w:sz w:val="20"/>
        </w:rPr>
        <w:t xml:space="preserve"> not precluded to have to test all modulation scheme for EVM requirement and Dynamic range).</w:t>
      </w:r>
    </w:p>
    <w:p w:rsidR="002A4E75" w:rsidRDefault="002A4E75" w:rsidP="002A4E75">
      <w:pPr>
        <w:numPr>
          <w:ilvl w:val="1"/>
          <w:numId w:val="13"/>
        </w:numPr>
        <w:rPr>
          <w:sz w:val="20"/>
        </w:rPr>
      </w:pPr>
      <w:r w:rsidRPr="00231914">
        <w:rPr>
          <w:sz w:val="20"/>
        </w:rPr>
        <w:t xml:space="preserve">Other factors </w:t>
      </w:r>
      <w:proofErr w:type="gramStart"/>
      <w:r w:rsidRPr="00231914">
        <w:rPr>
          <w:sz w:val="20"/>
        </w:rPr>
        <w:t>are not precluded</w:t>
      </w:r>
      <w:proofErr w:type="gramEnd"/>
      <w:r w:rsidRPr="00231914">
        <w:rPr>
          <w:sz w:val="20"/>
        </w:rPr>
        <w:t>.</w:t>
      </w:r>
    </w:p>
    <w:p w:rsidR="002A4E75" w:rsidRPr="00231914" w:rsidRDefault="002A4E75" w:rsidP="002A4E75">
      <w:r w:rsidRPr="00231914">
        <w:t>Way forward</w:t>
      </w:r>
      <w:r>
        <w:t xml:space="preserve"> </w:t>
      </w:r>
      <w:r>
        <w:fldChar w:fldCharType="begin"/>
      </w:r>
      <w:r>
        <w:instrText xml:space="preserve"> REF _Ref513648045 \r \h </w:instrText>
      </w:r>
      <w:r>
        <w:fldChar w:fldCharType="separate"/>
      </w:r>
      <w:r w:rsidR="006077EF">
        <w:t>[1]</w:t>
      </w:r>
      <w:r>
        <w:fldChar w:fldCharType="end"/>
      </w:r>
      <w:r>
        <w:t xml:space="preserve"> </w:t>
      </w:r>
      <w:r w:rsidRPr="00231914">
        <w:t>- TC types</w:t>
      </w:r>
    </w:p>
    <w:p w:rsidR="002A4E75" w:rsidRPr="00231914" w:rsidRDefault="002A4E75" w:rsidP="002A4E75">
      <w:pPr>
        <w:numPr>
          <w:ilvl w:val="0"/>
          <w:numId w:val="13"/>
        </w:numPr>
        <w:spacing w:after="0"/>
        <w:rPr>
          <w:sz w:val="20"/>
        </w:rPr>
      </w:pPr>
      <w:r w:rsidRPr="00231914">
        <w:rPr>
          <w:sz w:val="20"/>
        </w:rPr>
        <w:t>Five test configurations should be defined for NR BS conformance testing</w:t>
      </w:r>
    </w:p>
    <w:p w:rsidR="002A4E75" w:rsidRPr="00231914" w:rsidRDefault="002A4E75" w:rsidP="002A4E75">
      <w:pPr>
        <w:numPr>
          <w:ilvl w:val="1"/>
          <w:numId w:val="13"/>
        </w:numPr>
        <w:spacing w:after="0"/>
        <w:rPr>
          <w:sz w:val="20"/>
        </w:rPr>
      </w:pPr>
      <w:r w:rsidRPr="00231914">
        <w:rPr>
          <w:sz w:val="20"/>
        </w:rPr>
        <w:t>NRTC1: NR contiguous spectrum operation</w:t>
      </w:r>
    </w:p>
    <w:p w:rsidR="002A4E75" w:rsidRPr="00231914" w:rsidRDefault="002A4E75" w:rsidP="002A4E75">
      <w:pPr>
        <w:numPr>
          <w:ilvl w:val="1"/>
          <w:numId w:val="13"/>
        </w:numPr>
        <w:spacing w:after="0"/>
        <w:rPr>
          <w:sz w:val="20"/>
        </w:rPr>
      </w:pPr>
      <w:r w:rsidRPr="00231914">
        <w:rPr>
          <w:sz w:val="20"/>
        </w:rPr>
        <w:t>NRTC2: Contiguous CA occupied bandwidth</w:t>
      </w:r>
    </w:p>
    <w:p w:rsidR="002A4E75" w:rsidRPr="00231914" w:rsidRDefault="002A4E75" w:rsidP="002A4E75">
      <w:pPr>
        <w:numPr>
          <w:ilvl w:val="1"/>
          <w:numId w:val="13"/>
        </w:numPr>
        <w:spacing w:after="0"/>
        <w:rPr>
          <w:sz w:val="20"/>
        </w:rPr>
      </w:pPr>
      <w:r w:rsidRPr="00231914">
        <w:rPr>
          <w:sz w:val="20"/>
        </w:rPr>
        <w:t>NRTC3: NR non-contiguous spectrum operation</w:t>
      </w:r>
    </w:p>
    <w:p w:rsidR="002A4E75" w:rsidRPr="00231914" w:rsidRDefault="002A4E75" w:rsidP="002A4E75">
      <w:pPr>
        <w:numPr>
          <w:ilvl w:val="1"/>
          <w:numId w:val="13"/>
        </w:numPr>
        <w:spacing w:after="0"/>
        <w:rPr>
          <w:sz w:val="20"/>
        </w:rPr>
      </w:pPr>
      <w:r w:rsidRPr="00231914">
        <w:rPr>
          <w:sz w:val="20"/>
        </w:rPr>
        <w:t>NRTC4: NR multi-band test configuration for full carrier allocation</w:t>
      </w:r>
    </w:p>
    <w:p w:rsidR="002A4E75" w:rsidRPr="00231914" w:rsidRDefault="002A4E75" w:rsidP="00733D7E">
      <w:pPr>
        <w:numPr>
          <w:ilvl w:val="1"/>
          <w:numId w:val="13"/>
        </w:numPr>
        <w:rPr>
          <w:sz w:val="20"/>
        </w:rPr>
      </w:pPr>
      <w:r w:rsidRPr="00231914">
        <w:rPr>
          <w:sz w:val="20"/>
        </w:rPr>
        <w:t>NRTC5: NR multi-band test configuration with high PSD per carrier</w:t>
      </w:r>
    </w:p>
    <w:p w:rsidR="002A4E75" w:rsidRPr="00231914" w:rsidRDefault="002A4E75" w:rsidP="00733D7E">
      <w:r w:rsidRPr="00231914">
        <w:t>Way forward</w:t>
      </w:r>
      <w:r>
        <w:t xml:space="preserve"> </w:t>
      </w:r>
      <w:r>
        <w:fldChar w:fldCharType="begin"/>
      </w:r>
      <w:r>
        <w:instrText xml:space="preserve"> REF _Ref513648045 \r \h </w:instrText>
      </w:r>
      <w:r>
        <w:fldChar w:fldCharType="separate"/>
      </w:r>
      <w:r w:rsidR="006077EF">
        <w:t>[1]</w:t>
      </w:r>
      <w:r>
        <w:fldChar w:fldCharType="end"/>
      </w:r>
      <w:r>
        <w:t xml:space="preserve"> </w:t>
      </w:r>
      <w:r w:rsidRPr="00231914">
        <w:t>- TC generation</w:t>
      </w:r>
    </w:p>
    <w:p w:rsidR="002A4E75" w:rsidRPr="00231914" w:rsidRDefault="002A4E75" w:rsidP="002A4E75">
      <w:pPr>
        <w:numPr>
          <w:ilvl w:val="0"/>
          <w:numId w:val="13"/>
        </w:numPr>
        <w:spacing w:after="0"/>
        <w:rPr>
          <w:sz w:val="20"/>
        </w:rPr>
      </w:pPr>
      <w:r w:rsidRPr="00231914">
        <w:rPr>
          <w:sz w:val="20"/>
        </w:rPr>
        <w:t>Test configuration generation for E-UTRA can be a starting point for NR conformance testing.</w:t>
      </w:r>
    </w:p>
    <w:p w:rsidR="002A4E75" w:rsidRPr="00231914" w:rsidRDefault="002A4E75" w:rsidP="002A4E75">
      <w:pPr>
        <w:numPr>
          <w:ilvl w:val="0"/>
          <w:numId w:val="13"/>
        </w:numPr>
        <w:rPr>
          <w:sz w:val="20"/>
        </w:rPr>
      </w:pPr>
      <w:r w:rsidRPr="00231914">
        <w:rPr>
          <w:sz w:val="20"/>
        </w:rPr>
        <w:t xml:space="preserve">Declared maximum Base Station RF Bandwidth </w:t>
      </w:r>
      <w:proofErr w:type="gramStart"/>
      <w:r w:rsidRPr="00231914">
        <w:rPr>
          <w:sz w:val="20"/>
        </w:rPr>
        <w:t>should be used</w:t>
      </w:r>
      <w:proofErr w:type="gramEnd"/>
      <w:r w:rsidRPr="00231914">
        <w:rPr>
          <w:sz w:val="20"/>
        </w:rPr>
        <w:t>.</w:t>
      </w:r>
    </w:p>
    <w:p w:rsidR="00231914" w:rsidRDefault="002A4E75" w:rsidP="00231914">
      <w:r>
        <w:t xml:space="preserve">This contribution expands upon those agreements and proposes some example test </w:t>
      </w:r>
      <w:r w:rsidR="000E43A1">
        <w:t>models for the agreed test configura</w:t>
      </w:r>
      <w:r w:rsidR="00FE1F4A">
        <w:t>ti</w:t>
      </w:r>
      <w:r w:rsidR="000E43A1">
        <w:t>ons.</w:t>
      </w:r>
    </w:p>
    <w:p w:rsidR="005634F8" w:rsidRDefault="005634F8" w:rsidP="005634F8">
      <w:pPr>
        <w:pStyle w:val="Heading1"/>
      </w:pPr>
      <w:r>
        <w:t>Discussion</w:t>
      </w:r>
    </w:p>
    <w:p w:rsidR="002A4E75" w:rsidRDefault="001164D5" w:rsidP="002A4E75">
      <w:r>
        <w:t xml:space="preserve">With the agreements from the </w:t>
      </w:r>
      <w:proofErr w:type="gramStart"/>
      <w:r>
        <w:t>way</w:t>
      </w:r>
      <w:proofErr w:type="gramEnd"/>
      <w:r>
        <w:t xml:space="preserve"> forwards, additional details for test </w:t>
      </w:r>
      <w:r w:rsidR="000E43A1">
        <w:t>models</w:t>
      </w:r>
      <w:r>
        <w:t xml:space="preserve"> are presented.</w:t>
      </w:r>
    </w:p>
    <w:p w:rsidR="00645B8F" w:rsidRDefault="00645B8F" w:rsidP="00645B8F">
      <w:pPr>
        <w:pStyle w:val="Heading2"/>
      </w:pPr>
      <w:r>
        <w:t>Test description</w:t>
      </w:r>
      <w:r w:rsidR="002A4CF0">
        <w:t xml:space="preserve"> and con</w:t>
      </w:r>
      <w:r w:rsidR="003B5926">
        <w:t>figurations</w:t>
      </w:r>
    </w:p>
    <w:p w:rsidR="00496299" w:rsidRDefault="00645B8F" w:rsidP="002A4E75">
      <w:r>
        <w:t xml:space="preserve">Using the guideline of section 4.8 of 36.141 </w:t>
      </w:r>
      <w:r w:rsidR="002A4CF0">
        <w:fldChar w:fldCharType="begin"/>
      </w:r>
      <w:r w:rsidR="002A4CF0">
        <w:instrText xml:space="preserve"> REF _Ref513706058 \r \h </w:instrText>
      </w:r>
      <w:r w:rsidR="002A4CF0">
        <w:fldChar w:fldCharType="separate"/>
      </w:r>
      <w:r w:rsidR="006077EF">
        <w:t>[3]</w:t>
      </w:r>
      <w:r w:rsidR="002A4CF0">
        <w:fldChar w:fldCharType="end"/>
      </w:r>
      <w:r w:rsidR="002A4CF0">
        <w:t xml:space="preserve"> </w:t>
      </w:r>
      <w:r>
        <w:t xml:space="preserve">as a starting point, the test description can be adopted without any </w:t>
      </w:r>
      <w:r w:rsidR="00733D7E">
        <w:t xml:space="preserve">major </w:t>
      </w:r>
      <w:r>
        <w:t>changes.</w:t>
      </w:r>
      <w:r w:rsidR="00733D7E">
        <w:t xml:space="preserve"> </w:t>
      </w:r>
      <w:r w:rsidR="00496299">
        <w:t>The</w:t>
      </w:r>
      <w:r w:rsidR="002A4CF0">
        <w:t xml:space="preserve"> test configurations </w:t>
      </w:r>
      <w:r w:rsidR="00496299">
        <w:t xml:space="preserve">listed in Table 4.11-1, Table 4.11-2, and Table 4.11-3 of </w:t>
      </w:r>
      <w:r w:rsidR="00496299">
        <w:fldChar w:fldCharType="begin"/>
      </w:r>
      <w:r w:rsidR="00496299">
        <w:instrText xml:space="preserve"> REF _Ref513706058 \r \h </w:instrText>
      </w:r>
      <w:r w:rsidR="00496299">
        <w:fldChar w:fldCharType="separate"/>
      </w:r>
      <w:proofErr w:type="gramStart"/>
      <w:r w:rsidR="006077EF">
        <w:t>[3]</w:t>
      </w:r>
      <w:r w:rsidR="00496299">
        <w:fldChar w:fldCharType="end"/>
      </w:r>
      <w:r w:rsidR="00496299">
        <w:t xml:space="preserve"> can be reused</w:t>
      </w:r>
      <w:proofErr w:type="gramEnd"/>
      <w:r w:rsidR="00496299">
        <w:t xml:space="preserve"> after a simple replacement of “ETC” by “NRTC”. However, with the introduction of SDL</w:t>
      </w:r>
      <w:r w:rsidR="00542B32">
        <w:t xml:space="preserve"> and SUL</w:t>
      </w:r>
      <w:r w:rsidR="00496299">
        <w:t>, additional combinations may be need to be included.</w:t>
      </w:r>
    </w:p>
    <w:p w:rsidR="005760CD" w:rsidRPr="00542B32" w:rsidRDefault="005760CD" w:rsidP="002A4E75">
      <w:pPr>
        <w:rPr>
          <w:b/>
          <w:i/>
        </w:rPr>
      </w:pPr>
      <w:r w:rsidRPr="00542B32">
        <w:rPr>
          <w:b/>
          <w:i/>
        </w:rPr>
        <w:lastRenderedPageBreak/>
        <w:t>Proposal</w:t>
      </w:r>
      <w:r w:rsidR="0061114A">
        <w:rPr>
          <w:b/>
          <w:i/>
        </w:rPr>
        <w:t xml:space="preserve"> 1</w:t>
      </w:r>
      <w:r w:rsidRPr="00542B32">
        <w:rPr>
          <w:b/>
          <w:i/>
        </w:rPr>
        <w:t>: Using test configuration generation for E-UTRA</w:t>
      </w:r>
      <w:r w:rsidR="00542B32" w:rsidRPr="00542B32">
        <w:rPr>
          <w:b/>
          <w:i/>
        </w:rPr>
        <w:t xml:space="preserve"> as a baseline, </w:t>
      </w:r>
      <w:r w:rsidR="00034CF4">
        <w:rPr>
          <w:b/>
          <w:i/>
        </w:rPr>
        <w:t>test</w:t>
      </w:r>
      <w:r w:rsidR="00542B32" w:rsidRPr="00542B32">
        <w:rPr>
          <w:b/>
          <w:i/>
        </w:rPr>
        <w:t xml:space="preserve"> combinations for SUL and SDL </w:t>
      </w:r>
      <w:proofErr w:type="gramStart"/>
      <w:r w:rsidR="00542B32" w:rsidRPr="00542B32">
        <w:rPr>
          <w:b/>
          <w:i/>
        </w:rPr>
        <w:t>are needed</w:t>
      </w:r>
      <w:proofErr w:type="gramEnd"/>
      <w:r w:rsidR="00542B32" w:rsidRPr="00542B32">
        <w:rPr>
          <w:b/>
          <w:i/>
        </w:rPr>
        <w:t>.</w:t>
      </w:r>
    </w:p>
    <w:p w:rsidR="003B5926" w:rsidRDefault="003B5926" w:rsidP="003B5926">
      <w:pPr>
        <w:pStyle w:val="Heading2"/>
      </w:pPr>
      <w:r>
        <w:t>Test models</w:t>
      </w:r>
    </w:p>
    <w:p w:rsidR="000E43A1" w:rsidRDefault="003B5926" w:rsidP="003B5926">
      <w:r>
        <w:t xml:space="preserve">Although NR has a different frame structure, many aspects of the test models in section 6.1.1 of </w:t>
      </w:r>
      <w:r>
        <w:fldChar w:fldCharType="begin"/>
      </w:r>
      <w:r>
        <w:instrText xml:space="preserve"> REF _Ref513706058 \r \h </w:instrText>
      </w:r>
      <w:r>
        <w:fldChar w:fldCharType="separate"/>
      </w:r>
      <w:r w:rsidR="006077EF">
        <w:t>[3]</w:t>
      </w:r>
      <w:r>
        <w:fldChar w:fldCharType="end"/>
      </w:r>
      <w:r w:rsidR="000E43A1">
        <w:t xml:space="preserve"> </w:t>
      </w:r>
      <w:proofErr w:type="gramStart"/>
      <w:r w:rsidR="000E43A1">
        <w:t>can be reused</w:t>
      </w:r>
      <w:proofErr w:type="gramEnd"/>
      <w:r>
        <w:t>.</w:t>
      </w:r>
      <w:r w:rsidR="00570857">
        <w:t xml:space="preserve"> </w:t>
      </w:r>
      <w:r w:rsidR="00570857">
        <w:fldChar w:fldCharType="begin"/>
      </w:r>
      <w:r w:rsidR="00570857">
        <w:instrText xml:space="preserve"> REF _Ref514063000 \h </w:instrText>
      </w:r>
      <w:r w:rsidR="00570857">
        <w:fldChar w:fldCharType="separate"/>
      </w:r>
      <w:r w:rsidR="006077EF">
        <w:t xml:space="preserve">Table </w:t>
      </w:r>
      <w:r w:rsidR="006077EF">
        <w:rPr>
          <w:noProof/>
        </w:rPr>
        <w:t>1</w:t>
      </w:r>
      <w:r w:rsidR="00570857">
        <w:fldChar w:fldCharType="end"/>
      </w:r>
      <w:r w:rsidR="00570857">
        <w:t xml:space="preserve"> recites the test models</w:t>
      </w:r>
      <w:r w:rsidR="00733D7E">
        <w:t xml:space="preserve"> for 36.141</w:t>
      </w:r>
      <w:r w:rsidR="00570857">
        <w:t>.</w:t>
      </w:r>
    </w:p>
    <w:p w:rsidR="00FE1F4A" w:rsidRDefault="00FE1F4A" w:rsidP="00FE1F4A">
      <w:pPr>
        <w:pStyle w:val="Caption"/>
        <w:keepNext/>
      </w:pPr>
      <w:bookmarkStart w:id="2" w:name="_Ref514063000"/>
      <w:r>
        <w:t xml:space="preserve">Table </w:t>
      </w:r>
      <w:r w:rsidR="00733D7E">
        <w:fldChar w:fldCharType="begin"/>
      </w:r>
      <w:r w:rsidR="00733D7E">
        <w:instrText xml:space="preserve"> SEQ Table \* ARABIC </w:instrText>
      </w:r>
      <w:r w:rsidR="00733D7E">
        <w:fldChar w:fldCharType="separate"/>
      </w:r>
      <w:r w:rsidR="006077EF">
        <w:rPr>
          <w:noProof/>
        </w:rPr>
        <w:t>1</w:t>
      </w:r>
      <w:r w:rsidR="00733D7E">
        <w:rPr>
          <w:noProof/>
        </w:rPr>
        <w:fldChar w:fldCharType="end"/>
      </w:r>
      <w:bookmarkEnd w:id="2"/>
      <w:r w:rsidR="00570857">
        <w:t>. Test models from 3</w:t>
      </w:r>
      <w:r w:rsidR="00733D7E">
        <w:t>6</w:t>
      </w:r>
      <w:r w:rsidR="00570857">
        <w:t>.141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900"/>
        <w:gridCol w:w="6295"/>
      </w:tblGrid>
      <w:tr w:rsidR="002843E3" w:rsidTr="002843E3">
        <w:tc>
          <w:tcPr>
            <w:tcW w:w="2155" w:type="dxa"/>
          </w:tcPr>
          <w:p w:rsidR="002843E3" w:rsidRDefault="002843E3" w:rsidP="002843E3">
            <w:pPr>
              <w:pStyle w:val="TableCell"/>
            </w:pPr>
            <w:r>
              <w:t>Section within 36.141</w:t>
            </w:r>
          </w:p>
        </w:tc>
        <w:tc>
          <w:tcPr>
            <w:tcW w:w="900" w:type="dxa"/>
          </w:tcPr>
          <w:p w:rsidR="002843E3" w:rsidRDefault="002843E3" w:rsidP="002843E3">
            <w:pPr>
              <w:pStyle w:val="TableCell"/>
            </w:pPr>
            <w:r>
              <w:t>Model</w:t>
            </w:r>
          </w:p>
        </w:tc>
        <w:tc>
          <w:tcPr>
            <w:tcW w:w="6295" w:type="dxa"/>
          </w:tcPr>
          <w:p w:rsidR="002843E3" w:rsidRDefault="002843E3" w:rsidP="002843E3">
            <w:pPr>
              <w:pStyle w:val="TableCell"/>
            </w:pPr>
            <w:r>
              <w:t>Goals</w:t>
            </w:r>
          </w:p>
        </w:tc>
      </w:tr>
      <w:tr w:rsidR="002843E3" w:rsidTr="002843E3">
        <w:tc>
          <w:tcPr>
            <w:tcW w:w="2155" w:type="dxa"/>
          </w:tcPr>
          <w:p w:rsidR="002843E3" w:rsidRDefault="002843E3" w:rsidP="002843E3">
            <w:pPr>
              <w:pStyle w:val="TableCell"/>
            </w:pPr>
            <w:r w:rsidRPr="002843E3">
              <w:t>6.1.1.1</w:t>
            </w:r>
          </w:p>
        </w:tc>
        <w:tc>
          <w:tcPr>
            <w:tcW w:w="900" w:type="dxa"/>
          </w:tcPr>
          <w:p w:rsidR="002843E3" w:rsidRDefault="002843E3" w:rsidP="002843E3">
            <w:pPr>
              <w:pStyle w:val="TableCell"/>
            </w:pPr>
            <w:r>
              <w:t>1.1</w:t>
            </w:r>
          </w:p>
        </w:tc>
        <w:tc>
          <w:tcPr>
            <w:tcW w:w="6295" w:type="dxa"/>
          </w:tcPr>
          <w:p w:rsidR="002843E3" w:rsidRDefault="002843E3" w:rsidP="002843E3">
            <w:pPr>
              <w:pStyle w:val="TableCell"/>
            </w:pPr>
            <w:r>
              <w:t>BS output power</w:t>
            </w:r>
          </w:p>
          <w:p w:rsidR="002843E3" w:rsidRDefault="002843E3" w:rsidP="006D5468">
            <w:pPr>
              <w:pStyle w:val="TableCell"/>
              <w:tabs>
                <w:tab w:val="left" w:pos="360"/>
              </w:tabs>
            </w:pPr>
            <w:r>
              <w:t>Unwanted emissions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Occupied bandwidth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ACLR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Operating band unwanted emissions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Transmitter spurious emissions</w:t>
            </w:r>
          </w:p>
          <w:p w:rsidR="002843E3" w:rsidRDefault="002843E3" w:rsidP="006D5468">
            <w:pPr>
              <w:pStyle w:val="TableCell"/>
              <w:tabs>
                <w:tab w:val="left" w:pos="360"/>
              </w:tabs>
            </w:pPr>
            <w:r>
              <w:t>Transmitter intermodulation</w:t>
            </w:r>
          </w:p>
          <w:p w:rsidR="002843E3" w:rsidRDefault="002843E3" w:rsidP="006D5468">
            <w:pPr>
              <w:pStyle w:val="TableCell"/>
              <w:tabs>
                <w:tab w:val="left" w:pos="360"/>
              </w:tabs>
            </w:pPr>
            <w:r>
              <w:t>RS absolute accuracy</w:t>
            </w:r>
          </w:p>
        </w:tc>
      </w:tr>
      <w:tr w:rsidR="002843E3" w:rsidTr="002843E3">
        <w:tc>
          <w:tcPr>
            <w:tcW w:w="2155" w:type="dxa"/>
          </w:tcPr>
          <w:p w:rsidR="002843E3" w:rsidRDefault="002843E3" w:rsidP="002843E3">
            <w:pPr>
              <w:pStyle w:val="TableCell"/>
            </w:pPr>
            <w:r>
              <w:t>6.1.1.2</w:t>
            </w:r>
          </w:p>
        </w:tc>
        <w:tc>
          <w:tcPr>
            <w:tcW w:w="900" w:type="dxa"/>
          </w:tcPr>
          <w:p w:rsidR="002843E3" w:rsidRDefault="002843E3" w:rsidP="002843E3">
            <w:pPr>
              <w:pStyle w:val="TableCell"/>
            </w:pPr>
            <w:r>
              <w:t>1.2</w:t>
            </w:r>
          </w:p>
        </w:tc>
        <w:tc>
          <w:tcPr>
            <w:tcW w:w="6295" w:type="dxa"/>
          </w:tcPr>
          <w:p w:rsidR="002843E3" w:rsidRDefault="002843E3" w:rsidP="006077EF">
            <w:pPr>
              <w:pStyle w:val="TableCell"/>
              <w:ind w:left="360" w:hanging="360"/>
            </w:pPr>
            <w:r>
              <w:t>Unwanted emissions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ACLR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Operating band unwanted emissions</w:t>
            </w:r>
          </w:p>
        </w:tc>
      </w:tr>
      <w:tr w:rsidR="002843E3" w:rsidTr="002843E3">
        <w:tc>
          <w:tcPr>
            <w:tcW w:w="2155" w:type="dxa"/>
          </w:tcPr>
          <w:p w:rsidR="002843E3" w:rsidRDefault="002843E3" w:rsidP="002843E3">
            <w:pPr>
              <w:pStyle w:val="TableCell"/>
            </w:pPr>
            <w:r>
              <w:t>6.1.1.3</w:t>
            </w:r>
          </w:p>
        </w:tc>
        <w:tc>
          <w:tcPr>
            <w:tcW w:w="900" w:type="dxa"/>
          </w:tcPr>
          <w:p w:rsidR="002843E3" w:rsidRDefault="002843E3" w:rsidP="002843E3">
            <w:pPr>
              <w:pStyle w:val="TableCell"/>
            </w:pPr>
            <w:r>
              <w:t>2</w:t>
            </w:r>
          </w:p>
        </w:tc>
        <w:tc>
          <w:tcPr>
            <w:tcW w:w="6295" w:type="dxa"/>
          </w:tcPr>
          <w:p w:rsidR="002843E3" w:rsidRDefault="002843E3" w:rsidP="006077EF">
            <w:pPr>
              <w:pStyle w:val="TableCell"/>
              <w:ind w:left="360" w:hanging="360"/>
            </w:pPr>
            <w:r>
              <w:t>Total power dynamic range (lower OFDM symbol power limit at min power),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EVM of single 64QAM PRB allocation (at min power)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Frequency error (at min power)</w:t>
            </w:r>
          </w:p>
        </w:tc>
      </w:tr>
      <w:tr w:rsidR="002843E3" w:rsidTr="002843E3">
        <w:tc>
          <w:tcPr>
            <w:tcW w:w="2155" w:type="dxa"/>
          </w:tcPr>
          <w:p w:rsidR="002843E3" w:rsidRDefault="002843E3" w:rsidP="002843E3">
            <w:pPr>
              <w:pStyle w:val="TableCell"/>
            </w:pPr>
            <w:r>
              <w:t>6.1.1.3a</w:t>
            </w:r>
          </w:p>
        </w:tc>
        <w:tc>
          <w:tcPr>
            <w:tcW w:w="900" w:type="dxa"/>
          </w:tcPr>
          <w:p w:rsidR="002843E3" w:rsidRDefault="002843E3" w:rsidP="002843E3">
            <w:pPr>
              <w:pStyle w:val="TableCell"/>
            </w:pPr>
            <w:r>
              <w:t>2a</w:t>
            </w:r>
          </w:p>
        </w:tc>
        <w:tc>
          <w:tcPr>
            <w:tcW w:w="6295" w:type="dxa"/>
          </w:tcPr>
          <w:p w:rsidR="002843E3" w:rsidRDefault="002843E3" w:rsidP="006077EF">
            <w:pPr>
              <w:pStyle w:val="TableCell"/>
              <w:ind w:left="360" w:hanging="360"/>
            </w:pPr>
            <w:r>
              <w:t>Total power dynamic range (lower OFDM symbol power limit at min power),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EVM of single 256QAM PRB allocation (at min power)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Frequency error (at min power)</w:t>
            </w:r>
          </w:p>
        </w:tc>
      </w:tr>
      <w:tr w:rsidR="002843E3" w:rsidTr="002843E3">
        <w:tc>
          <w:tcPr>
            <w:tcW w:w="2155" w:type="dxa"/>
          </w:tcPr>
          <w:p w:rsidR="002843E3" w:rsidRDefault="002843E3" w:rsidP="002843E3">
            <w:pPr>
              <w:pStyle w:val="TableCell"/>
            </w:pPr>
            <w:r w:rsidRPr="00E3724E">
              <w:t>6.1.1.4</w:t>
            </w:r>
          </w:p>
        </w:tc>
        <w:tc>
          <w:tcPr>
            <w:tcW w:w="900" w:type="dxa"/>
          </w:tcPr>
          <w:p w:rsidR="002843E3" w:rsidRDefault="002843E3" w:rsidP="002843E3">
            <w:pPr>
              <w:pStyle w:val="TableCell"/>
            </w:pPr>
            <w:r>
              <w:t>3.1</w:t>
            </w:r>
          </w:p>
        </w:tc>
        <w:tc>
          <w:tcPr>
            <w:tcW w:w="6295" w:type="dxa"/>
          </w:tcPr>
          <w:p w:rsidR="002843E3" w:rsidRDefault="002843E3" w:rsidP="006077EF">
            <w:pPr>
              <w:pStyle w:val="TableCell"/>
              <w:ind w:left="360" w:hanging="360"/>
            </w:pPr>
            <w:r>
              <w:t>Output power dynamics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Total power dynamic range (upper OFDM symbol power limit at max power with all 64QAM PRBs allocated)</w:t>
            </w:r>
          </w:p>
          <w:p w:rsidR="002843E3" w:rsidRDefault="002843E3" w:rsidP="006077EF">
            <w:pPr>
              <w:pStyle w:val="TableCell"/>
              <w:ind w:left="360" w:hanging="360"/>
            </w:pPr>
            <w:r>
              <w:t>Transmitted signal quality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Frequency error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EVM for 64QAM modulation (at max power)</w:t>
            </w:r>
          </w:p>
        </w:tc>
      </w:tr>
      <w:tr w:rsidR="002843E3" w:rsidTr="002843E3">
        <w:tc>
          <w:tcPr>
            <w:tcW w:w="2155" w:type="dxa"/>
          </w:tcPr>
          <w:p w:rsidR="002843E3" w:rsidRDefault="002843E3" w:rsidP="002843E3">
            <w:pPr>
              <w:pStyle w:val="TableCell"/>
            </w:pPr>
            <w:r>
              <w:t>6.1.1.4a</w:t>
            </w:r>
          </w:p>
        </w:tc>
        <w:tc>
          <w:tcPr>
            <w:tcW w:w="900" w:type="dxa"/>
          </w:tcPr>
          <w:p w:rsidR="002843E3" w:rsidRDefault="002843E3" w:rsidP="002843E3">
            <w:pPr>
              <w:pStyle w:val="TableCell"/>
            </w:pPr>
            <w:r>
              <w:t>3.1a</w:t>
            </w:r>
          </w:p>
        </w:tc>
        <w:tc>
          <w:tcPr>
            <w:tcW w:w="6295" w:type="dxa"/>
          </w:tcPr>
          <w:p w:rsidR="002843E3" w:rsidRDefault="002843E3" w:rsidP="006077EF">
            <w:pPr>
              <w:pStyle w:val="TableCell"/>
              <w:ind w:left="360" w:hanging="360"/>
            </w:pPr>
            <w:r>
              <w:t>Output power dynamics</w:t>
            </w:r>
          </w:p>
          <w:p w:rsidR="002843E3" w:rsidRDefault="002843E3" w:rsidP="006D5468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Total power dynamic range (upper OFDM symbol power limit at max power with all 256QAM PRBs allocated)</w:t>
            </w:r>
          </w:p>
          <w:p w:rsidR="002843E3" w:rsidRDefault="002843E3" w:rsidP="006077EF">
            <w:pPr>
              <w:pStyle w:val="TableCell"/>
              <w:ind w:left="360" w:hanging="360"/>
            </w:pPr>
            <w:r>
              <w:t>Transmitted signal quality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Frequency error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EVM for 256QAM modulation (at max power)</w:t>
            </w:r>
          </w:p>
        </w:tc>
      </w:tr>
      <w:tr w:rsidR="002843E3" w:rsidTr="002843E3">
        <w:tc>
          <w:tcPr>
            <w:tcW w:w="2155" w:type="dxa"/>
          </w:tcPr>
          <w:p w:rsidR="002843E3" w:rsidRDefault="002843E3" w:rsidP="002843E3">
            <w:pPr>
              <w:pStyle w:val="TableCell"/>
            </w:pPr>
            <w:r>
              <w:t>6.1.1.5</w:t>
            </w:r>
          </w:p>
        </w:tc>
        <w:tc>
          <w:tcPr>
            <w:tcW w:w="900" w:type="dxa"/>
          </w:tcPr>
          <w:p w:rsidR="002843E3" w:rsidRDefault="002843E3" w:rsidP="002843E3">
            <w:pPr>
              <w:pStyle w:val="TableCell"/>
            </w:pPr>
            <w:r>
              <w:t>3.2</w:t>
            </w:r>
          </w:p>
        </w:tc>
        <w:tc>
          <w:tcPr>
            <w:tcW w:w="6295" w:type="dxa"/>
          </w:tcPr>
          <w:p w:rsidR="002843E3" w:rsidRDefault="002843E3" w:rsidP="006077EF">
            <w:pPr>
              <w:pStyle w:val="TableCell"/>
              <w:ind w:left="360" w:hanging="360"/>
            </w:pPr>
            <w:r>
              <w:t>Transmitted signal quality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Frequency error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EVM for 16QAM modulation</w:t>
            </w:r>
          </w:p>
        </w:tc>
      </w:tr>
      <w:tr w:rsidR="002843E3" w:rsidTr="002843E3">
        <w:tc>
          <w:tcPr>
            <w:tcW w:w="2155" w:type="dxa"/>
          </w:tcPr>
          <w:p w:rsidR="002843E3" w:rsidRDefault="002843E3" w:rsidP="002843E3">
            <w:pPr>
              <w:pStyle w:val="TableCell"/>
            </w:pPr>
            <w:r>
              <w:t>6.1.1.6</w:t>
            </w:r>
          </w:p>
        </w:tc>
        <w:tc>
          <w:tcPr>
            <w:tcW w:w="900" w:type="dxa"/>
          </w:tcPr>
          <w:p w:rsidR="002843E3" w:rsidRDefault="002843E3" w:rsidP="002843E3">
            <w:pPr>
              <w:pStyle w:val="TableCell"/>
            </w:pPr>
            <w:r>
              <w:t>3.3</w:t>
            </w:r>
          </w:p>
        </w:tc>
        <w:tc>
          <w:tcPr>
            <w:tcW w:w="6295" w:type="dxa"/>
          </w:tcPr>
          <w:p w:rsidR="002843E3" w:rsidRDefault="002843E3" w:rsidP="006077EF">
            <w:pPr>
              <w:pStyle w:val="TableCell"/>
              <w:ind w:left="360" w:hanging="360"/>
            </w:pPr>
            <w:r>
              <w:t>Transmitted signal quality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Frequency error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EVM for QPSK modulation</w:t>
            </w:r>
          </w:p>
        </w:tc>
      </w:tr>
    </w:tbl>
    <w:p w:rsidR="000E43A1" w:rsidRDefault="000E43A1" w:rsidP="003B5926"/>
    <w:p w:rsidR="000E08D1" w:rsidRDefault="000E08D1" w:rsidP="000E08D1">
      <w:pPr>
        <w:pStyle w:val="Heading3"/>
      </w:pPr>
      <w:r>
        <w:lastRenderedPageBreak/>
        <w:t>Modulation, SCS, Bandwidths</w:t>
      </w:r>
    </w:p>
    <w:p w:rsidR="00FE1F4A" w:rsidRDefault="002843E3" w:rsidP="003B5926">
      <w:r>
        <w:t xml:space="preserve">Most of the </w:t>
      </w:r>
      <w:r w:rsidR="00FE1F4A">
        <w:t>test cases for LTE are applicable to NR. However, since the features of NR are generally a superset of LTE, reducing test scenarios</w:t>
      </w:r>
      <w:r w:rsidR="00733D7E">
        <w:t>, as stated in the WF</w:t>
      </w:r>
      <w:r w:rsidR="00733D7E">
        <w:t xml:space="preserve"> </w:t>
      </w:r>
      <w:r w:rsidR="00733D7E">
        <w:fldChar w:fldCharType="begin"/>
      </w:r>
      <w:r w:rsidR="00733D7E">
        <w:instrText xml:space="preserve"> REF _Ref513647682 \r \h </w:instrText>
      </w:r>
      <w:r w:rsidR="00733D7E">
        <w:fldChar w:fldCharType="separate"/>
      </w:r>
      <w:r w:rsidR="00733D7E">
        <w:t>[2]</w:t>
      </w:r>
      <w:r w:rsidR="00733D7E">
        <w:fldChar w:fldCharType="end"/>
      </w:r>
      <w:r w:rsidR="00733D7E">
        <w:t>, are will be examined</w:t>
      </w:r>
      <w:r w:rsidR="00FE1F4A">
        <w:t xml:space="preserve">. </w:t>
      </w:r>
      <w:proofErr w:type="gramStart"/>
      <w:r w:rsidR="00FE1F4A">
        <w:t>Consider</w:t>
      </w:r>
      <w:proofErr w:type="gramEnd"/>
      <w:r w:rsidR="00E13C34">
        <w:t xml:space="preserve"> the modulation and SCS combinations in </w:t>
      </w:r>
      <w:r w:rsidR="00E13C34">
        <w:fldChar w:fldCharType="begin"/>
      </w:r>
      <w:r w:rsidR="00E13C34">
        <w:instrText xml:space="preserve"> REF _Ref514062944 \h </w:instrText>
      </w:r>
      <w:r w:rsidR="00E13C34">
        <w:fldChar w:fldCharType="separate"/>
      </w:r>
      <w:r w:rsidR="006077EF">
        <w:t xml:space="preserve">Table </w:t>
      </w:r>
      <w:r w:rsidR="006077EF">
        <w:rPr>
          <w:noProof/>
        </w:rPr>
        <w:t>2</w:t>
      </w:r>
      <w:r w:rsidR="00E13C34">
        <w:fldChar w:fldCharType="end"/>
      </w:r>
      <w:r w:rsidR="00E13C34">
        <w:t>.</w:t>
      </w:r>
    </w:p>
    <w:p w:rsidR="00FE1F4A" w:rsidRDefault="00FE1F4A" w:rsidP="00FE1F4A">
      <w:pPr>
        <w:pStyle w:val="Caption"/>
        <w:keepNext/>
      </w:pPr>
      <w:bookmarkStart w:id="3" w:name="_Ref514062944"/>
      <w:r>
        <w:t xml:space="preserve">Table </w:t>
      </w:r>
      <w:r w:rsidR="00733D7E">
        <w:fldChar w:fldCharType="begin"/>
      </w:r>
      <w:r w:rsidR="00733D7E">
        <w:instrText xml:space="preserve"> SEQ Table \* ARABIC </w:instrText>
      </w:r>
      <w:r w:rsidR="00733D7E">
        <w:fldChar w:fldCharType="separate"/>
      </w:r>
      <w:r w:rsidR="006077EF">
        <w:rPr>
          <w:noProof/>
        </w:rPr>
        <w:t>2</w:t>
      </w:r>
      <w:r w:rsidR="00733D7E">
        <w:rPr>
          <w:noProof/>
        </w:rPr>
        <w:fldChar w:fldCharType="end"/>
      </w:r>
      <w:bookmarkEnd w:id="3"/>
      <w:r w:rsidR="00E13C34">
        <w:t>. Possible modulation and SCS combinations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</w:tblGrid>
      <w:tr w:rsidR="00FE1F4A" w:rsidTr="00FE1F4A">
        <w:trPr>
          <w:jc w:val="center"/>
        </w:trPr>
        <w:tc>
          <w:tcPr>
            <w:tcW w:w="2337" w:type="dxa"/>
          </w:tcPr>
          <w:p w:rsidR="00FE1F4A" w:rsidRDefault="00FE1F4A" w:rsidP="00FE1F4A">
            <w:pPr>
              <w:pStyle w:val="TableCell"/>
            </w:pPr>
            <w:r>
              <w:t>Modulation</w:t>
            </w:r>
          </w:p>
        </w:tc>
        <w:tc>
          <w:tcPr>
            <w:tcW w:w="2337" w:type="dxa"/>
          </w:tcPr>
          <w:p w:rsidR="00FE1F4A" w:rsidRDefault="00FE1F4A" w:rsidP="00FE1F4A">
            <w:pPr>
              <w:pStyle w:val="TableCell"/>
            </w:pPr>
            <w:r>
              <w:t>SCS</w:t>
            </w:r>
          </w:p>
        </w:tc>
        <w:tc>
          <w:tcPr>
            <w:tcW w:w="2338" w:type="dxa"/>
          </w:tcPr>
          <w:p w:rsidR="00FE1F4A" w:rsidRDefault="00E13C34" w:rsidP="00FE1F4A">
            <w:pPr>
              <w:pStyle w:val="TableCell"/>
            </w:pPr>
            <w:r>
              <w:t>Comments</w:t>
            </w:r>
          </w:p>
        </w:tc>
      </w:tr>
      <w:tr w:rsidR="00E13C34" w:rsidTr="00E13C34">
        <w:trPr>
          <w:jc w:val="center"/>
        </w:trPr>
        <w:tc>
          <w:tcPr>
            <w:tcW w:w="2337" w:type="dxa"/>
            <w:vMerge w:val="restart"/>
            <w:vAlign w:val="center"/>
          </w:tcPr>
          <w:p w:rsidR="00E13C34" w:rsidRDefault="00E13C34" w:rsidP="00E13C34">
            <w:pPr>
              <w:pStyle w:val="TableCell"/>
            </w:pPr>
            <w:r>
              <w:t>pi/2 – BPSK</w:t>
            </w:r>
          </w:p>
        </w:tc>
        <w:tc>
          <w:tcPr>
            <w:tcW w:w="2337" w:type="dxa"/>
          </w:tcPr>
          <w:p w:rsidR="00E13C34" w:rsidRDefault="00E13C34" w:rsidP="00FE1F4A">
            <w:pPr>
              <w:pStyle w:val="TableCell"/>
            </w:pPr>
            <w:r>
              <w:t>FR1: 15, 30, [60]</w:t>
            </w:r>
          </w:p>
        </w:tc>
        <w:tc>
          <w:tcPr>
            <w:tcW w:w="2338" w:type="dxa"/>
          </w:tcPr>
          <w:p w:rsidR="00E13C34" w:rsidRDefault="00E13C34" w:rsidP="00FE1F4A">
            <w:pPr>
              <w:pStyle w:val="TableCell"/>
            </w:pPr>
          </w:p>
        </w:tc>
      </w:tr>
      <w:tr w:rsidR="00E13C34" w:rsidTr="00E13C34">
        <w:trPr>
          <w:jc w:val="center"/>
        </w:trPr>
        <w:tc>
          <w:tcPr>
            <w:tcW w:w="2337" w:type="dxa"/>
            <w:vMerge/>
            <w:vAlign w:val="center"/>
          </w:tcPr>
          <w:p w:rsidR="00E13C34" w:rsidRDefault="00E13C34" w:rsidP="00E13C34">
            <w:pPr>
              <w:pStyle w:val="TableCell"/>
            </w:pPr>
          </w:p>
        </w:tc>
        <w:tc>
          <w:tcPr>
            <w:tcW w:w="2337" w:type="dxa"/>
          </w:tcPr>
          <w:p w:rsidR="00E13C34" w:rsidRDefault="00E13C34" w:rsidP="00FE1F4A">
            <w:pPr>
              <w:pStyle w:val="TableCell"/>
            </w:pPr>
            <w:r>
              <w:t>FR2: 60, 120, [240]</w:t>
            </w:r>
          </w:p>
        </w:tc>
        <w:tc>
          <w:tcPr>
            <w:tcW w:w="2338" w:type="dxa"/>
          </w:tcPr>
          <w:p w:rsidR="00E13C34" w:rsidRDefault="00E13C34" w:rsidP="00FE1F4A">
            <w:pPr>
              <w:pStyle w:val="TableCell"/>
            </w:pPr>
          </w:p>
        </w:tc>
      </w:tr>
      <w:tr w:rsidR="00E13C34" w:rsidTr="00E13C34">
        <w:trPr>
          <w:jc w:val="center"/>
        </w:trPr>
        <w:tc>
          <w:tcPr>
            <w:tcW w:w="2337" w:type="dxa"/>
            <w:vMerge w:val="restart"/>
            <w:vAlign w:val="center"/>
          </w:tcPr>
          <w:p w:rsidR="00E13C34" w:rsidRDefault="00E13C34" w:rsidP="00E13C34">
            <w:pPr>
              <w:pStyle w:val="TableCell"/>
            </w:pPr>
            <w:r>
              <w:t>QPSK</w:t>
            </w:r>
          </w:p>
        </w:tc>
        <w:tc>
          <w:tcPr>
            <w:tcW w:w="2337" w:type="dxa"/>
          </w:tcPr>
          <w:p w:rsidR="00E13C34" w:rsidRDefault="00E13C34" w:rsidP="00FE1F4A">
            <w:pPr>
              <w:pStyle w:val="TableCell"/>
            </w:pPr>
            <w:r>
              <w:t>FR1: 15, 30, [60]</w:t>
            </w:r>
          </w:p>
        </w:tc>
        <w:tc>
          <w:tcPr>
            <w:tcW w:w="2338" w:type="dxa"/>
          </w:tcPr>
          <w:p w:rsidR="00E13C34" w:rsidRDefault="00E13C34" w:rsidP="00FE1F4A">
            <w:pPr>
              <w:pStyle w:val="TableCell"/>
            </w:pPr>
          </w:p>
        </w:tc>
      </w:tr>
      <w:tr w:rsidR="00E13C34" w:rsidTr="00E13C34">
        <w:trPr>
          <w:jc w:val="center"/>
        </w:trPr>
        <w:tc>
          <w:tcPr>
            <w:tcW w:w="2337" w:type="dxa"/>
            <w:vMerge/>
            <w:vAlign w:val="center"/>
          </w:tcPr>
          <w:p w:rsidR="00E13C34" w:rsidRDefault="00E13C34" w:rsidP="00E13C34">
            <w:pPr>
              <w:pStyle w:val="TableCell"/>
            </w:pPr>
          </w:p>
        </w:tc>
        <w:tc>
          <w:tcPr>
            <w:tcW w:w="2337" w:type="dxa"/>
          </w:tcPr>
          <w:p w:rsidR="00E13C34" w:rsidRDefault="00E13C34" w:rsidP="00FE1F4A">
            <w:pPr>
              <w:pStyle w:val="TableCell"/>
            </w:pPr>
            <w:r>
              <w:t>FR2: 60, 120, [240]</w:t>
            </w:r>
          </w:p>
        </w:tc>
        <w:tc>
          <w:tcPr>
            <w:tcW w:w="2338" w:type="dxa"/>
          </w:tcPr>
          <w:p w:rsidR="00E13C34" w:rsidRDefault="00E13C34" w:rsidP="00FE1F4A">
            <w:pPr>
              <w:pStyle w:val="TableCell"/>
            </w:pPr>
          </w:p>
        </w:tc>
      </w:tr>
      <w:tr w:rsidR="00E13C34" w:rsidTr="00E13C34">
        <w:trPr>
          <w:jc w:val="center"/>
        </w:trPr>
        <w:tc>
          <w:tcPr>
            <w:tcW w:w="2337" w:type="dxa"/>
            <w:vMerge w:val="restart"/>
            <w:vAlign w:val="center"/>
          </w:tcPr>
          <w:p w:rsidR="00E13C34" w:rsidRDefault="00E13C34" w:rsidP="00E13C34">
            <w:pPr>
              <w:pStyle w:val="TableCell"/>
            </w:pPr>
            <w:r>
              <w:t>16-QAM</w:t>
            </w:r>
          </w:p>
        </w:tc>
        <w:tc>
          <w:tcPr>
            <w:tcW w:w="2337" w:type="dxa"/>
          </w:tcPr>
          <w:p w:rsidR="00E13C34" w:rsidRDefault="00E13C34" w:rsidP="00FE1F4A">
            <w:pPr>
              <w:pStyle w:val="TableCell"/>
            </w:pPr>
            <w:r>
              <w:t>FR1: 15, 30, [60]</w:t>
            </w:r>
          </w:p>
        </w:tc>
        <w:tc>
          <w:tcPr>
            <w:tcW w:w="2338" w:type="dxa"/>
          </w:tcPr>
          <w:p w:rsidR="00E13C34" w:rsidRDefault="00E13C34" w:rsidP="00FE1F4A">
            <w:pPr>
              <w:pStyle w:val="TableCell"/>
            </w:pPr>
          </w:p>
        </w:tc>
      </w:tr>
      <w:tr w:rsidR="00E13C34" w:rsidTr="00E13C34">
        <w:trPr>
          <w:jc w:val="center"/>
        </w:trPr>
        <w:tc>
          <w:tcPr>
            <w:tcW w:w="2337" w:type="dxa"/>
            <w:vMerge/>
            <w:vAlign w:val="center"/>
          </w:tcPr>
          <w:p w:rsidR="00E13C34" w:rsidRDefault="00E13C34" w:rsidP="00E13C34">
            <w:pPr>
              <w:pStyle w:val="TableCell"/>
            </w:pPr>
          </w:p>
        </w:tc>
        <w:tc>
          <w:tcPr>
            <w:tcW w:w="2337" w:type="dxa"/>
          </w:tcPr>
          <w:p w:rsidR="00E13C34" w:rsidRDefault="00E13C34" w:rsidP="00FE1F4A">
            <w:pPr>
              <w:pStyle w:val="TableCell"/>
            </w:pPr>
            <w:r>
              <w:t>FR2: 60, 120, [240]</w:t>
            </w:r>
          </w:p>
        </w:tc>
        <w:tc>
          <w:tcPr>
            <w:tcW w:w="2338" w:type="dxa"/>
          </w:tcPr>
          <w:p w:rsidR="00E13C34" w:rsidRDefault="00E13C34" w:rsidP="00FE1F4A">
            <w:pPr>
              <w:pStyle w:val="TableCell"/>
            </w:pPr>
          </w:p>
        </w:tc>
      </w:tr>
      <w:tr w:rsidR="00E13C34" w:rsidTr="00E13C34">
        <w:trPr>
          <w:jc w:val="center"/>
        </w:trPr>
        <w:tc>
          <w:tcPr>
            <w:tcW w:w="2337" w:type="dxa"/>
            <w:vMerge w:val="restart"/>
            <w:vAlign w:val="center"/>
          </w:tcPr>
          <w:p w:rsidR="00E13C34" w:rsidRDefault="00E13C34" w:rsidP="00E13C34">
            <w:pPr>
              <w:pStyle w:val="TableCell"/>
            </w:pPr>
            <w:r>
              <w:t>64-QAM</w:t>
            </w:r>
          </w:p>
        </w:tc>
        <w:tc>
          <w:tcPr>
            <w:tcW w:w="2337" w:type="dxa"/>
          </w:tcPr>
          <w:p w:rsidR="00E13C34" w:rsidRDefault="00E13C34" w:rsidP="00FE1F4A">
            <w:pPr>
              <w:pStyle w:val="TableCell"/>
            </w:pPr>
            <w:r>
              <w:t>FR1: 15, 30, [60]</w:t>
            </w:r>
          </w:p>
        </w:tc>
        <w:tc>
          <w:tcPr>
            <w:tcW w:w="2338" w:type="dxa"/>
          </w:tcPr>
          <w:p w:rsidR="00E13C34" w:rsidRDefault="00E13C34" w:rsidP="00FE1F4A">
            <w:pPr>
              <w:pStyle w:val="TableCell"/>
            </w:pPr>
          </w:p>
        </w:tc>
      </w:tr>
      <w:tr w:rsidR="00E13C34" w:rsidTr="00E13C34">
        <w:trPr>
          <w:jc w:val="center"/>
        </w:trPr>
        <w:tc>
          <w:tcPr>
            <w:tcW w:w="2337" w:type="dxa"/>
            <w:vMerge/>
            <w:vAlign w:val="center"/>
          </w:tcPr>
          <w:p w:rsidR="00E13C34" w:rsidRDefault="00E13C34" w:rsidP="00E13C34">
            <w:pPr>
              <w:pStyle w:val="TableCell"/>
            </w:pPr>
          </w:p>
        </w:tc>
        <w:tc>
          <w:tcPr>
            <w:tcW w:w="2337" w:type="dxa"/>
          </w:tcPr>
          <w:p w:rsidR="00E13C34" w:rsidRDefault="00E13C34" w:rsidP="00FE1F4A">
            <w:pPr>
              <w:pStyle w:val="TableCell"/>
            </w:pPr>
            <w:r>
              <w:t>FR2: 60, 120, [240]</w:t>
            </w:r>
          </w:p>
        </w:tc>
        <w:tc>
          <w:tcPr>
            <w:tcW w:w="2338" w:type="dxa"/>
          </w:tcPr>
          <w:p w:rsidR="00E13C34" w:rsidRDefault="00E13C34" w:rsidP="00FE1F4A">
            <w:pPr>
              <w:pStyle w:val="TableCell"/>
            </w:pPr>
          </w:p>
        </w:tc>
      </w:tr>
      <w:tr w:rsidR="00E13C34" w:rsidTr="00E13C34">
        <w:trPr>
          <w:jc w:val="center"/>
        </w:trPr>
        <w:tc>
          <w:tcPr>
            <w:tcW w:w="2337" w:type="dxa"/>
            <w:vMerge w:val="restart"/>
            <w:vAlign w:val="center"/>
          </w:tcPr>
          <w:p w:rsidR="00E13C34" w:rsidRDefault="00E13C34" w:rsidP="00E13C34">
            <w:pPr>
              <w:pStyle w:val="TableCell"/>
            </w:pPr>
            <w:r>
              <w:t>256-QAM</w:t>
            </w:r>
          </w:p>
        </w:tc>
        <w:tc>
          <w:tcPr>
            <w:tcW w:w="2337" w:type="dxa"/>
          </w:tcPr>
          <w:p w:rsidR="00E13C34" w:rsidRDefault="00E13C34" w:rsidP="00FE1F4A">
            <w:pPr>
              <w:pStyle w:val="TableCell"/>
            </w:pPr>
            <w:r>
              <w:t>FR1: 15, 30, [60]</w:t>
            </w:r>
          </w:p>
        </w:tc>
        <w:tc>
          <w:tcPr>
            <w:tcW w:w="2338" w:type="dxa"/>
          </w:tcPr>
          <w:p w:rsidR="00E13C34" w:rsidRDefault="00E13C34" w:rsidP="00FE1F4A">
            <w:pPr>
              <w:pStyle w:val="TableCell"/>
            </w:pPr>
          </w:p>
        </w:tc>
      </w:tr>
      <w:tr w:rsidR="00E13C34" w:rsidTr="00E13C34">
        <w:trPr>
          <w:jc w:val="center"/>
        </w:trPr>
        <w:tc>
          <w:tcPr>
            <w:tcW w:w="2337" w:type="dxa"/>
            <w:vMerge/>
            <w:vAlign w:val="center"/>
          </w:tcPr>
          <w:p w:rsidR="00E13C34" w:rsidRDefault="00E13C34" w:rsidP="00E13C34">
            <w:pPr>
              <w:pStyle w:val="TableCell"/>
            </w:pPr>
          </w:p>
        </w:tc>
        <w:tc>
          <w:tcPr>
            <w:tcW w:w="2337" w:type="dxa"/>
          </w:tcPr>
          <w:p w:rsidR="00E13C34" w:rsidRDefault="00E13C34" w:rsidP="00E13C34">
            <w:pPr>
              <w:pStyle w:val="TableCell"/>
            </w:pPr>
            <w:r>
              <w:t>[FR2]</w:t>
            </w:r>
          </w:p>
        </w:tc>
        <w:tc>
          <w:tcPr>
            <w:tcW w:w="2338" w:type="dxa"/>
          </w:tcPr>
          <w:p w:rsidR="00E13C34" w:rsidRDefault="00E13C34" w:rsidP="00FE1F4A">
            <w:pPr>
              <w:pStyle w:val="TableCell"/>
            </w:pPr>
            <w:r>
              <w:t>TBD</w:t>
            </w:r>
          </w:p>
        </w:tc>
      </w:tr>
      <w:tr w:rsidR="00E13C34" w:rsidTr="00E13C34">
        <w:trPr>
          <w:jc w:val="center"/>
        </w:trPr>
        <w:tc>
          <w:tcPr>
            <w:tcW w:w="2337" w:type="dxa"/>
            <w:vMerge w:val="restart"/>
            <w:vAlign w:val="center"/>
          </w:tcPr>
          <w:p w:rsidR="00E13C34" w:rsidRDefault="00E13C34" w:rsidP="00E13C34">
            <w:pPr>
              <w:pStyle w:val="TableCell"/>
            </w:pPr>
            <w:r>
              <w:t>[1024-QAM]</w:t>
            </w:r>
          </w:p>
        </w:tc>
        <w:tc>
          <w:tcPr>
            <w:tcW w:w="2337" w:type="dxa"/>
          </w:tcPr>
          <w:p w:rsidR="00E13C34" w:rsidRDefault="00E13C34" w:rsidP="00E13C34">
            <w:pPr>
              <w:pStyle w:val="TableCell"/>
            </w:pPr>
            <w:r>
              <w:t xml:space="preserve">[FR1] </w:t>
            </w:r>
          </w:p>
        </w:tc>
        <w:tc>
          <w:tcPr>
            <w:tcW w:w="2338" w:type="dxa"/>
          </w:tcPr>
          <w:p w:rsidR="00E13C34" w:rsidRDefault="00E13C34" w:rsidP="00FE1F4A">
            <w:pPr>
              <w:pStyle w:val="TableCell"/>
            </w:pPr>
            <w:r>
              <w:t>Defined for LTE</w:t>
            </w:r>
          </w:p>
        </w:tc>
      </w:tr>
      <w:tr w:rsidR="00E13C34" w:rsidTr="00FE1F4A">
        <w:trPr>
          <w:jc w:val="center"/>
        </w:trPr>
        <w:tc>
          <w:tcPr>
            <w:tcW w:w="2337" w:type="dxa"/>
            <w:vMerge/>
          </w:tcPr>
          <w:p w:rsidR="00E13C34" w:rsidRDefault="00E13C34" w:rsidP="00FE1F4A">
            <w:pPr>
              <w:pStyle w:val="TableCell"/>
            </w:pPr>
          </w:p>
        </w:tc>
        <w:tc>
          <w:tcPr>
            <w:tcW w:w="2337" w:type="dxa"/>
          </w:tcPr>
          <w:p w:rsidR="00E13C34" w:rsidRDefault="00E13C34" w:rsidP="00E13C34">
            <w:pPr>
              <w:pStyle w:val="TableCell"/>
            </w:pPr>
            <w:r>
              <w:t>[FR2]</w:t>
            </w:r>
          </w:p>
        </w:tc>
        <w:tc>
          <w:tcPr>
            <w:tcW w:w="2338" w:type="dxa"/>
          </w:tcPr>
          <w:p w:rsidR="00E13C34" w:rsidRDefault="00E13C34" w:rsidP="00FE1F4A">
            <w:pPr>
              <w:pStyle w:val="TableCell"/>
            </w:pPr>
          </w:p>
        </w:tc>
      </w:tr>
    </w:tbl>
    <w:p w:rsidR="000E08D1" w:rsidRDefault="000E08D1" w:rsidP="000E08D1"/>
    <w:p w:rsidR="000E08D1" w:rsidRDefault="000E08D1" w:rsidP="000E08D1"/>
    <w:p w:rsidR="000E08D1" w:rsidRDefault="00E13C34" w:rsidP="000E08D1">
      <w:r>
        <w:t xml:space="preserve">In </w:t>
      </w:r>
      <w:r>
        <w:fldChar w:fldCharType="begin"/>
      </w:r>
      <w:r>
        <w:instrText xml:space="preserve"> REF _Ref514063000 \h </w:instrText>
      </w:r>
      <w:r>
        <w:fldChar w:fldCharType="separate"/>
      </w:r>
      <w:r w:rsidR="006077EF">
        <w:t xml:space="preserve">Table </w:t>
      </w:r>
      <w:r w:rsidR="006077EF">
        <w:rPr>
          <w:noProof/>
        </w:rPr>
        <w:t>1</w:t>
      </w:r>
      <w:r>
        <w:fldChar w:fldCharType="end"/>
      </w:r>
      <w:r>
        <w:t>, there are EVM tests for QPSK, 16</w:t>
      </w:r>
      <w:r w:rsidR="00733D7E">
        <w:t>-</w:t>
      </w:r>
      <w:r>
        <w:t>QAM, 64</w:t>
      </w:r>
      <w:r w:rsidR="00733D7E">
        <w:t>-</w:t>
      </w:r>
      <w:r>
        <w:t>QAM (min and max power), and 256QAM (min and max power) for</w:t>
      </w:r>
      <w:r w:rsidR="00733D7E">
        <w:t xml:space="preserve"> </w:t>
      </w:r>
      <w:proofErr w:type="gramStart"/>
      <w:r w:rsidR="00733D7E">
        <w:t>6</w:t>
      </w:r>
      <w:proofErr w:type="gramEnd"/>
      <w:r w:rsidR="00733D7E">
        <w:t xml:space="preserve"> bandwidth</w:t>
      </w:r>
      <w:r>
        <w:t xml:space="preserve"> LTE. In NR, the SCS combinations and bandwidths increase the number of tests.</w:t>
      </w:r>
      <w:r w:rsidR="000E08D1">
        <w:t xml:space="preserve"> </w:t>
      </w:r>
      <w:r w:rsidR="00733D7E">
        <w:t xml:space="preserve">For NR, the bandwidths </w:t>
      </w:r>
      <w:proofErr w:type="gramStart"/>
      <w:r w:rsidR="00733D7E">
        <w:t>are listed</w:t>
      </w:r>
      <w:proofErr w:type="gramEnd"/>
      <w:r w:rsidR="00733D7E">
        <w:t xml:space="preserve"> in Table 5.3.2-1 (for FR1) and Table 5.3.2-2 (for FR2) </w:t>
      </w:r>
      <w:r w:rsidR="00733D7E">
        <w:fldChar w:fldCharType="begin"/>
      </w:r>
      <w:r w:rsidR="00733D7E">
        <w:instrText xml:space="preserve"> REF _Ref513716167 \r \h </w:instrText>
      </w:r>
      <w:r w:rsidR="00733D7E">
        <w:fldChar w:fldCharType="separate"/>
      </w:r>
      <w:r w:rsidR="00733D7E">
        <w:t>[5]</w:t>
      </w:r>
      <w:r w:rsidR="00733D7E">
        <w:fldChar w:fldCharType="end"/>
      </w:r>
      <w:r w:rsidR="00733D7E">
        <w:t>. Some bandwidth/SCS combinations should be excluded (e.g., 5 MHz and 60 kHz SCS, 60 MHz and 15 kHz SCS).</w:t>
      </w:r>
    </w:p>
    <w:p w:rsidR="00BD4B8B" w:rsidRDefault="00733D7E" w:rsidP="003B5926">
      <w:r>
        <w:t xml:space="preserve">One possible approach to reduce the number of tests </w:t>
      </w:r>
      <w:proofErr w:type="gramStart"/>
      <w:r>
        <w:t>is listed</w:t>
      </w:r>
      <w:proofErr w:type="gramEnd"/>
      <w:r>
        <w:t xml:space="preserve"> in </w:t>
      </w:r>
      <w:r>
        <w:fldChar w:fldCharType="begin"/>
      </w:r>
      <w:r>
        <w:instrText xml:space="preserve"> REF _Ref514063923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>.</w:t>
      </w:r>
    </w:p>
    <w:p w:rsidR="00BD4B8B" w:rsidRDefault="00BD4B8B" w:rsidP="00BD4B8B">
      <w:pPr>
        <w:pStyle w:val="Caption"/>
        <w:keepNext/>
      </w:pPr>
      <w:bookmarkStart w:id="4" w:name="_Ref514063923"/>
      <w:r>
        <w:t xml:space="preserve">Table </w:t>
      </w:r>
      <w:fldSimple w:instr=" SEQ Table \* ARABIC ">
        <w:r w:rsidR="006077EF">
          <w:rPr>
            <w:noProof/>
          </w:rPr>
          <w:t>3</w:t>
        </w:r>
      </w:fldSimple>
      <w:bookmarkEnd w:id="4"/>
      <w:r>
        <w:t>. Possible combinations for testing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1980"/>
        <w:gridCol w:w="5003"/>
      </w:tblGrid>
      <w:tr w:rsidR="00BD4B8B" w:rsidTr="00BD4B8B">
        <w:trPr>
          <w:jc w:val="center"/>
        </w:trPr>
        <w:tc>
          <w:tcPr>
            <w:tcW w:w="1435" w:type="dxa"/>
          </w:tcPr>
          <w:p w:rsidR="00BD4B8B" w:rsidRDefault="00BD4B8B" w:rsidP="003A5843">
            <w:pPr>
              <w:pStyle w:val="TableCell"/>
            </w:pPr>
            <w:r>
              <w:t>Modulation</w:t>
            </w:r>
          </w:p>
        </w:tc>
        <w:tc>
          <w:tcPr>
            <w:tcW w:w="1980" w:type="dxa"/>
          </w:tcPr>
          <w:p w:rsidR="00BD4B8B" w:rsidRDefault="00BD4B8B" w:rsidP="003A5843">
            <w:pPr>
              <w:pStyle w:val="TableCell"/>
            </w:pPr>
            <w:r>
              <w:t>SCS</w:t>
            </w:r>
          </w:p>
        </w:tc>
        <w:tc>
          <w:tcPr>
            <w:tcW w:w="5003" w:type="dxa"/>
          </w:tcPr>
          <w:p w:rsidR="00BD4B8B" w:rsidRDefault="00BD4B8B" w:rsidP="003A5843">
            <w:pPr>
              <w:pStyle w:val="TableCell"/>
            </w:pPr>
            <w:r>
              <w:t>BW notes</w:t>
            </w:r>
          </w:p>
        </w:tc>
      </w:tr>
      <w:tr w:rsidR="00BD4B8B" w:rsidTr="00BD4B8B">
        <w:trPr>
          <w:jc w:val="center"/>
        </w:trPr>
        <w:tc>
          <w:tcPr>
            <w:tcW w:w="1435" w:type="dxa"/>
            <w:vMerge w:val="restart"/>
            <w:vAlign w:val="center"/>
          </w:tcPr>
          <w:p w:rsidR="00BD4B8B" w:rsidRDefault="00BD4B8B" w:rsidP="003A5843">
            <w:pPr>
              <w:pStyle w:val="TableCell"/>
            </w:pPr>
            <w:r>
              <w:t>pi/2 – BPSK</w:t>
            </w:r>
          </w:p>
        </w:tc>
        <w:tc>
          <w:tcPr>
            <w:tcW w:w="1980" w:type="dxa"/>
          </w:tcPr>
          <w:p w:rsidR="00BD4B8B" w:rsidRDefault="00BD4B8B" w:rsidP="00BD4B8B">
            <w:pPr>
              <w:pStyle w:val="TableCell"/>
            </w:pPr>
            <w:r>
              <w:t>FR1: 15</w:t>
            </w:r>
          </w:p>
        </w:tc>
        <w:tc>
          <w:tcPr>
            <w:tcW w:w="5003" w:type="dxa"/>
          </w:tcPr>
          <w:p w:rsidR="00BD4B8B" w:rsidRDefault="00BD4B8B" w:rsidP="003A5843">
            <w:pPr>
              <w:pStyle w:val="TableCell"/>
            </w:pPr>
            <w:r>
              <w:t>Min BW</w:t>
            </w:r>
          </w:p>
        </w:tc>
      </w:tr>
      <w:tr w:rsidR="00BD4B8B" w:rsidTr="00BD4B8B">
        <w:trPr>
          <w:jc w:val="center"/>
        </w:trPr>
        <w:tc>
          <w:tcPr>
            <w:tcW w:w="1435" w:type="dxa"/>
            <w:vMerge/>
            <w:vAlign w:val="center"/>
          </w:tcPr>
          <w:p w:rsidR="00BD4B8B" w:rsidRDefault="00BD4B8B" w:rsidP="003A5843">
            <w:pPr>
              <w:pStyle w:val="TableCell"/>
            </w:pPr>
          </w:p>
        </w:tc>
        <w:tc>
          <w:tcPr>
            <w:tcW w:w="1980" w:type="dxa"/>
          </w:tcPr>
          <w:p w:rsidR="00BD4B8B" w:rsidRDefault="00BD4B8B" w:rsidP="00BD4B8B">
            <w:pPr>
              <w:pStyle w:val="TableCell"/>
            </w:pPr>
            <w:r>
              <w:t>FR2: 60</w:t>
            </w:r>
          </w:p>
        </w:tc>
        <w:tc>
          <w:tcPr>
            <w:tcW w:w="5003" w:type="dxa"/>
          </w:tcPr>
          <w:p w:rsidR="00BD4B8B" w:rsidRDefault="00BD4B8B" w:rsidP="003A5843">
            <w:pPr>
              <w:pStyle w:val="TableCell"/>
            </w:pPr>
            <w:r>
              <w:t>Min BW</w:t>
            </w:r>
          </w:p>
        </w:tc>
      </w:tr>
      <w:tr w:rsidR="00BD4B8B" w:rsidTr="00BD4B8B">
        <w:trPr>
          <w:jc w:val="center"/>
        </w:trPr>
        <w:tc>
          <w:tcPr>
            <w:tcW w:w="1435" w:type="dxa"/>
            <w:vMerge w:val="restart"/>
            <w:vAlign w:val="center"/>
          </w:tcPr>
          <w:p w:rsidR="00BD4B8B" w:rsidRDefault="00BD4B8B" w:rsidP="003A5843">
            <w:pPr>
              <w:pStyle w:val="TableCell"/>
            </w:pPr>
            <w:r>
              <w:t>QPSK</w:t>
            </w:r>
          </w:p>
        </w:tc>
        <w:tc>
          <w:tcPr>
            <w:tcW w:w="1980" w:type="dxa"/>
          </w:tcPr>
          <w:p w:rsidR="00BD4B8B" w:rsidRDefault="00BD4B8B" w:rsidP="00BD4B8B">
            <w:pPr>
              <w:pStyle w:val="TableCell"/>
            </w:pPr>
            <w:r>
              <w:t>FR1: 15</w:t>
            </w:r>
          </w:p>
        </w:tc>
        <w:tc>
          <w:tcPr>
            <w:tcW w:w="5003" w:type="dxa"/>
          </w:tcPr>
          <w:p w:rsidR="00BD4B8B" w:rsidRDefault="00BD4B8B" w:rsidP="003A5843">
            <w:pPr>
              <w:pStyle w:val="TableCell"/>
            </w:pPr>
            <w:r>
              <w:t>Min BW, Max BW</w:t>
            </w:r>
            <w:r w:rsidR="00570857">
              <w:t xml:space="preserve">  (≤50 MHz)</w:t>
            </w:r>
          </w:p>
        </w:tc>
      </w:tr>
      <w:tr w:rsidR="00BD4B8B" w:rsidTr="00BD4B8B">
        <w:trPr>
          <w:jc w:val="center"/>
        </w:trPr>
        <w:tc>
          <w:tcPr>
            <w:tcW w:w="1435" w:type="dxa"/>
            <w:vMerge/>
            <w:vAlign w:val="center"/>
          </w:tcPr>
          <w:p w:rsidR="00BD4B8B" w:rsidRDefault="00BD4B8B" w:rsidP="003A5843">
            <w:pPr>
              <w:pStyle w:val="TableCell"/>
            </w:pPr>
          </w:p>
        </w:tc>
        <w:tc>
          <w:tcPr>
            <w:tcW w:w="1980" w:type="dxa"/>
          </w:tcPr>
          <w:p w:rsidR="00BD4B8B" w:rsidRDefault="00BD4B8B" w:rsidP="00BD4B8B">
            <w:pPr>
              <w:pStyle w:val="TableCell"/>
            </w:pPr>
            <w:r>
              <w:t>FR2: 60</w:t>
            </w:r>
          </w:p>
        </w:tc>
        <w:tc>
          <w:tcPr>
            <w:tcW w:w="5003" w:type="dxa"/>
          </w:tcPr>
          <w:p w:rsidR="00BD4B8B" w:rsidRDefault="00BD4B8B" w:rsidP="003A5843">
            <w:pPr>
              <w:pStyle w:val="TableCell"/>
            </w:pPr>
            <w:r>
              <w:t>Min BW, Max BW</w:t>
            </w:r>
          </w:p>
        </w:tc>
      </w:tr>
      <w:tr w:rsidR="00BD4B8B" w:rsidTr="00BD4B8B">
        <w:trPr>
          <w:jc w:val="center"/>
        </w:trPr>
        <w:tc>
          <w:tcPr>
            <w:tcW w:w="1435" w:type="dxa"/>
            <w:vMerge w:val="restart"/>
            <w:vAlign w:val="center"/>
          </w:tcPr>
          <w:p w:rsidR="00BD4B8B" w:rsidRDefault="00BD4B8B" w:rsidP="003A5843">
            <w:pPr>
              <w:pStyle w:val="TableCell"/>
            </w:pPr>
            <w:r>
              <w:t>16-QAM</w:t>
            </w:r>
          </w:p>
        </w:tc>
        <w:tc>
          <w:tcPr>
            <w:tcW w:w="1980" w:type="dxa"/>
          </w:tcPr>
          <w:p w:rsidR="00BD4B8B" w:rsidRDefault="00BD4B8B" w:rsidP="00BD4B8B">
            <w:pPr>
              <w:pStyle w:val="TableCell"/>
            </w:pPr>
            <w:r>
              <w:t>FR1: 15, 30</w:t>
            </w:r>
          </w:p>
        </w:tc>
        <w:tc>
          <w:tcPr>
            <w:tcW w:w="5003" w:type="dxa"/>
          </w:tcPr>
          <w:p w:rsidR="00BD4B8B" w:rsidRDefault="00BD4B8B" w:rsidP="00BD4B8B">
            <w:pPr>
              <w:pStyle w:val="TableCell"/>
            </w:pPr>
            <w:r>
              <w:t>For 15 kHz SCS, min and mid BW (≤50 MHz). For 30 kHz, mid and max BW</w:t>
            </w:r>
          </w:p>
        </w:tc>
      </w:tr>
      <w:tr w:rsidR="00BD4B8B" w:rsidTr="00BD4B8B">
        <w:trPr>
          <w:jc w:val="center"/>
        </w:trPr>
        <w:tc>
          <w:tcPr>
            <w:tcW w:w="1435" w:type="dxa"/>
            <w:vMerge/>
            <w:vAlign w:val="center"/>
          </w:tcPr>
          <w:p w:rsidR="00BD4B8B" w:rsidRDefault="00BD4B8B" w:rsidP="003A5843">
            <w:pPr>
              <w:pStyle w:val="TableCell"/>
            </w:pPr>
          </w:p>
        </w:tc>
        <w:tc>
          <w:tcPr>
            <w:tcW w:w="1980" w:type="dxa"/>
          </w:tcPr>
          <w:p w:rsidR="00BD4B8B" w:rsidRDefault="00BD4B8B" w:rsidP="00BD4B8B">
            <w:pPr>
              <w:pStyle w:val="TableCell"/>
            </w:pPr>
            <w:r>
              <w:t>FR2: 60, 120</w:t>
            </w:r>
          </w:p>
        </w:tc>
        <w:tc>
          <w:tcPr>
            <w:tcW w:w="5003" w:type="dxa"/>
          </w:tcPr>
          <w:p w:rsidR="00BD4B8B" w:rsidRDefault="00BD4B8B" w:rsidP="00BD4B8B">
            <w:pPr>
              <w:pStyle w:val="TableCell"/>
            </w:pPr>
            <w:r>
              <w:t>For 60 kHz SCS, min and mid BW. For 120 kHz, mid and max BW</w:t>
            </w:r>
          </w:p>
        </w:tc>
      </w:tr>
      <w:tr w:rsidR="00BD4B8B" w:rsidTr="00BD4B8B">
        <w:trPr>
          <w:jc w:val="center"/>
        </w:trPr>
        <w:tc>
          <w:tcPr>
            <w:tcW w:w="1435" w:type="dxa"/>
            <w:vMerge w:val="restart"/>
            <w:vAlign w:val="center"/>
          </w:tcPr>
          <w:p w:rsidR="00BD4B8B" w:rsidRDefault="00BD4B8B" w:rsidP="00BD4B8B">
            <w:pPr>
              <w:pStyle w:val="TableCell"/>
            </w:pPr>
            <w:r>
              <w:t>64-QAM</w:t>
            </w:r>
          </w:p>
        </w:tc>
        <w:tc>
          <w:tcPr>
            <w:tcW w:w="1980" w:type="dxa"/>
          </w:tcPr>
          <w:p w:rsidR="00BD4B8B" w:rsidRDefault="00BD4B8B" w:rsidP="00BD4B8B">
            <w:pPr>
              <w:pStyle w:val="TableCell"/>
            </w:pPr>
            <w:r>
              <w:t>FR1: 15, 30</w:t>
            </w:r>
          </w:p>
        </w:tc>
        <w:tc>
          <w:tcPr>
            <w:tcW w:w="5003" w:type="dxa"/>
          </w:tcPr>
          <w:p w:rsidR="00BD4B8B" w:rsidRDefault="00BD4B8B" w:rsidP="00BD4B8B">
            <w:pPr>
              <w:pStyle w:val="TableCell"/>
            </w:pPr>
            <w:r>
              <w:t>For 15 kHz SCS, min and mid BW (≤50 MHz). For 30 kHz, mid and max BW</w:t>
            </w:r>
          </w:p>
        </w:tc>
      </w:tr>
      <w:tr w:rsidR="00BD4B8B" w:rsidTr="00BD4B8B">
        <w:trPr>
          <w:jc w:val="center"/>
        </w:trPr>
        <w:tc>
          <w:tcPr>
            <w:tcW w:w="1435" w:type="dxa"/>
            <w:vMerge/>
            <w:vAlign w:val="center"/>
          </w:tcPr>
          <w:p w:rsidR="00BD4B8B" w:rsidRDefault="00BD4B8B" w:rsidP="00BD4B8B">
            <w:pPr>
              <w:pStyle w:val="TableCell"/>
            </w:pPr>
          </w:p>
        </w:tc>
        <w:tc>
          <w:tcPr>
            <w:tcW w:w="1980" w:type="dxa"/>
          </w:tcPr>
          <w:p w:rsidR="00BD4B8B" w:rsidRDefault="00BD4B8B" w:rsidP="00BD4B8B">
            <w:pPr>
              <w:pStyle w:val="TableCell"/>
            </w:pPr>
            <w:r>
              <w:t>FR2: 60, 120</w:t>
            </w:r>
          </w:p>
        </w:tc>
        <w:tc>
          <w:tcPr>
            <w:tcW w:w="5003" w:type="dxa"/>
          </w:tcPr>
          <w:p w:rsidR="00BD4B8B" w:rsidRDefault="00BD4B8B" w:rsidP="00BD4B8B">
            <w:pPr>
              <w:pStyle w:val="TableCell"/>
            </w:pPr>
            <w:r>
              <w:t>For 60 kHz SCS, min and mid BW. For 120 kHz, mid and max BW</w:t>
            </w:r>
          </w:p>
        </w:tc>
      </w:tr>
      <w:tr w:rsidR="00BD4B8B" w:rsidTr="00BD4B8B">
        <w:trPr>
          <w:jc w:val="center"/>
        </w:trPr>
        <w:tc>
          <w:tcPr>
            <w:tcW w:w="1435" w:type="dxa"/>
            <w:vMerge w:val="restart"/>
            <w:vAlign w:val="center"/>
          </w:tcPr>
          <w:p w:rsidR="00BD4B8B" w:rsidRDefault="00BD4B8B" w:rsidP="00BD4B8B">
            <w:pPr>
              <w:pStyle w:val="TableCell"/>
            </w:pPr>
            <w:r>
              <w:t>256-QAM</w:t>
            </w:r>
          </w:p>
        </w:tc>
        <w:tc>
          <w:tcPr>
            <w:tcW w:w="1980" w:type="dxa"/>
          </w:tcPr>
          <w:p w:rsidR="00BD4B8B" w:rsidRDefault="00BD4B8B" w:rsidP="00BD4B8B">
            <w:pPr>
              <w:pStyle w:val="TableCell"/>
            </w:pPr>
            <w:r>
              <w:t>FR1: 15, 30</w:t>
            </w:r>
          </w:p>
        </w:tc>
        <w:tc>
          <w:tcPr>
            <w:tcW w:w="5003" w:type="dxa"/>
          </w:tcPr>
          <w:p w:rsidR="00BD4B8B" w:rsidRDefault="00BD4B8B" w:rsidP="00BD4B8B">
            <w:pPr>
              <w:pStyle w:val="TableCell"/>
            </w:pPr>
            <w:r>
              <w:t>For 15 kHz SCS, min and mid BW (≤50 MHz). For 30 kHz, mid and max BW</w:t>
            </w:r>
          </w:p>
        </w:tc>
      </w:tr>
      <w:tr w:rsidR="00BD4B8B" w:rsidTr="00BD4B8B">
        <w:trPr>
          <w:jc w:val="center"/>
        </w:trPr>
        <w:tc>
          <w:tcPr>
            <w:tcW w:w="1435" w:type="dxa"/>
            <w:vMerge/>
            <w:vAlign w:val="center"/>
          </w:tcPr>
          <w:p w:rsidR="00BD4B8B" w:rsidRDefault="00BD4B8B" w:rsidP="00BD4B8B">
            <w:pPr>
              <w:pStyle w:val="TableCell"/>
            </w:pPr>
          </w:p>
        </w:tc>
        <w:tc>
          <w:tcPr>
            <w:tcW w:w="1980" w:type="dxa"/>
          </w:tcPr>
          <w:p w:rsidR="00BD4B8B" w:rsidRDefault="00BD4B8B" w:rsidP="00BD4B8B">
            <w:pPr>
              <w:pStyle w:val="TableCell"/>
            </w:pPr>
            <w:r>
              <w:t>[FR2]</w:t>
            </w:r>
          </w:p>
        </w:tc>
        <w:tc>
          <w:tcPr>
            <w:tcW w:w="5003" w:type="dxa"/>
          </w:tcPr>
          <w:p w:rsidR="00BD4B8B" w:rsidRDefault="00BD4B8B" w:rsidP="00BD4B8B">
            <w:pPr>
              <w:pStyle w:val="TableCell"/>
            </w:pPr>
            <w:r>
              <w:t>TBD</w:t>
            </w:r>
          </w:p>
        </w:tc>
      </w:tr>
    </w:tbl>
    <w:p w:rsidR="00BD4B8B" w:rsidRDefault="00BD4B8B" w:rsidP="00BD4B8B"/>
    <w:p w:rsidR="00BD4B8B" w:rsidRDefault="00BD4B8B" w:rsidP="003B5926">
      <w:r>
        <w:t xml:space="preserve">The motivation for </w:t>
      </w:r>
      <w:r>
        <w:fldChar w:fldCharType="begin"/>
      </w:r>
      <w:r>
        <w:instrText xml:space="preserve"> REF _Ref514063923 \h </w:instrText>
      </w:r>
      <w:r>
        <w:fldChar w:fldCharType="separate"/>
      </w:r>
      <w:r w:rsidR="006077EF">
        <w:t xml:space="preserve">Table </w:t>
      </w:r>
      <w:r w:rsidR="006077EF">
        <w:rPr>
          <w:noProof/>
        </w:rPr>
        <w:t>3</w:t>
      </w:r>
      <w:r>
        <w:fldChar w:fldCharType="end"/>
      </w:r>
      <w:r>
        <w:t xml:space="preserve"> are:</w:t>
      </w:r>
    </w:p>
    <w:p w:rsidR="00BD4B8B" w:rsidRDefault="00570857" w:rsidP="00BD4B8B">
      <w:pPr>
        <w:numPr>
          <w:ilvl w:val="0"/>
          <w:numId w:val="17"/>
        </w:numPr>
      </w:pPr>
      <w:r>
        <w:lastRenderedPageBreak/>
        <w:t xml:space="preserve">BPSK </w:t>
      </w:r>
      <w:proofErr w:type="gramStart"/>
      <w:r>
        <w:t>is used</w:t>
      </w:r>
      <w:proofErr w:type="gramEnd"/>
      <w:r>
        <w:t xml:space="preserve"> for reliability. Using higher SCS and larger BWs do not seem reasonable.</w:t>
      </w:r>
    </w:p>
    <w:p w:rsidR="00570857" w:rsidRDefault="00570857" w:rsidP="00BD4B8B">
      <w:pPr>
        <w:numPr>
          <w:ilvl w:val="0"/>
          <w:numId w:val="17"/>
        </w:numPr>
      </w:pPr>
      <w:r>
        <w:t>QPSK: similar comments at BPSK. However larger BWs are needed for testing</w:t>
      </w:r>
    </w:p>
    <w:p w:rsidR="00570857" w:rsidRDefault="00570857" w:rsidP="00BD4B8B">
      <w:pPr>
        <w:numPr>
          <w:ilvl w:val="0"/>
          <w:numId w:val="17"/>
        </w:numPr>
      </w:pPr>
      <w:r>
        <w:t>16</w:t>
      </w:r>
      <w:r w:rsidR="00733D7E">
        <w:t>-</w:t>
      </w:r>
      <w:r>
        <w:t>QAM, 64-QAM, 256-QAM: divide the range: 15 kHz SCS for small BW, 30 kHz SCS for larger BWs.</w:t>
      </w:r>
    </w:p>
    <w:p w:rsidR="00570857" w:rsidRDefault="00570857" w:rsidP="00570857">
      <w:pPr>
        <w:rPr>
          <w:b/>
          <w:i/>
        </w:rPr>
      </w:pPr>
      <w:r w:rsidRPr="00570857">
        <w:rPr>
          <w:b/>
          <w:i/>
        </w:rPr>
        <w:t>Proposal 2. The modulation, the SCS, and BW combinations fo</w:t>
      </w:r>
      <w:r w:rsidR="006D5468">
        <w:rPr>
          <w:b/>
          <w:i/>
        </w:rPr>
        <w:t>r testing should mimic typical</w:t>
      </w:r>
      <w:r w:rsidRPr="00570857">
        <w:rPr>
          <w:b/>
          <w:i/>
        </w:rPr>
        <w:t xml:space="preserve"> deployment configurations.</w:t>
      </w:r>
    </w:p>
    <w:p w:rsidR="00F95AE0" w:rsidRDefault="00F95AE0" w:rsidP="00570857">
      <w:r>
        <w:t xml:space="preserve">One aspect not considered is the support of mixed numerologies. </w:t>
      </w:r>
      <w:proofErr w:type="gramStart"/>
      <w:r>
        <w:t>Should it be tested</w:t>
      </w:r>
      <w:proofErr w:type="gramEnd"/>
      <w:r>
        <w:t xml:space="preserve"> and what are the metrics for testing?</w:t>
      </w:r>
    </w:p>
    <w:p w:rsidR="00F95AE0" w:rsidRPr="00F95AE0" w:rsidRDefault="00F95AE0" w:rsidP="00570857">
      <w:pPr>
        <w:rPr>
          <w:b/>
          <w:i/>
        </w:rPr>
      </w:pPr>
      <w:r w:rsidRPr="00F95AE0">
        <w:rPr>
          <w:b/>
          <w:i/>
        </w:rPr>
        <w:t xml:space="preserve">Observation 1. The base station can support transmission of mixed numerologies. </w:t>
      </w:r>
      <w:proofErr w:type="gramStart"/>
      <w:r w:rsidRPr="00F95AE0">
        <w:rPr>
          <w:b/>
          <w:i/>
        </w:rPr>
        <w:t>Should metrics be defined</w:t>
      </w:r>
      <w:proofErr w:type="gramEnd"/>
      <w:r w:rsidRPr="00F95AE0">
        <w:rPr>
          <w:b/>
          <w:i/>
        </w:rPr>
        <w:t xml:space="preserve"> for characterizing the </w:t>
      </w:r>
      <w:r w:rsidRPr="00F95AE0">
        <w:rPr>
          <w:b/>
          <w:i/>
        </w:rPr>
        <w:t>transmission of mixed numerologies</w:t>
      </w:r>
      <w:r>
        <w:rPr>
          <w:b/>
          <w:i/>
        </w:rPr>
        <w:t>?</w:t>
      </w:r>
    </w:p>
    <w:p w:rsidR="000E08D1" w:rsidRDefault="000E08D1" w:rsidP="000E08D1">
      <w:pPr>
        <w:pStyle w:val="Heading3"/>
      </w:pPr>
      <w:r>
        <w:t>Framework, Channels</w:t>
      </w:r>
    </w:p>
    <w:p w:rsidR="006D6720" w:rsidRDefault="006077EF" w:rsidP="003B5926">
      <w:r>
        <w:t xml:space="preserve">The general parameters for testing follow </w:t>
      </w:r>
      <w:r>
        <w:fldChar w:fldCharType="begin"/>
      </w:r>
      <w:r>
        <w:instrText xml:space="preserve"> REF _Ref514067083 \r \h </w:instrText>
      </w:r>
      <w:r>
        <w:fldChar w:fldCharType="separate"/>
      </w:r>
      <w:r>
        <w:t>[6]</w:t>
      </w:r>
      <w:r>
        <w:fldChar w:fldCharType="end"/>
      </w:r>
      <w:r>
        <w:t>.</w:t>
      </w:r>
      <w:r w:rsidR="003B5926">
        <w:t xml:space="preserve"> </w:t>
      </w:r>
    </w:p>
    <w:p w:rsidR="006D6720" w:rsidRDefault="006D6720" w:rsidP="00BA367B">
      <w:pPr>
        <w:numPr>
          <w:ilvl w:val="0"/>
          <w:numId w:val="18"/>
        </w:numPr>
      </w:pPr>
      <w:r>
        <w:t xml:space="preserve">TX signals are defined for single antenna port (1-TX, p = 0): </w:t>
      </w:r>
      <w:proofErr w:type="gramStart"/>
      <w:r>
        <w:t>1</w:t>
      </w:r>
      <w:proofErr w:type="gramEnd"/>
      <w:r>
        <w:t xml:space="preserve"> code word, 1 layer, no </w:t>
      </w:r>
      <w:proofErr w:type="spellStart"/>
      <w:r>
        <w:t>precoding</w:t>
      </w:r>
      <w:proofErr w:type="spellEnd"/>
      <w:r>
        <w:t xml:space="preserve">. TX requirements </w:t>
      </w:r>
      <w:proofErr w:type="gramStart"/>
      <w:r>
        <w:t>shall be tested</w:t>
      </w:r>
      <w:proofErr w:type="gramEnd"/>
      <w:r>
        <w:t xml:space="preserve"> separately for each antenna port.</w:t>
      </w:r>
    </w:p>
    <w:p w:rsidR="006D6720" w:rsidRDefault="006D6720" w:rsidP="00BA367B">
      <w:pPr>
        <w:numPr>
          <w:ilvl w:val="0"/>
          <w:numId w:val="18"/>
        </w:numPr>
      </w:pPr>
      <w:r>
        <w:t xml:space="preserve">Duration of 10 subframes (10 </w:t>
      </w:r>
      <w:proofErr w:type="spellStart"/>
      <w:r>
        <w:t>ms</w:t>
      </w:r>
      <w:proofErr w:type="spellEnd"/>
      <w:r>
        <w:t>), required for EVM averaging</w:t>
      </w:r>
      <w:r w:rsidR="005D0DCC">
        <w:t>. Note that with higher SCS, the number of slots per subframe increase</w:t>
      </w:r>
      <w:r w:rsidR="00733D7E">
        <w:t>s</w:t>
      </w:r>
      <w:r w:rsidR="005D0DCC">
        <w:t>. It</w:t>
      </w:r>
      <w:r w:rsidR="00733D7E">
        <w:t xml:space="preserve"> is unclear whether to use the number of slots for testing or retain subframe durations.</w:t>
      </w:r>
    </w:p>
    <w:p w:rsidR="006D6720" w:rsidRDefault="006D6720" w:rsidP="00BA367B">
      <w:pPr>
        <w:numPr>
          <w:ilvl w:val="0"/>
          <w:numId w:val="18"/>
        </w:numPr>
      </w:pPr>
      <w:r>
        <w:t>Short CP</w:t>
      </w:r>
    </w:p>
    <w:p w:rsidR="006D6720" w:rsidRDefault="006D6720" w:rsidP="00BA367B">
      <w:pPr>
        <w:numPr>
          <w:ilvl w:val="0"/>
          <w:numId w:val="18"/>
        </w:numPr>
      </w:pPr>
      <w:r>
        <w:t>Virtual resource blocks of localized type</w:t>
      </w:r>
    </w:p>
    <w:p w:rsidR="00BA367B" w:rsidRDefault="00BA367B" w:rsidP="000E08D1">
      <w:r>
        <w:t>However</w:t>
      </w:r>
      <w:r w:rsidR="000E08D1">
        <w:t>, a</w:t>
      </w:r>
      <w:r>
        <w:t>ll reference signals are either group or UE-specific</w:t>
      </w:r>
      <w:r w:rsidR="000E08D1">
        <w:t xml:space="preserve"> with varying degrees of </w:t>
      </w:r>
      <w:r>
        <w:t>density.</w:t>
      </w:r>
    </w:p>
    <w:p w:rsidR="00BA367B" w:rsidRPr="000E08D1" w:rsidRDefault="000E08D1" w:rsidP="006D6720">
      <w:pPr>
        <w:rPr>
          <w:b/>
          <w:i/>
        </w:rPr>
      </w:pPr>
      <w:r w:rsidRPr="000E08D1">
        <w:rPr>
          <w:b/>
          <w:i/>
        </w:rPr>
        <w:t xml:space="preserve">Proposal </w:t>
      </w:r>
      <w:r>
        <w:rPr>
          <w:b/>
          <w:i/>
        </w:rPr>
        <w:t>3</w:t>
      </w:r>
      <w:r w:rsidRPr="000E08D1">
        <w:rPr>
          <w:b/>
          <w:i/>
        </w:rPr>
        <w:t>. The</w:t>
      </w:r>
      <w:r>
        <w:rPr>
          <w:b/>
          <w:i/>
        </w:rPr>
        <w:t xml:space="preserve"> reference signal density and type of DMRS </w:t>
      </w:r>
      <w:proofErr w:type="gramStart"/>
      <w:r>
        <w:rPr>
          <w:b/>
          <w:i/>
        </w:rPr>
        <w:t>should be selected</w:t>
      </w:r>
      <w:proofErr w:type="gramEnd"/>
      <w:r>
        <w:rPr>
          <w:b/>
          <w:i/>
        </w:rPr>
        <w:t>.</w:t>
      </w:r>
    </w:p>
    <w:p w:rsidR="000E08D1" w:rsidRDefault="000E08D1" w:rsidP="000E08D1"/>
    <w:p w:rsidR="000E08D1" w:rsidRDefault="000E08D1" w:rsidP="000E08D1">
      <w:r>
        <w:t>The channels should follow the f</w:t>
      </w:r>
      <w:r>
        <w:t xml:space="preserve">ramework of Table 6.1.1.1-1 of </w:t>
      </w:r>
      <w:r>
        <w:fldChar w:fldCharType="begin"/>
      </w:r>
      <w:r>
        <w:instrText xml:space="preserve"> REF _Ref513706058 \r \h </w:instrText>
      </w:r>
      <w:r>
        <w:fldChar w:fldCharType="separate"/>
      </w:r>
      <w:r>
        <w:t>[3]</w:t>
      </w:r>
      <w:r>
        <w:fldChar w:fldCharType="end"/>
      </w:r>
      <w:r>
        <w:t xml:space="preserve">. </w:t>
      </w:r>
    </w:p>
    <w:p w:rsidR="000E08D1" w:rsidRDefault="000E08D1" w:rsidP="000E08D1">
      <w:pPr>
        <w:numPr>
          <w:ilvl w:val="0"/>
          <w:numId w:val="16"/>
        </w:numPr>
      </w:pPr>
      <w:r>
        <w:t xml:space="preserve">Channels (Framework of Table 6.1.1.1-1 of </w:t>
      </w:r>
      <w:r>
        <w:fldChar w:fldCharType="begin"/>
      </w:r>
      <w:r>
        <w:instrText xml:space="preserve"> REF _Ref513706058 \r \h </w:instrText>
      </w:r>
      <w:r>
        <w:fldChar w:fldCharType="separate"/>
      </w:r>
      <w:r>
        <w:t>[3]</w:t>
      </w:r>
      <w:r>
        <w:fldChar w:fldCharType="end"/>
      </w:r>
      <w:r>
        <w:t xml:space="preserve"> can be reused)</w:t>
      </w:r>
    </w:p>
    <w:p w:rsidR="000E08D1" w:rsidRDefault="000E08D1" w:rsidP="000E08D1">
      <w:pPr>
        <w:numPr>
          <w:ilvl w:val="1"/>
          <w:numId w:val="16"/>
        </w:numPr>
      </w:pPr>
      <w:r>
        <w:t>DMRS: boosting per channel needed</w:t>
      </w:r>
    </w:p>
    <w:p w:rsidR="000E08D1" w:rsidRDefault="000E08D1" w:rsidP="000E08D1">
      <w:pPr>
        <w:numPr>
          <w:ilvl w:val="1"/>
          <w:numId w:val="16"/>
        </w:numPr>
      </w:pPr>
      <w:r>
        <w:t>Synchronization signal: if present, its values should match the PBCH</w:t>
      </w:r>
    </w:p>
    <w:p w:rsidR="000E08D1" w:rsidRDefault="000E08D1" w:rsidP="000E08D1">
      <w:pPr>
        <w:numPr>
          <w:ilvl w:val="1"/>
          <w:numId w:val="16"/>
        </w:numPr>
      </w:pPr>
      <w:r>
        <w:t>PBCH: may be present depending on frame structure</w:t>
      </w:r>
    </w:p>
    <w:p w:rsidR="000E08D1" w:rsidRDefault="000E08D1" w:rsidP="000E08D1">
      <w:pPr>
        <w:numPr>
          <w:ilvl w:val="1"/>
          <w:numId w:val="16"/>
        </w:numPr>
      </w:pPr>
      <w:r>
        <w:t>No PCFICH, PHICH present</w:t>
      </w:r>
    </w:p>
    <w:p w:rsidR="000E08D1" w:rsidRDefault="000E08D1" w:rsidP="000E08D1">
      <w:pPr>
        <w:numPr>
          <w:ilvl w:val="1"/>
          <w:numId w:val="16"/>
        </w:numPr>
      </w:pPr>
      <w:r>
        <w:t xml:space="preserve">PDCCH: because the location is configurable in terms of symbols and RBs occupied, the starting location in frequency, and starting location in time, it </w:t>
      </w:r>
      <w:proofErr w:type="gramStart"/>
      <w:r>
        <w:t>can be placed</w:t>
      </w:r>
      <w:proofErr w:type="gramEnd"/>
      <w:r>
        <w:t xml:space="preserve"> in the first symbol of a slot, starting at the first RB. The remaining RBs of the first symbol can be null or can be occupied by a shared channel</w:t>
      </w:r>
    </w:p>
    <w:p w:rsidR="000E08D1" w:rsidRDefault="000E08D1" w:rsidP="000E08D1">
      <w:pPr>
        <w:numPr>
          <w:ilvl w:val="1"/>
          <w:numId w:val="16"/>
        </w:numPr>
      </w:pPr>
      <w:r>
        <w:t>PDSCH: no changes needed</w:t>
      </w:r>
    </w:p>
    <w:p w:rsidR="00BA367B" w:rsidRDefault="000E08D1" w:rsidP="006D6720">
      <w:r>
        <w:t xml:space="preserve">Because </w:t>
      </w:r>
      <w:r>
        <w:t>SS blocks are periodic on a half-frame basis</w:t>
      </w:r>
      <w:r>
        <w:t xml:space="preserve">, by selecting the correct subframes, two fewer channels </w:t>
      </w:r>
      <w:proofErr w:type="gramStart"/>
      <w:r>
        <w:t>are needed</w:t>
      </w:r>
      <w:proofErr w:type="gramEnd"/>
      <w:r>
        <w:t xml:space="preserve">. </w:t>
      </w:r>
    </w:p>
    <w:p w:rsidR="000E08D1" w:rsidRPr="000E08D1" w:rsidRDefault="000E08D1" w:rsidP="000E08D1">
      <w:pPr>
        <w:rPr>
          <w:b/>
          <w:i/>
        </w:rPr>
      </w:pPr>
      <w:r w:rsidRPr="000E08D1">
        <w:rPr>
          <w:b/>
          <w:i/>
        </w:rPr>
        <w:t xml:space="preserve">Proposal </w:t>
      </w:r>
      <w:r w:rsidR="00F95AE0">
        <w:rPr>
          <w:b/>
          <w:i/>
        </w:rPr>
        <w:t>4</w:t>
      </w:r>
      <w:r w:rsidRPr="000E08D1">
        <w:rPr>
          <w:b/>
          <w:i/>
        </w:rPr>
        <w:t xml:space="preserve">. </w:t>
      </w:r>
      <w:r>
        <w:rPr>
          <w:b/>
          <w:i/>
        </w:rPr>
        <w:t xml:space="preserve">SS blocks </w:t>
      </w:r>
      <w:proofErr w:type="gramStart"/>
      <w:r>
        <w:rPr>
          <w:b/>
          <w:i/>
        </w:rPr>
        <w:t>are not needed</w:t>
      </w:r>
      <w:proofErr w:type="gramEnd"/>
      <w:r>
        <w:rPr>
          <w:b/>
          <w:i/>
        </w:rPr>
        <w:t xml:space="preserve"> for transmitter tests.</w:t>
      </w:r>
    </w:p>
    <w:p w:rsidR="005D0DCC" w:rsidRDefault="005D0DCC" w:rsidP="00F95AE0">
      <w:r>
        <w:t>Whether to use all resources of the PDCCH or combinations of the hashing function and aggregation level (with null REGs) is to be determined.</w:t>
      </w:r>
    </w:p>
    <w:p w:rsidR="00CB4D79" w:rsidRDefault="00CB4D79" w:rsidP="00F95AE0">
      <w:r>
        <w:lastRenderedPageBreak/>
        <w:t xml:space="preserve">For TDD, the number of DL and UL slots in a period </w:t>
      </w:r>
      <w:proofErr w:type="gramStart"/>
      <w:r>
        <w:t>are needed</w:t>
      </w:r>
      <w:proofErr w:type="gramEnd"/>
      <w:r>
        <w:t xml:space="preserve">. Since the “special subframe” </w:t>
      </w:r>
      <w:proofErr w:type="gramStart"/>
      <w:r>
        <w:t>is needed</w:t>
      </w:r>
      <w:proofErr w:type="gramEnd"/>
      <w:r>
        <w:t xml:space="preserve"> to transition from DL to UL, </w:t>
      </w:r>
      <w:r w:rsidR="000B10B5">
        <w:t xml:space="preserve">format 31 </w:t>
      </w:r>
      <w:r w:rsidR="00D3141D">
        <w:t xml:space="preserve">in </w:t>
      </w:r>
      <w:r w:rsidR="000B10B5" w:rsidRPr="000B10B5">
        <w:t>Table 4.3.2-3</w:t>
      </w:r>
      <w:r w:rsidR="00D3141D">
        <w:t xml:space="preserve"> of 38.211 </w:t>
      </w:r>
      <w:r w:rsidR="00D3141D">
        <w:fldChar w:fldCharType="begin"/>
      </w:r>
      <w:r w:rsidR="00D3141D">
        <w:instrText xml:space="preserve"> REF _Ref513714079 \r \h </w:instrText>
      </w:r>
      <w:r w:rsidR="00555866">
        <w:instrText xml:space="preserve"> \* MERGEFORMAT </w:instrText>
      </w:r>
      <w:r w:rsidR="00D3141D">
        <w:fldChar w:fldCharType="separate"/>
      </w:r>
      <w:r w:rsidR="006077EF">
        <w:t>[4]</w:t>
      </w:r>
      <w:r w:rsidR="00D3141D">
        <w:fldChar w:fldCharType="end"/>
      </w:r>
      <w:r w:rsidR="00D3141D">
        <w:t xml:space="preserve"> </w:t>
      </w:r>
      <w:r w:rsidR="00555866">
        <w:t xml:space="preserve">should be used since it </w:t>
      </w:r>
      <w:r w:rsidR="00D3141D">
        <w:t xml:space="preserve">mimics </w:t>
      </w:r>
      <w:r w:rsidR="00D3141D" w:rsidRPr="00D3141D">
        <w:t>Table 6.1.1-1</w:t>
      </w:r>
      <w:r w:rsidR="00D3141D">
        <w:t xml:space="preserve"> of 36.141 </w:t>
      </w:r>
      <w:r w:rsidR="00D3141D">
        <w:fldChar w:fldCharType="begin"/>
      </w:r>
      <w:r w:rsidR="00D3141D">
        <w:instrText xml:space="preserve"> REF _Ref513706058 \r \h </w:instrText>
      </w:r>
      <w:r w:rsidR="00555866">
        <w:instrText xml:space="preserve"> \* MERGEFORMAT </w:instrText>
      </w:r>
      <w:r w:rsidR="00D3141D">
        <w:fldChar w:fldCharType="separate"/>
      </w:r>
      <w:r w:rsidR="006077EF">
        <w:t>[3]</w:t>
      </w:r>
      <w:r w:rsidR="00D3141D">
        <w:fldChar w:fldCharType="end"/>
      </w:r>
      <w:r w:rsidR="00D3141D">
        <w:t>.</w:t>
      </w:r>
    </w:p>
    <w:p w:rsidR="00F95AE0" w:rsidRPr="000E08D1" w:rsidRDefault="00F95AE0" w:rsidP="00F95AE0">
      <w:pPr>
        <w:rPr>
          <w:b/>
          <w:i/>
        </w:rPr>
      </w:pPr>
      <w:r w:rsidRPr="000E08D1">
        <w:rPr>
          <w:b/>
          <w:i/>
        </w:rPr>
        <w:t xml:space="preserve">Proposal </w:t>
      </w:r>
      <w:r>
        <w:rPr>
          <w:b/>
          <w:i/>
        </w:rPr>
        <w:t>5</w:t>
      </w:r>
      <w:r w:rsidRPr="000E08D1">
        <w:rPr>
          <w:b/>
          <w:i/>
        </w:rPr>
        <w:t xml:space="preserve">. </w:t>
      </w:r>
      <w:r>
        <w:rPr>
          <w:b/>
          <w:i/>
        </w:rPr>
        <w:t>Since one configuration for TDD is DL, “special subframe”, UL, testing follows FDD with an accommodation for the “special subframe”</w:t>
      </w:r>
    </w:p>
    <w:p w:rsidR="00322509" w:rsidRDefault="0094226D" w:rsidP="00322509">
      <w:r>
        <w:t xml:space="preserve">One observation about the PDSCH RB allocation for the tests. To simplify the tests, a simple formula </w:t>
      </w:r>
      <w:proofErr w:type="gramStart"/>
      <w:r>
        <w:t>can be used</w:t>
      </w:r>
      <w:proofErr w:type="gramEnd"/>
      <w:r>
        <w:t xml:space="preserve"> to identify the PRBs that are used. For example, </w:t>
      </w:r>
      <w:r w:rsidR="005D0DCC">
        <w:t xml:space="preserve">hashing functions </w:t>
      </w:r>
      <w:proofErr w:type="gramStart"/>
      <w:r w:rsidR="005D0DCC">
        <w:t>can be used</w:t>
      </w:r>
      <w:proofErr w:type="gramEnd"/>
      <w:r w:rsidR="005D0DCC">
        <w:t xml:space="preserve"> (such as the ones used for offset for CCEs</w:t>
      </w:r>
      <w:r>
        <w:t>.</w:t>
      </w:r>
      <w:r w:rsidR="005D0DCC">
        <w:t xml:space="preserve"> </w:t>
      </w:r>
    </w:p>
    <w:p w:rsidR="006B0AB7" w:rsidRDefault="006B0AB7" w:rsidP="006B0AB7">
      <w:pPr>
        <w:pStyle w:val="Heading1"/>
      </w:pPr>
      <w:r>
        <w:t>Conclusion</w:t>
      </w:r>
    </w:p>
    <w:p w:rsidR="005D0DCC" w:rsidRDefault="005D0DCC" w:rsidP="005D0DCC">
      <w:r>
        <w:t xml:space="preserve">Some observations in the contribution </w:t>
      </w:r>
      <w:proofErr w:type="gramStart"/>
      <w:r>
        <w:t>are presented</w:t>
      </w:r>
      <w:proofErr w:type="gramEnd"/>
      <w:r>
        <w:t>.</w:t>
      </w:r>
    </w:p>
    <w:p w:rsidR="005D0DCC" w:rsidRPr="00F95AE0" w:rsidRDefault="005D0DCC" w:rsidP="005D0DCC">
      <w:pPr>
        <w:rPr>
          <w:b/>
          <w:i/>
        </w:rPr>
      </w:pPr>
      <w:r w:rsidRPr="00F95AE0">
        <w:rPr>
          <w:b/>
          <w:i/>
        </w:rPr>
        <w:t xml:space="preserve">Observation 1. The base station can support transmission of mixed numerologies. </w:t>
      </w:r>
      <w:proofErr w:type="gramStart"/>
      <w:r w:rsidRPr="00F95AE0">
        <w:rPr>
          <w:b/>
          <w:i/>
        </w:rPr>
        <w:t>Should metrics be defined</w:t>
      </w:r>
      <w:proofErr w:type="gramEnd"/>
      <w:r w:rsidRPr="00F95AE0">
        <w:rPr>
          <w:b/>
          <w:i/>
        </w:rPr>
        <w:t xml:space="preserve"> for characterizing the transmission of mixed numerologies</w:t>
      </w:r>
      <w:r>
        <w:rPr>
          <w:b/>
          <w:i/>
        </w:rPr>
        <w:t>?</w:t>
      </w:r>
    </w:p>
    <w:p w:rsidR="005D0DCC" w:rsidRDefault="005D0DCC" w:rsidP="005D0DCC">
      <w:r>
        <w:t>The conclusions are</w:t>
      </w:r>
      <w:r>
        <w:t>.</w:t>
      </w:r>
    </w:p>
    <w:p w:rsidR="005D0DCC" w:rsidRPr="00542B32" w:rsidRDefault="005D0DCC" w:rsidP="005D0DCC">
      <w:pPr>
        <w:rPr>
          <w:b/>
          <w:i/>
        </w:rPr>
      </w:pPr>
      <w:r w:rsidRPr="00542B32">
        <w:rPr>
          <w:b/>
          <w:i/>
        </w:rPr>
        <w:t>Proposal</w:t>
      </w:r>
      <w:r>
        <w:rPr>
          <w:b/>
          <w:i/>
        </w:rPr>
        <w:t xml:space="preserve"> 1</w:t>
      </w:r>
      <w:r w:rsidRPr="00542B32">
        <w:rPr>
          <w:b/>
          <w:i/>
        </w:rPr>
        <w:t xml:space="preserve">: Using test configuration generation for E-UTRA as a baseline, </w:t>
      </w:r>
      <w:r>
        <w:rPr>
          <w:b/>
          <w:i/>
        </w:rPr>
        <w:t>test</w:t>
      </w:r>
      <w:r w:rsidRPr="00542B32">
        <w:rPr>
          <w:b/>
          <w:i/>
        </w:rPr>
        <w:t xml:space="preserve"> combinations for SUL and SDL </w:t>
      </w:r>
      <w:proofErr w:type="gramStart"/>
      <w:r w:rsidRPr="00542B32">
        <w:rPr>
          <w:b/>
          <w:i/>
        </w:rPr>
        <w:t>are needed</w:t>
      </w:r>
      <w:proofErr w:type="gramEnd"/>
      <w:r w:rsidRPr="00542B32">
        <w:rPr>
          <w:b/>
          <w:i/>
        </w:rPr>
        <w:t>.</w:t>
      </w:r>
    </w:p>
    <w:p w:rsidR="005D0DCC" w:rsidRDefault="005D0DCC" w:rsidP="005D0DCC">
      <w:pPr>
        <w:rPr>
          <w:b/>
          <w:i/>
        </w:rPr>
      </w:pPr>
      <w:r w:rsidRPr="00570857">
        <w:rPr>
          <w:b/>
          <w:i/>
        </w:rPr>
        <w:t>Proposal 2. The modulation, the SCS, and BW combinations fo</w:t>
      </w:r>
      <w:r>
        <w:rPr>
          <w:b/>
          <w:i/>
        </w:rPr>
        <w:t>r testing should mimic typical</w:t>
      </w:r>
      <w:r w:rsidRPr="00570857">
        <w:rPr>
          <w:b/>
          <w:i/>
        </w:rPr>
        <w:t xml:space="preserve"> deployment configurations.</w:t>
      </w:r>
    </w:p>
    <w:p w:rsidR="005D0DCC" w:rsidRPr="000E08D1" w:rsidRDefault="005D0DCC" w:rsidP="005D0DCC">
      <w:pPr>
        <w:rPr>
          <w:b/>
          <w:i/>
        </w:rPr>
      </w:pPr>
      <w:r w:rsidRPr="000E08D1">
        <w:rPr>
          <w:b/>
          <w:i/>
        </w:rPr>
        <w:t xml:space="preserve">Proposal </w:t>
      </w:r>
      <w:r>
        <w:rPr>
          <w:b/>
          <w:i/>
        </w:rPr>
        <w:t>3</w:t>
      </w:r>
      <w:r w:rsidRPr="000E08D1">
        <w:rPr>
          <w:b/>
          <w:i/>
        </w:rPr>
        <w:t>. The</w:t>
      </w:r>
      <w:r>
        <w:rPr>
          <w:b/>
          <w:i/>
        </w:rPr>
        <w:t xml:space="preserve"> reference signal density and type of DMRS </w:t>
      </w:r>
      <w:proofErr w:type="gramStart"/>
      <w:r>
        <w:rPr>
          <w:b/>
          <w:i/>
        </w:rPr>
        <w:t>should be selected</w:t>
      </w:r>
      <w:proofErr w:type="gramEnd"/>
      <w:r>
        <w:rPr>
          <w:b/>
          <w:i/>
        </w:rPr>
        <w:t>.</w:t>
      </w:r>
    </w:p>
    <w:p w:rsidR="005D0DCC" w:rsidRPr="000E08D1" w:rsidRDefault="005D0DCC" w:rsidP="005D0DCC">
      <w:pPr>
        <w:rPr>
          <w:b/>
          <w:i/>
        </w:rPr>
      </w:pPr>
      <w:r w:rsidRPr="000E08D1">
        <w:rPr>
          <w:b/>
          <w:i/>
        </w:rPr>
        <w:t xml:space="preserve">Proposal </w:t>
      </w:r>
      <w:r>
        <w:rPr>
          <w:b/>
          <w:i/>
        </w:rPr>
        <w:t>4</w:t>
      </w:r>
      <w:r w:rsidRPr="000E08D1">
        <w:rPr>
          <w:b/>
          <w:i/>
        </w:rPr>
        <w:t xml:space="preserve">. </w:t>
      </w:r>
      <w:r>
        <w:rPr>
          <w:b/>
          <w:i/>
        </w:rPr>
        <w:t xml:space="preserve">SS blocks </w:t>
      </w:r>
      <w:proofErr w:type="gramStart"/>
      <w:r>
        <w:rPr>
          <w:b/>
          <w:i/>
        </w:rPr>
        <w:t>are not needed</w:t>
      </w:r>
      <w:proofErr w:type="gramEnd"/>
      <w:r>
        <w:rPr>
          <w:b/>
          <w:i/>
        </w:rPr>
        <w:t xml:space="preserve"> for transmitter tests.</w:t>
      </w:r>
    </w:p>
    <w:p w:rsidR="005D0DCC" w:rsidRPr="000E08D1" w:rsidRDefault="005D0DCC" w:rsidP="005D0DCC">
      <w:pPr>
        <w:rPr>
          <w:b/>
          <w:i/>
        </w:rPr>
      </w:pPr>
      <w:r w:rsidRPr="000E08D1">
        <w:rPr>
          <w:b/>
          <w:i/>
        </w:rPr>
        <w:t xml:space="preserve">Proposal </w:t>
      </w:r>
      <w:r>
        <w:rPr>
          <w:b/>
          <w:i/>
        </w:rPr>
        <w:t>5</w:t>
      </w:r>
      <w:r w:rsidRPr="000E08D1">
        <w:rPr>
          <w:b/>
          <w:i/>
        </w:rPr>
        <w:t xml:space="preserve">. </w:t>
      </w:r>
      <w:r>
        <w:rPr>
          <w:b/>
          <w:i/>
        </w:rPr>
        <w:t>Since one configuration for TDD is DL, “special subframe”, UL, testing follows FDD with an accommodation for the “special subframe”</w:t>
      </w:r>
    </w:p>
    <w:p w:rsidR="0061114A" w:rsidRDefault="0061114A" w:rsidP="00C82B85"/>
    <w:p w:rsidR="00AE6C9F" w:rsidRPr="00E14DDF" w:rsidRDefault="00AE6C9F" w:rsidP="00AE6C9F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E14DDF">
        <w:t>References</w:t>
      </w:r>
    </w:p>
    <w:p w:rsidR="00561F42" w:rsidRDefault="00561F42" w:rsidP="00561F42">
      <w:pPr>
        <w:pStyle w:val="References"/>
      </w:pPr>
      <w:bookmarkStart w:id="8" w:name="_Ref513648045"/>
      <w:bookmarkEnd w:id="5"/>
      <w:bookmarkEnd w:id="6"/>
      <w:bookmarkEnd w:id="7"/>
      <w:r>
        <w:t>R4-1805872, “WF on test configuration for NR BS conformance testing”, Huawei, Ericsson, Nokia, RAN4#86B, Apr. 16-20, 2018.</w:t>
      </w:r>
      <w:bookmarkEnd w:id="8"/>
    </w:p>
    <w:p w:rsidR="00561F42" w:rsidRDefault="00561F42" w:rsidP="00561F42">
      <w:pPr>
        <w:pStyle w:val="References"/>
      </w:pPr>
      <w:bookmarkStart w:id="9" w:name="_Ref513647682"/>
      <w:r>
        <w:t>R4-1805873, “WF on minimum se</w:t>
      </w:r>
      <w:bookmarkStart w:id="10" w:name="_GoBack"/>
      <w:bookmarkEnd w:id="10"/>
      <w:r>
        <w:t>t of test cases for NR conformance testing”, Nokia, Nokia Shanghai Bell, Huawei, Ericsson, RAN4#86B, Apr. 16-20, 2018.</w:t>
      </w:r>
      <w:bookmarkEnd w:id="9"/>
    </w:p>
    <w:p w:rsidR="0089365E" w:rsidRDefault="0089365E" w:rsidP="00561F42">
      <w:pPr>
        <w:pStyle w:val="References"/>
      </w:pPr>
      <w:bookmarkStart w:id="11" w:name="_Ref513706058"/>
      <w:r>
        <w:t>36.141</w:t>
      </w:r>
      <w:bookmarkEnd w:id="11"/>
    </w:p>
    <w:p w:rsidR="00D3141D" w:rsidRDefault="00D3141D" w:rsidP="00561F42">
      <w:pPr>
        <w:pStyle w:val="References"/>
      </w:pPr>
      <w:bookmarkStart w:id="12" w:name="_Ref513714079"/>
      <w:r>
        <w:t>38.211</w:t>
      </w:r>
      <w:bookmarkEnd w:id="12"/>
    </w:p>
    <w:p w:rsidR="00AF0E52" w:rsidRDefault="00AF0E52" w:rsidP="00561F42">
      <w:pPr>
        <w:pStyle w:val="References"/>
      </w:pPr>
      <w:bookmarkStart w:id="13" w:name="_Ref513716167"/>
      <w:r>
        <w:t>38.104</w:t>
      </w:r>
      <w:bookmarkEnd w:id="13"/>
    </w:p>
    <w:p w:rsidR="006D5468" w:rsidRDefault="006D5468" w:rsidP="006D5468">
      <w:pPr>
        <w:pStyle w:val="References"/>
      </w:pPr>
      <w:bookmarkStart w:id="14" w:name="_Ref514067083"/>
      <w:r>
        <w:t>R4-080565, “On E-UTRA Test Models in TS 36.141”, Nokia Siemens Networks,  RAN4#46bis,</w:t>
      </w:r>
      <w:r w:rsidRPr="006D5468">
        <w:t xml:space="preserve"> </w:t>
      </w:r>
      <w:r>
        <w:t>Mar. 31 – Apr. 4, 2008.</w:t>
      </w:r>
      <w:bookmarkEnd w:id="14"/>
    </w:p>
    <w:p w:rsidR="00F24043" w:rsidRPr="00E14DDF" w:rsidRDefault="00F24043"/>
    <w:sectPr w:rsidR="00F24043" w:rsidRPr="00E14D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457B4"/>
    <w:multiLevelType w:val="hybridMultilevel"/>
    <w:tmpl w:val="A8D45BC8"/>
    <w:lvl w:ilvl="0" w:tplc="A2EE1B5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B1E57"/>
    <w:multiLevelType w:val="hybridMultilevel"/>
    <w:tmpl w:val="108872E6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14AE1"/>
    <w:multiLevelType w:val="hybridMultilevel"/>
    <w:tmpl w:val="B866D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86372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A6B16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76A0D"/>
    <w:multiLevelType w:val="hybridMultilevel"/>
    <w:tmpl w:val="35C8A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869D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B57C2D"/>
    <w:multiLevelType w:val="hybridMultilevel"/>
    <w:tmpl w:val="3A6E03D8"/>
    <w:lvl w:ilvl="0" w:tplc="A2EE1B5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9E27BC"/>
    <w:multiLevelType w:val="hybridMultilevel"/>
    <w:tmpl w:val="387C3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493BE4"/>
    <w:multiLevelType w:val="hybridMultilevel"/>
    <w:tmpl w:val="952ADB64"/>
    <w:lvl w:ilvl="0" w:tplc="3A3EE94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46664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E79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BA28F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D887D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B26C6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6CBC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8AF4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64F22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9087E"/>
    <w:multiLevelType w:val="hybridMultilevel"/>
    <w:tmpl w:val="E2F8F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C67A47"/>
    <w:multiLevelType w:val="hybridMultilevel"/>
    <w:tmpl w:val="B21C68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64F244F"/>
    <w:multiLevelType w:val="hybridMultilevel"/>
    <w:tmpl w:val="4A483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34CB6"/>
    <w:multiLevelType w:val="hybridMultilevel"/>
    <w:tmpl w:val="7A404A0C"/>
    <w:lvl w:ilvl="0" w:tplc="FF644F9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BC03AE"/>
    <w:multiLevelType w:val="hybridMultilevel"/>
    <w:tmpl w:val="76D8D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E449A"/>
    <w:multiLevelType w:val="hybridMultilevel"/>
    <w:tmpl w:val="E4226C8C"/>
    <w:lvl w:ilvl="0" w:tplc="9AF4EE1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D7B86"/>
    <w:multiLevelType w:val="hybridMultilevel"/>
    <w:tmpl w:val="7F5A165C"/>
    <w:lvl w:ilvl="0" w:tplc="C8061A5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F32F4"/>
    <w:multiLevelType w:val="hybridMultilevel"/>
    <w:tmpl w:val="394EE416"/>
    <w:lvl w:ilvl="0" w:tplc="8C7283F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373657"/>
    <w:multiLevelType w:val="hybridMultilevel"/>
    <w:tmpl w:val="FB8E418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1"/>
  </w:num>
  <w:num w:numId="4">
    <w:abstractNumId w:val="7"/>
  </w:num>
  <w:num w:numId="5">
    <w:abstractNumId w:val="9"/>
  </w:num>
  <w:num w:numId="6">
    <w:abstractNumId w:val="19"/>
  </w:num>
  <w:num w:numId="7">
    <w:abstractNumId w:val="4"/>
  </w:num>
  <w:num w:numId="8">
    <w:abstractNumId w:val="3"/>
  </w:num>
  <w:num w:numId="9">
    <w:abstractNumId w:val="1"/>
  </w:num>
  <w:num w:numId="10">
    <w:abstractNumId w:val="16"/>
  </w:num>
  <w:num w:numId="11">
    <w:abstractNumId w:val="2"/>
  </w:num>
  <w:num w:numId="12">
    <w:abstractNumId w:val="15"/>
  </w:num>
  <w:num w:numId="13">
    <w:abstractNumId w:val="5"/>
  </w:num>
  <w:num w:numId="14">
    <w:abstractNumId w:val="12"/>
  </w:num>
  <w:num w:numId="15">
    <w:abstractNumId w:val="10"/>
  </w:num>
  <w:num w:numId="16">
    <w:abstractNumId w:val="13"/>
  </w:num>
  <w:num w:numId="17">
    <w:abstractNumId w:val="18"/>
  </w:num>
  <w:num w:numId="18">
    <w:abstractNumId w:val="8"/>
  </w:num>
  <w:num w:numId="19">
    <w:abstractNumId w:val="1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6"/>
  <w:doNotDisplayPageBoundaries/>
  <w:activeWritingStyle w:appName="MSWord" w:lang="en-US" w:vendorID="64" w:dllVersion="131078" w:nlCheck="1" w:checkStyle="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043"/>
    <w:rsid w:val="0001159A"/>
    <w:rsid w:val="000307FB"/>
    <w:rsid w:val="00034CF4"/>
    <w:rsid w:val="000468B3"/>
    <w:rsid w:val="00062E2C"/>
    <w:rsid w:val="000B10B5"/>
    <w:rsid w:val="000E08D1"/>
    <w:rsid w:val="000E43A1"/>
    <w:rsid w:val="001164D5"/>
    <w:rsid w:val="001B69B9"/>
    <w:rsid w:val="001B7B0F"/>
    <w:rsid w:val="002218F8"/>
    <w:rsid w:val="00231914"/>
    <w:rsid w:val="00245E62"/>
    <w:rsid w:val="002624F2"/>
    <w:rsid w:val="002665C1"/>
    <w:rsid w:val="00277931"/>
    <w:rsid w:val="002843E3"/>
    <w:rsid w:val="002A4CF0"/>
    <w:rsid w:val="002A4E75"/>
    <w:rsid w:val="002D02CD"/>
    <w:rsid w:val="002D2EBB"/>
    <w:rsid w:val="00310D27"/>
    <w:rsid w:val="00313A38"/>
    <w:rsid w:val="0032113D"/>
    <w:rsid w:val="00322509"/>
    <w:rsid w:val="003461E1"/>
    <w:rsid w:val="00396DDA"/>
    <w:rsid w:val="003A0A62"/>
    <w:rsid w:val="003B108E"/>
    <w:rsid w:val="003B5926"/>
    <w:rsid w:val="003E6308"/>
    <w:rsid w:val="003E7961"/>
    <w:rsid w:val="00413970"/>
    <w:rsid w:val="00425C89"/>
    <w:rsid w:val="00434E01"/>
    <w:rsid w:val="00496299"/>
    <w:rsid w:val="004D46BB"/>
    <w:rsid w:val="004F6148"/>
    <w:rsid w:val="004F6705"/>
    <w:rsid w:val="00511382"/>
    <w:rsid w:val="005325B7"/>
    <w:rsid w:val="00536EE5"/>
    <w:rsid w:val="00541E7C"/>
    <w:rsid w:val="00542B32"/>
    <w:rsid w:val="00555866"/>
    <w:rsid w:val="00561F42"/>
    <w:rsid w:val="005634F8"/>
    <w:rsid w:val="0056576C"/>
    <w:rsid w:val="00570857"/>
    <w:rsid w:val="005760CD"/>
    <w:rsid w:val="005D0DCC"/>
    <w:rsid w:val="005D3A30"/>
    <w:rsid w:val="006077EF"/>
    <w:rsid w:val="0061114A"/>
    <w:rsid w:val="006252E0"/>
    <w:rsid w:val="00645B8F"/>
    <w:rsid w:val="00666121"/>
    <w:rsid w:val="00670F38"/>
    <w:rsid w:val="00676E12"/>
    <w:rsid w:val="006A0B2A"/>
    <w:rsid w:val="006A2C21"/>
    <w:rsid w:val="006A3D4A"/>
    <w:rsid w:val="006B0AB7"/>
    <w:rsid w:val="006D5468"/>
    <w:rsid w:val="006D6720"/>
    <w:rsid w:val="00731C38"/>
    <w:rsid w:val="007334E6"/>
    <w:rsid w:val="00733D7E"/>
    <w:rsid w:val="00744A97"/>
    <w:rsid w:val="007F70D5"/>
    <w:rsid w:val="00822DF6"/>
    <w:rsid w:val="008872F7"/>
    <w:rsid w:val="0089365E"/>
    <w:rsid w:val="00895EB4"/>
    <w:rsid w:val="008B0927"/>
    <w:rsid w:val="008C6976"/>
    <w:rsid w:val="009179C9"/>
    <w:rsid w:val="009357CD"/>
    <w:rsid w:val="0094226D"/>
    <w:rsid w:val="0094736E"/>
    <w:rsid w:val="00953659"/>
    <w:rsid w:val="009A6470"/>
    <w:rsid w:val="009B6EA8"/>
    <w:rsid w:val="009C1ABB"/>
    <w:rsid w:val="009E753B"/>
    <w:rsid w:val="00A3108B"/>
    <w:rsid w:val="00A57F57"/>
    <w:rsid w:val="00A61EAD"/>
    <w:rsid w:val="00A620B2"/>
    <w:rsid w:val="00A9464F"/>
    <w:rsid w:val="00AC321D"/>
    <w:rsid w:val="00AC6234"/>
    <w:rsid w:val="00AD1212"/>
    <w:rsid w:val="00AE6C9F"/>
    <w:rsid w:val="00AF0E52"/>
    <w:rsid w:val="00B22C00"/>
    <w:rsid w:val="00B31173"/>
    <w:rsid w:val="00BA367B"/>
    <w:rsid w:val="00BA55A8"/>
    <w:rsid w:val="00BD4B8B"/>
    <w:rsid w:val="00C26A40"/>
    <w:rsid w:val="00C73251"/>
    <w:rsid w:val="00C82B85"/>
    <w:rsid w:val="00CB4D79"/>
    <w:rsid w:val="00D1232B"/>
    <w:rsid w:val="00D2395D"/>
    <w:rsid w:val="00D27AD9"/>
    <w:rsid w:val="00D3141D"/>
    <w:rsid w:val="00D523D6"/>
    <w:rsid w:val="00D57DB0"/>
    <w:rsid w:val="00D70294"/>
    <w:rsid w:val="00DE3A16"/>
    <w:rsid w:val="00DE606D"/>
    <w:rsid w:val="00E04438"/>
    <w:rsid w:val="00E13C34"/>
    <w:rsid w:val="00E14DDF"/>
    <w:rsid w:val="00E553BC"/>
    <w:rsid w:val="00EF0DDD"/>
    <w:rsid w:val="00F023C3"/>
    <w:rsid w:val="00F24043"/>
    <w:rsid w:val="00F26D17"/>
    <w:rsid w:val="00F40C24"/>
    <w:rsid w:val="00F67CF2"/>
    <w:rsid w:val="00F734BD"/>
    <w:rsid w:val="00F95AE0"/>
    <w:rsid w:val="00FB4B57"/>
    <w:rsid w:val="00FC3799"/>
    <w:rsid w:val="00FC40AA"/>
    <w:rsid w:val="00FC7156"/>
    <w:rsid w:val="00FE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50959F-E21F-4EEE-ADAB-A5CFFA650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3E3"/>
    <w:pPr>
      <w:snapToGrid w:val="0"/>
    </w:pPr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6C9F"/>
    <w:pPr>
      <w:keepNext/>
      <w:numPr>
        <w:numId w:val="2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6C9F"/>
    <w:pPr>
      <w:keepNext/>
      <w:numPr>
        <w:ilvl w:val="1"/>
        <w:numId w:val="2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E6C9F"/>
    <w:pPr>
      <w:keepNext/>
      <w:numPr>
        <w:ilvl w:val="2"/>
        <w:numId w:val="2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rsid w:val="00AE6C9F"/>
    <w:pPr>
      <w:keepNext/>
      <w:numPr>
        <w:ilvl w:val="3"/>
        <w:numId w:val="2"/>
      </w:numPr>
      <w:spacing w:before="120"/>
      <w:ind w:left="720" w:hanging="720"/>
      <w:outlineLvl w:val="3"/>
    </w:pPr>
    <w:rPr>
      <w:rFonts w:eastAsia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6C9F"/>
    <w:pPr>
      <w:keepNext/>
      <w:numPr>
        <w:ilvl w:val="4"/>
        <w:numId w:val="2"/>
      </w:numPr>
      <w:spacing w:before="120"/>
      <w:ind w:left="720" w:hanging="720"/>
      <w:outlineLvl w:val="4"/>
    </w:pPr>
    <w:rPr>
      <w:rFonts w:eastAsiaTheme="majorEastAsia"/>
      <w:b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6C9F"/>
    <w:pPr>
      <w:keepNext/>
      <w:keepLines/>
      <w:numPr>
        <w:ilvl w:val="5"/>
        <w:numId w:val="2"/>
      </w:numPr>
      <w:spacing w:before="40" w:after="0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6C9F"/>
    <w:pPr>
      <w:keepNext/>
      <w:keepLines/>
      <w:numPr>
        <w:ilvl w:val="6"/>
        <w:numId w:val="2"/>
      </w:numPr>
      <w:spacing w:before="40" w:after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6C9F"/>
    <w:pPr>
      <w:keepNext/>
      <w:keepLines/>
      <w:numPr>
        <w:ilvl w:val="7"/>
        <w:numId w:val="2"/>
      </w:numPr>
      <w:spacing w:before="40" w:after="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6C9F"/>
    <w:pPr>
      <w:keepNext/>
      <w:keepLines/>
      <w:numPr>
        <w:ilvl w:val="8"/>
        <w:numId w:val="2"/>
      </w:numPr>
      <w:spacing w:before="40" w:after="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4043"/>
    <w:rPr>
      <w:color w:val="808080"/>
    </w:rPr>
  </w:style>
  <w:style w:type="table" w:styleId="TableGrid">
    <w:name w:val="Table Grid"/>
    <w:basedOn w:val="TableNormal"/>
    <w:uiPriority w:val="39"/>
    <w:rsid w:val="00F2404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E6C9F"/>
    <w:rPr>
      <w:rFonts w:eastAsiaTheme="majorEastAsia" w:cs="Times New Roman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E6C9F"/>
    <w:rPr>
      <w:rFonts w:eastAsiaTheme="majorEastAsia" w:cs="Times New Roman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E6C9F"/>
    <w:rPr>
      <w:rFonts w:eastAsiaTheme="majorEastAsia" w:cs="Times New Roman"/>
      <w:b/>
      <w:szCs w:val="24"/>
    </w:rPr>
  </w:style>
  <w:style w:type="character" w:customStyle="1" w:styleId="Heading4Char">
    <w:name w:val="Heading 4 Char"/>
    <w:basedOn w:val="DefaultParagraphFont"/>
    <w:link w:val="Heading4"/>
    <w:rsid w:val="00AE6C9F"/>
    <w:rPr>
      <w:rFonts w:eastAsia="Times New Roman" w:cs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6C9F"/>
    <w:rPr>
      <w:rFonts w:eastAsiaTheme="majorEastAsia" w:cs="Times New Roman"/>
      <w:b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6C9F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6C9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6C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6C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References">
    <w:name w:val="References"/>
    <w:basedOn w:val="Normal"/>
    <w:qFormat/>
    <w:rsid w:val="0089365E"/>
    <w:pPr>
      <w:numPr>
        <w:numId w:val="4"/>
      </w:numPr>
      <w:tabs>
        <w:tab w:val="clear" w:pos="360"/>
        <w:tab w:val="left" w:pos="432"/>
      </w:tabs>
      <w:autoSpaceDE w:val="0"/>
      <w:autoSpaceDN w:val="0"/>
      <w:spacing w:after="60"/>
      <w:ind w:left="432" w:hanging="432"/>
    </w:pPr>
    <w:rPr>
      <w:rFonts w:eastAsiaTheme="minorEastAsia"/>
      <w:sz w:val="20"/>
      <w:szCs w:val="16"/>
    </w:rPr>
  </w:style>
  <w:style w:type="paragraph" w:styleId="Caption">
    <w:name w:val="caption"/>
    <w:aliases w:val="cap"/>
    <w:basedOn w:val="Normal"/>
    <w:next w:val="Normal"/>
    <w:link w:val="CaptionChar"/>
    <w:uiPriority w:val="35"/>
    <w:unhideWhenUsed/>
    <w:qFormat/>
    <w:rsid w:val="00E14DDF"/>
    <w:pPr>
      <w:jc w:val="center"/>
    </w:pPr>
    <w:rPr>
      <w:b/>
      <w:iCs/>
      <w:sz w:val="20"/>
      <w:szCs w:val="18"/>
    </w:rPr>
  </w:style>
  <w:style w:type="paragraph" w:customStyle="1" w:styleId="TableCell">
    <w:name w:val="TableCell"/>
    <w:basedOn w:val="Normal"/>
    <w:rsid w:val="002843E3"/>
    <w:pPr>
      <w:spacing w:before="20" w:after="20"/>
      <w:jc w:val="left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20B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0B2"/>
    <w:rPr>
      <w:rFonts w:ascii="Segoe UI" w:hAnsi="Segoe UI" w:cs="Segoe UI"/>
      <w:sz w:val="18"/>
      <w:szCs w:val="18"/>
    </w:rPr>
  </w:style>
  <w:style w:type="character" w:customStyle="1" w:styleId="CaptionChar">
    <w:name w:val="Caption Char"/>
    <w:aliases w:val="cap Char"/>
    <w:link w:val="Caption"/>
    <w:uiPriority w:val="35"/>
    <w:rsid w:val="00C82B85"/>
    <w:rPr>
      <w:rFonts w:cs="Times New Roman"/>
      <w:b/>
      <w:iCs/>
      <w:sz w:val="20"/>
      <w:szCs w:val="18"/>
    </w:rPr>
  </w:style>
  <w:style w:type="paragraph" w:customStyle="1" w:styleId="TAH">
    <w:name w:val="TAH"/>
    <w:basedOn w:val="TAC"/>
    <w:link w:val="TAHCar"/>
    <w:rsid w:val="003A0A62"/>
    <w:rPr>
      <w:b/>
    </w:rPr>
  </w:style>
  <w:style w:type="paragraph" w:customStyle="1" w:styleId="TAC">
    <w:name w:val="TAC"/>
    <w:basedOn w:val="Normal"/>
    <w:link w:val="TACChar"/>
    <w:rsid w:val="003A0A62"/>
    <w:pPr>
      <w:keepNext/>
      <w:keepLines/>
      <w:snapToGrid/>
      <w:spacing w:after="0"/>
      <w:jc w:val="center"/>
    </w:pPr>
    <w:rPr>
      <w:rFonts w:ascii="Arial" w:eastAsia="Times New Roman" w:hAnsi="Arial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3A0A62"/>
    <w:pPr>
      <w:keepNext/>
      <w:keepLines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3A0A62"/>
    <w:pPr>
      <w:keepNext/>
      <w:keepLines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HChar">
    <w:name w:val="TH Char"/>
    <w:link w:val="TH"/>
    <w:rsid w:val="003A0A62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rsid w:val="003A0A62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3A0A62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ANChar">
    <w:name w:val="TAN Char"/>
    <w:link w:val="TAN"/>
    <w:rsid w:val="003A0A62"/>
    <w:rPr>
      <w:rFonts w:ascii="Arial" w:eastAsia="Times New Roman" w:hAnsi="Arial" w:cs="Times New Roman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0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812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32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54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78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0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1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7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397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C7792-2D06-46BB-829E-B93A73E1A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1549</Words>
  <Characters>8832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Vip</cp:lastModifiedBy>
  <cp:revision>3</cp:revision>
  <dcterms:created xsi:type="dcterms:W3CDTF">2018-05-14T19:48:00Z</dcterms:created>
  <dcterms:modified xsi:type="dcterms:W3CDTF">2018-05-14T19:56:00Z</dcterms:modified>
</cp:coreProperties>
</file>