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BD6" w:rsidRPr="00DF0F38" w:rsidRDefault="00902BD6" w:rsidP="00902BD6">
      <w:pPr>
        <w:pStyle w:val="a4"/>
        <w:tabs>
          <w:tab w:val="left" w:pos="1800"/>
        </w:tabs>
        <w:ind w:left="1800" w:hanging="1800"/>
        <w:rPr>
          <w:rFonts w:eastAsiaTheme="minorEastAsia"/>
          <w:sz w:val="22"/>
          <w:szCs w:val="22"/>
          <w:lang w:eastAsia="zh-CN"/>
        </w:rPr>
      </w:pPr>
      <w:r w:rsidRPr="00902BD6">
        <w:rPr>
          <w:sz w:val="22"/>
          <w:szCs w:val="22"/>
        </w:rPr>
        <w:t>3GPP TSG-RAN WG4 Meeting #</w:t>
      </w:r>
      <w:r w:rsidRPr="00902BD6">
        <w:rPr>
          <w:rFonts w:hint="eastAsia"/>
          <w:sz w:val="22"/>
          <w:szCs w:val="22"/>
        </w:rPr>
        <w:t>8</w:t>
      </w:r>
      <w:r w:rsidRPr="00902BD6">
        <w:rPr>
          <w:sz w:val="22"/>
          <w:szCs w:val="22"/>
        </w:rPr>
        <w:t>6bis</w:t>
      </w:r>
      <w:r w:rsidRPr="00902BD6">
        <w:rPr>
          <w:rFonts w:hint="eastAsia"/>
          <w:sz w:val="22"/>
          <w:szCs w:val="22"/>
        </w:rPr>
        <w:t xml:space="preserve">                        </w:t>
      </w:r>
      <w:r>
        <w:rPr>
          <w:rFonts w:eastAsiaTheme="minorEastAsia" w:hint="eastAsia"/>
          <w:sz w:val="22"/>
          <w:szCs w:val="22"/>
          <w:lang w:eastAsia="zh-CN"/>
        </w:rPr>
        <w:t xml:space="preserve">     </w:t>
      </w:r>
      <w:r w:rsidRPr="00902BD6">
        <w:rPr>
          <w:sz w:val="22"/>
          <w:szCs w:val="22"/>
        </w:rPr>
        <w:t>R4-18</w:t>
      </w:r>
      <w:r w:rsidR="00DF0F38">
        <w:rPr>
          <w:rFonts w:eastAsiaTheme="minorEastAsia" w:hint="eastAsia"/>
          <w:sz w:val="22"/>
          <w:szCs w:val="22"/>
          <w:lang w:eastAsia="zh-CN"/>
        </w:rPr>
        <w:t>03853</w:t>
      </w:r>
    </w:p>
    <w:p w:rsidR="00902BD6" w:rsidRPr="00902BD6" w:rsidRDefault="00902BD6" w:rsidP="00902BD6">
      <w:pPr>
        <w:pStyle w:val="a4"/>
        <w:tabs>
          <w:tab w:val="left" w:pos="1800"/>
        </w:tabs>
        <w:ind w:left="1800" w:hanging="1800"/>
        <w:rPr>
          <w:sz w:val="22"/>
          <w:szCs w:val="22"/>
        </w:rPr>
      </w:pPr>
      <w:r w:rsidRPr="00902BD6">
        <w:rPr>
          <w:sz w:val="22"/>
          <w:szCs w:val="22"/>
        </w:rPr>
        <w:t>Melbourne</w:t>
      </w:r>
      <w:r w:rsidRPr="00902BD6">
        <w:rPr>
          <w:rFonts w:hint="eastAsia"/>
          <w:sz w:val="22"/>
          <w:szCs w:val="22"/>
        </w:rPr>
        <w:t xml:space="preserve">, </w:t>
      </w:r>
      <w:r w:rsidRPr="00902BD6">
        <w:rPr>
          <w:sz w:val="22"/>
          <w:szCs w:val="22"/>
        </w:rPr>
        <w:t>AU, 16th –</w:t>
      </w:r>
      <w:r w:rsidRPr="00902BD6">
        <w:rPr>
          <w:rFonts w:hint="eastAsia"/>
          <w:sz w:val="22"/>
          <w:szCs w:val="22"/>
        </w:rPr>
        <w:t xml:space="preserve"> </w:t>
      </w:r>
      <w:r w:rsidRPr="00902BD6">
        <w:rPr>
          <w:sz w:val="22"/>
          <w:szCs w:val="22"/>
        </w:rPr>
        <w:t>20th April, 2018</w:t>
      </w:r>
    </w:p>
    <w:p w:rsidR="00F602CB" w:rsidRPr="00902BD6" w:rsidRDefault="00F602CB" w:rsidP="00F602CB">
      <w:pPr>
        <w:pStyle w:val="a4"/>
        <w:rPr>
          <w:rFonts w:eastAsiaTheme="minorEastAsia"/>
          <w:sz w:val="24"/>
          <w:lang w:eastAsia="zh-CN"/>
        </w:rPr>
      </w:pPr>
    </w:p>
    <w:p w:rsidR="00C97389" w:rsidRPr="002D082F" w:rsidRDefault="00533E3E" w:rsidP="00C97389">
      <w:pPr>
        <w:pStyle w:val="a4"/>
        <w:tabs>
          <w:tab w:val="left" w:pos="1800"/>
        </w:tabs>
        <w:ind w:left="1800" w:hanging="1800"/>
        <w:rPr>
          <w:sz w:val="22"/>
          <w:szCs w:val="22"/>
        </w:rPr>
      </w:pPr>
      <w:r w:rsidRPr="00533E3E">
        <w:rPr>
          <w:sz w:val="22"/>
          <w:szCs w:val="22"/>
        </w:rPr>
        <w:t>Source:</w:t>
      </w:r>
      <w:r w:rsidRPr="00533E3E">
        <w:rPr>
          <w:sz w:val="22"/>
          <w:szCs w:val="22"/>
        </w:rPr>
        <w:tab/>
        <w:t>CMCC</w:t>
      </w:r>
    </w:p>
    <w:p w:rsidR="00C97389" w:rsidRPr="002D082F" w:rsidRDefault="00533E3E" w:rsidP="00C97389">
      <w:pPr>
        <w:pStyle w:val="a4"/>
        <w:tabs>
          <w:tab w:val="left" w:pos="1800"/>
        </w:tabs>
        <w:ind w:left="1800" w:hanging="1800"/>
        <w:rPr>
          <w:rFonts w:eastAsiaTheme="minorEastAsia"/>
          <w:sz w:val="22"/>
          <w:szCs w:val="22"/>
          <w:lang w:eastAsia="zh-CN"/>
        </w:rPr>
      </w:pPr>
      <w:r w:rsidRPr="00533E3E">
        <w:rPr>
          <w:sz w:val="22"/>
          <w:szCs w:val="22"/>
        </w:rPr>
        <w:t>Title:</w:t>
      </w:r>
      <w:r w:rsidRPr="00533E3E">
        <w:rPr>
          <w:sz w:val="22"/>
          <w:szCs w:val="22"/>
        </w:rPr>
        <w:tab/>
      </w:r>
      <w:r w:rsidR="008B033C">
        <w:rPr>
          <w:rFonts w:eastAsiaTheme="minorEastAsia"/>
          <w:kern w:val="2"/>
          <w:sz w:val="22"/>
          <w:szCs w:val="22"/>
          <w:lang w:eastAsia="zh-CN"/>
        </w:rPr>
        <w:t>Discussion</w:t>
      </w:r>
      <w:r w:rsidR="008B033C">
        <w:rPr>
          <w:rFonts w:eastAsiaTheme="minorEastAsia" w:hint="eastAsia"/>
          <w:kern w:val="2"/>
          <w:sz w:val="22"/>
          <w:szCs w:val="22"/>
          <w:lang w:eastAsia="zh-CN"/>
        </w:rPr>
        <w:t xml:space="preserve"> of involving a definition of uplink coverage </w:t>
      </w:r>
      <w:r w:rsidR="00FF5830">
        <w:rPr>
          <w:rFonts w:eastAsiaTheme="minorEastAsia" w:hint="eastAsia"/>
          <w:kern w:val="2"/>
          <w:sz w:val="22"/>
          <w:szCs w:val="22"/>
          <w:lang w:eastAsia="zh-CN"/>
        </w:rPr>
        <w:t>for FR1</w:t>
      </w:r>
    </w:p>
    <w:p w:rsidR="00C97389" w:rsidRPr="003E2491" w:rsidRDefault="00533E3E" w:rsidP="00C97389">
      <w:pPr>
        <w:pStyle w:val="a4"/>
        <w:tabs>
          <w:tab w:val="left" w:pos="1800"/>
        </w:tabs>
        <w:ind w:left="1800" w:hanging="1800"/>
        <w:rPr>
          <w:rFonts w:eastAsiaTheme="minorEastAsia"/>
          <w:sz w:val="22"/>
          <w:szCs w:val="22"/>
          <w:lang w:eastAsia="zh-CN"/>
        </w:rPr>
      </w:pPr>
      <w:r w:rsidRPr="00533E3E">
        <w:rPr>
          <w:sz w:val="22"/>
          <w:szCs w:val="22"/>
        </w:rPr>
        <w:t>Agenda Item:</w:t>
      </w:r>
      <w:r w:rsidRPr="00533E3E">
        <w:rPr>
          <w:sz w:val="22"/>
          <w:szCs w:val="22"/>
        </w:rPr>
        <w:tab/>
      </w:r>
      <w:r w:rsidR="003E2491">
        <w:rPr>
          <w:rFonts w:eastAsiaTheme="minorEastAsia" w:hint="eastAsia"/>
          <w:sz w:val="22"/>
          <w:szCs w:val="22"/>
          <w:lang w:eastAsia="zh-CN"/>
        </w:rPr>
        <w:t>7.6.3.1.2</w:t>
      </w:r>
    </w:p>
    <w:p w:rsidR="00C97389" w:rsidRPr="002D082F" w:rsidRDefault="00533E3E" w:rsidP="00C97389">
      <w:pPr>
        <w:pStyle w:val="a4"/>
        <w:tabs>
          <w:tab w:val="left" w:pos="1795"/>
        </w:tabs>
        <w:rPr>
          <w:rFonts w:eastAsia="宋体"/>
          <w:sz w:val="22"/>
          <w:szCs w:val="22"/>
          <w:lang w:eastAsia="zh-CN"/>
        </w:rPr>
      </w:pPr>
      <w:r w:rsidRPr="00533E3E">
        <w:rPr>
          <w:sz w:val="22"/>
          <w:szCs w:val="22"/>
        </w:rPr>
        <w:t>Document for:</w:t>
      </w:r>
      <w:r w:rsidRPr="00533E3E">
        <w:rPr>
          <w:sz w:val="22"/>
          <w:szCs w:val="22"/>
        </w:rPr>
        <w:tab/>
      </w:r>
      <w:r w:rsidRPr="00533E3E">
        <w:rPr>
          <w:rFonts w:eastAsiaTheme="minorEastAsia"/>
          <w:sz w:val="22"/>
          <w:szCs w:val="22"/>
          <w:lang w:eastAsia="zh-CN"/>
        </w:rPr>
        <w:t>Approval</w:t>
      </w:r>
    </w:p>
    <w:p w:rsidR="00C97389" w:rsidRPr="00512A4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sidRPr="00FF4BD5">
        <w:rPr>
          <w:rFonts w:ascii="Arial" w:eastAsia="宋体" w:hAnsi="Arial" w:hint="eastAsia"/>
          <w:b w:val="0"/>
          <w:bCs w:val="0"/>
          <w:kern w:val="0"/>
          <w:sz w:val="32"/>
          <w:szCs w:val="20"/>
          <w:lang w:val="en-GB" w:eastAsia="zh-CN"/>
        </w:rPr>
        <w:t>Introduction</w:t>
      </w:r>
    </w:p>
    <w:p w:rsidR="008B033C" w:rsidRPr="00737CF1" w:rsidRDefault="008B033C" w:rsidP="008B033C">
      <w:pPr>
        <w:rPr>
          <w:rFonts w:ascii="Times New Roman" w:eastAsia="宋体" w:hAnsi="Times New Roman" w:cs="Times New Roman"/>
          <w:sz w:val="22"/>
          <w:lang w:val="en-GB"/>
        </w:rPr>
      </w:pPr>
      <w:r w:rsidRPr="00737CF1">
        <w:rPr>
          <w:rFonts w:ascii="Times New Roman" w:eastAsia="宋体" w:hAnsi="Times New Roman" w:cs="Times New Roman"/>
          <w:sz w:val="22"/>
          <w:lang w:val="en-GB"/>
        </w:rPr>
        <w:t>There is no uplink coverage range definition before, unlike the OTA coverage range defined on the downlink. Instead, there are two definitions of EIS related ROAOA for OTA RX requirement. It is confusing which one is related to the uplink coverage range. Therefore it is essential to make a clear definition of the downlink coverage range.</w:t>
      </w:r>
    </w:p>
    <w:p w:rsidR="00C97389" w:rsidRPr="00E576FF" w:rsidRDefault="00C97389" w:rsidP="00C97389">
      <w:pPr>
        <w:pStyle w:val="1"/>
        <w:keepLines/>
        <w:numPr>
          <w:ilvl w:val="0"/>
          <w:numId w:val="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Discussion </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sz w:val="22"/>
          <w:lang w:val="en-GB"/>
        </w:rPr>
        <w:t>In TS</w:t>
      </w:r>
      <w:r>
        <w:rPr>
          <w:rFonts w:ascii="Times New Roman" w:eastAsia="宋体" w:hAnsi="Times New Roman" w:cs="Times New Roman" w:hint="eastAsia"/>
          <w:sz w:val="22"/>
          <w:lang w:val="en-GB"/>
        </w:rPr>
        <w:t xml:space="preserve"> </w:t>
      </w:r>
      <w:r w:rsidRPr="009627BF">
        <w:rPr>
          <w:rFonts w:ascii="Times New Roman" w:eastAsia="宋体" w:hAnsi="Times New Roman" w:cs="Times New Roman"/>
          <w:sz w:val="22"/>
          <w:lang w:val="en-GB"/>
        </w:rPr>
        <w:t>3</w:t>
      </w:r>
      <w:r>
        <w:rPr>
          <w:rFonts w:ascii="Times New Roman" w:eastAsia="宋体" w:hAnsi="Times New Roman" w:cs="Times New Roman" w:hint="eastAsia"/>
          <w:sz w:val="22"/>
          <w:lang w:val="en-GB"/>
        </w:rPr>
        <w:t>8</w:t>
      </w:r>
      <w:r w:rsidRPr="009627BF">
        <w:rPr>
          <w:rFonts w:ascii="Times New Roman" w:eastAsia="宋体" w:hAnsi="Times New Roman" w:cs="Times New Roman"/>
          <w:sz w:val="22"/>
          <w:lang w:val="en-GB"/>
        </w:rPr>
        <w:t>.10</w:t>
      </w:r>
      <w:r>
        <w:rPr>
          <w:rFonts w:ascii="Times New Roman" w:eastAsia="宋体" w:hAnsi="Times New Roman" w:cs="Times New Roman" w:hint="eastAsia"/>
          <w:sz w:val="22"/>
          <w:lang w:val="en-GB"/>
        </w:rPr>
        <w:t>4</w:t>
      </w:r>
      <w:r w:rsidR="00D25DA2">
        <w:rPr>
          <w:rFonts w:ascii="Times New Roman" w:eastAsia="宋体" w:hAnsi="Times New Roman" w:cs="Times New Roman" w:hint="eastAsia"/>
          <w:sz w:val="22"/>
          <w:lang w:val="en-GB"/>
        </w:rPr>
        <w:t>, t</w:t>
      </w:r>
      <w:r w:rsidR="00D25DA2" w:rsidRPr="009627BF">
        <w:rPr>
          <w:rFonts w:ascii="Times New Roman" w:eastAsia="宋体" w:hAnsi="Times New Roman" w:cs="Times New Roman"/>
          <w:sz w:val="22"/>
          <w:lang w:val="en-GB"/>
        </w:rPr>
        <w:t>here</w:t>
      </w:r>
      <w:r w:rsidRPr="009627BF">
        <w:rPr>
          <w:rFonts w:ascii="Times New Roman" w:eastAsia="宋体" w:hAnsi="Times New Roman" w:cs="Times New Roman"/>
          <w:sz w:val="22"/>
          <w:lang w:val="en-GB"/>
        </w:rPr>
        <w:t xml:space="preserve"> are two sets of EIS requirement, OTA reference sensitivity and OTA sensitivity and each has its own definition of range in angle.</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sz w:val="22"/>
          <w:lang w:val="en-GB"/>
        </w:rPr>
        <w:t>The OTA reference sensitivity (OTA REFSENS) requirement is the OTA equivalent of the conducted reference sensitivity, its intention is not to specifically capture antenna performance but rather to estimate an equivalent passive antenna gain if it were being used in the same deployment scenario and show equivalence to the conducted requirement.</w:t>
      </w:r>
    </w:p>
    <w:p w:rsidR="009627BF" w:rsidRPr="009627BF" w:rsidRDefault="009627BF" w:rsidP="009627BF">
      <w:pPr>
        <w:ind w:leftChars="100" w:left="210"/>
        <w:rPr>
          <w:rFonts w:ascii="Times New Roman" w:eastAsia="宋体" w:hAnsi="Times New Roman" w:cs="Times New Roman"/>
          <w:i/>
          <w:sz w:val="22"/>
          <w:lang w:val="en-GB"/>
        </w:rPr>
      </w:pPr>
      <w:r w:rsidRPr="009627BF">
        <w:rPr>
          <w:rFonts w:ascii="Times New Roman" w:eastAsia="宋体" w:hAnsi="Times New Roman" w:cs="Times New Roman"/>
          <w:b/>
          <w:i/>
          <w:sz w:val="22"/>
          <w:lang w:val="en-GB"/>
        </w:rPr>
        <w:t>OTA REFSENS RoAoA:</w:t>
      </w:r>
      <w:r w:rsidRPr="009627BF">
        <w:rPr>
          <w:rFonts w:ascii="Times New Roman" w:eastAsia="宋体" w:hAnsi="Times New Roman" w:cs="Times New Roman"/>
          <w:i/>
          <w:sz w:val="22"/>
          <w:lang w:val="en-GB"/>
        </w:rPr>
        <w:t xml:space="preserve"> is the RoAoA determined by the contour defined by the points at which the achieved EIS is 3dB higher than the achieved EIS in the reference direction.</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sz w:val="22"/>
          <w:lang w:val="en-GB"/>
        </w:rPr>
        <w:t xml:space="preserve">The OTA receiver sensitivity requirement is intended to capture system performance, including antenna array, RDN, TRX array and BB combining and demodulation algorithms. In this way, the requirement captures all aspects that influence OTA sensitivity such as </w:t>
      </w:r>
      <w:proofErr w:type="spellStart"/>
      <w:r w:rsidRPr="009627BF">
        <w:rPr>
          <w:rFonts w:ascii="Times New Roman" w:eastAsia="宋体" w:hAnsi="Times New Roman" w:cs="Times New Roman"/>
          <w:sz w:val="22"/>
          <w:lang w:val="en-GB"/>
        </w:rPr>
        <w:t>beamforming</w:t>
      </w:r>
      <w:proofErr w:type="spellEnd"/>
      <w:r w:rsidRPr="009627BF">
        <w:rPr>
          <w:rFonts w:ascii="Times New Roman" w:eastAsia="宋体" w:hAnsi="Times New Roman" w:cs="Times New Roman"/>
          <w:sz w:val="22"/>
          <w:lang w:val="en-GB"/>
        </w:rPr>
        <w:t xml:space="preserve"> and combining, receiver electronics noise figure and receiver radiated self-interference (arising e.g. from Passive </w:t>
      </w:r>
      <w:r w:rsidR="001647E1" w:rsidRPr="009627BF">
        <w:rPr>
          <w:rFonts w:ascii="Times New Roman" w:eastAsia="宋体" w:hAnsi="Times New Roman" w:cs="Times New Roman"/>
          <w:sz w:val="22"/>
          <w:lang w:val="en-GB"/>
        </w:rPr>
        <w:t>intermediation</w:t>
      </w:r>
      <w:r w:rsidRPr="009627BF">
        <w:rPr>
          <w:rFonts w:ascii="Times New Roman" w:eastAsia="宋体" w:hAnsi="Times New Roman" w:cs="Times New Roman"/>
          <w:sz w:val="22"/>
          <w:lang w:val="en-GB"/>
        </w:rPr>
        <w:t xml:space="preserve"> in some bands).</w:t>
      </w:r>
    </w:p>
    <w:p w:rsidR="009627BF" w:rsidRPr="009627BF" w:rsidRDefault="009627BF" w:rsidP="009627BF">
      <w:pPr>
        <w:ind w:leftChars="100" w:left="210"/>
        <w:rPr>
          <w:rFonts w:ascii="Times New Roman" w:eastAsia="宋体" w:hAnsi="Times New Roman" w:cs="Times New Roman"/>
          <w:b/>
          <w:i/>
          <w:sz w:val="22"/>
          <w:lang w:val="en-GB"/>
        </w:rPr>
      </w:pPr>
      <w:r w:rsidRPr="009627BF">
        <w:rPr>
          <w:rFonts w:ascii="Times New Roman" w:eastAsia="宋体" w:hAnsi="Times New Roman" w:cs="Times New Roman"/>
          <w:b/>
          <w:i/>
          <w:sz w:val="22"/>
          <w:lang w:val="en-GB"/>
        </w:rPr>
        <w:t xml:space="preserve">sensitivity RoAoA: </w:t>
      </w:r>
      <w:r w:rsidRPr="009627BF">
        <w:rPr>
          <w:rFonts w:ascii="Times New Roman" w:eastAsia="宋体" w:hAnsi="Times New Roman" w:cs="Times New Roman"/>
          <w:i/>
          <w:sz w:val="22"/>
          <w:lang w:val="en-GB"/>
        </w:rPr>
        <w:t>RoAoA within the OTA sensitivity directions declaration, within which the declared EIS(s) of an OSDD is intended to be achieved at any instance of time for a specific AAS BS direction setting</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hint="eastAsia"/>
          <w:sz w:val="22"/>
          <w:lang w:val="en-GB"/>
        </w:rPr>
        <w:t>A</w:t>
      </w:r>
      <w:r w:rsidRPr="009627BF">
        <w:rPr>
          <w:rFonts w:ascii="Times New Roman" w:eastAsia="宋体" w:hAnsi="Times New Roman" w:cs="Times New Roman"/>
          <w:sz w:val="22"/>
          <w:lang w:val="en-GB"/>
        </w:rPr>
        <w:t xml:space="preserve">ccording to the definition of OTA reference sensitivity and OTA </w:t>
      </w:r>
      <w:r w:rsidR="00D25DA2" w:rsidRPr="009627BF">
        <w:rPr>
          <w:rFonts w:ascii="Times New Roman" w:eastAsia="宋体" w:hAnsi="Times New Roman" w:cs="Times New Roman"/>
          <w:sz w:val="22"/>
          <w:lang w:val="en-GB"/>
        </w:rPr>
        <w:t>sensitiv</w:t>
      </w:r>
      <w:r w:rsidR="00D25DA2">
        <w:rPr>
          <w:rFonts w:ascii="Times New Roman" w:eastAsia="宋体" w:hAnsi="Times New Roman" w:cs="Times New Roman"/>
          <w:sz w:val="22"/>
          <w:lang w:val="en-GB"/>
        </w:rPr>
        <w:t>i</w:t>
      </w:r>
      <w:r w:rsidR="00D25DA2" w:rsidRPr="009627BF">
        <w:rPr>
          <w:rFonts w:ascii="Times New Roman" w:eastAsia="宋体" w:hAnsi="Times New Roman" w:cs="Times New Roman"/>
          <w:sz w:val="22"/>
          <w:lang w:val="en-GB"/>
        </w:rPr>
        <w:t>ty</w:t>
      </w:r>
      <w:r w:rsidRPr="009627BF">
        <w:rPr>
          <w:rFonts w:ascii="Times New Roman" w:eastAsia="宋体" w:hAnsi="Times New Roman" w:cs="Times New Roman"/>
          <w:sz w:val="22"/>
          <w:lang w:val="en-GB"/>
        </w:rPr>
        <w:t xml:space="preserve">, it is good to say that the </w:t>
      </w:r>
      <w:bookmarkStart w:id="0" w:name="_Hlk509436925"/>
      <w:r w:rsidRPr="009627BF">
        <w:rPr>
          <w:rFonts w:ascii="Times New Roman" w:eastAsia="宋体" w:hAnsi="Times New Roman" w:cs="Times New Roman"/>
          <w:sz w:val="22"/>
          <w:lang w:val="en-GB"/>
        </w:rPr>
        <w:t xml:space="preserve">OTA sensitivity is more likely to be used as the base to define the uplink coverage range. </w:t>
      </w:r>
    </w:p>
    <w:bookmarkEnd w:id="0"/>
    <w:p w:rsidR="009627BF" w:rsidRPr="009627BF" w:rsidRDefault="009627BF" w:rsidP="00D25DA2">
      <w:pPr>
        <w:spacing w:line="480" w:lineRule="auto"/>
        <w:rPr>
          <w:rFonts w:ascii="Times New Roman" w:eastAsia="宋体" w:hAnsi="Times New Roman" w:cs="Times New Roman"/>
          <w:b/>
          <w:sz w:val="22"/>
          <w:lang w:val="en-GB"/>
        </w:rPr>
      </w:pPr>
      <w:r w:rsidRPr="00D25DA2">
        <w:rPr>
          <w:rFonts w:ascii="Times New Roman" w:eastAsia="宋体" w:hAnsi="Times New Roman" w:cs="Times New Roman"/>
          <w:b/>
          <w:sz w:val="22"/>
          <w:u w:val="single"/>
          <w:lang w:val="en-GB"/>
        </w:rPr>
        <w:t>Observation 1</w:t>
      </w:r>
      <w:r w:rsidRPr="009627BF">
        <w:rPr>
          <w:rFonts w:ascii="Times New Roman" w:eastAsia="宋体" w:hAnsi="Times New Roman" w:cs="Times New Roman"/>
          <w:b/>
          <w:sz w:val="22"/>
          <w:lang w:val="en-GB"/>
        </w:rPr>
        <w:t>: OTA sensitivity is more likely to be used as the base to define the uplink coverage range.</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hint="eastAsia"/>
          <w:sz w:val="22"/>
          <w:lang w:val="en-GB"/>
        </w:rPr>
        <w:t>A</w:t>
      </w:r>
      <w:r w:rsidRPr="009627BF">
        <w:rPr>
          <w:rFonts w:ascii="Times New Roman" w:eastAsia="宋体" w:hAnsi="Times New Roman" w:cs="Times New Roman"/>
          <w:sz w:val="22"/>
          <w:lang w:val="en-GB"/>
        </w:rPr>
        <w:t>nd there is another definition of OTA sensitivity directions declaration, which is also related to the OTA sensitivity.</w:t>
      </w:r>
    </w:p>
    <w:p w:rsidR="009627BF" w:rsidRPr="009627BF" w:rsidRDefault="009627BF" w:rsidP="009627BF">
      <w:pPr>
        <w:ind w:leftChars="100" w:left="210"/>
        <w:rPr>
          <w:rFonts w:ascii="Times New Roman" w:eastAsia="宋体" w:hAnsi="Times New Roman" w:cs="Times New Roman"/>
          <w:i/>
          <w:sz w:val="22"/>
          <w:lang w:val="en-GB"/>
        </w:rPr>
      </w:pPr>
      <w:r w:rsidRPr="009627BF">
        <w:rPr>
          <w:rFonts w:ascii="Times New Roman" w:eastAsia="宋体" w:hAnsi="Times New Roman" w:cs="Times New Roman"/>
          <w:b/>
          <w:i/>
          <w:sz w:val="22"/>
          <w:lang w:val="en-GB"/>
        </w:rPr>
        <w:t xml:space="preserve">OTA sensitivity directions declaration: </w:t>
      </w:r>
      <w:r w:rsidRPr="009627BF">
        <w:rPr>
          <w:rFonts w:ascii="Times New Roman" w:eastAsia="宋体" w:hAnsi="Times New Roman" w:cs="Times New Roman"/>
          <w:i/>
          <w:sz w:val="22"/>
          <w:lang w:val="en-GB"/>
        </w:rPr>
        <w:t xml:space="preserve">set of manufacturer declarations comprising an EIS </w:t>
      </w:r>
      <w:r w:rsidRPr="009627BF">
        <w:rPr>
          <w:rFonts w:ascii="Times New Roman" w:eastAsia="宋体" w:hAnsi="Times New Roman" w:cs="Times New Roman"/>
          <w:i/>
          <w:sz w:val="22"/>
          <w:lang w:val="en-GB"/>
        </w:rPr>
        <w:lastRenderedPageBreak/>
        <w:t>value and the directions where it applies</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hint="eastAsia"/>
          <w:sz w:val="22"/>
          <w:lang w:val="en-GB"/>
        </w:rPr>
        <w:t>I</w:t>
      </w:r>
      <w:r w:rsidRPr="009627BF">
        <w:rPr>
          <w:rFonts w:ascii="Times New Roman" w:eastAsia="宋体" w:hAnsi="Times New Roman" w:cs="Times New Roman"/>
          <w:sz w:val="22"/>
          <w:lang w:val="en-GB"/>
        </w:rPr>
        <w:t>t seems that the sensitivity RoAoA is the sub section of OTA sensitivity directions declaration.</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sz w:val="22"/>
          <w:lang w:val="en-GB"/>
        </w:rPr>
        <w:t>For basestation capable of downtilt</w:t>
      </w:r>
      <w:r w:rsidR="002D4224">
        <w:rPr>
          <w:rFonts w:ascii="Times New Roman" w:eastAsia="宋体" w:hAnsi="Times New Roman" w:cs="Times New Roman" w:hint="eastAsia"/>
          <w:sz w:val="22"/>
          <w:lang w:val="en-GB"/>
        </w:rPr>
        <w:t>, t</w:t>
      </w:r>
      <w:r w:rsidRPr="009627BF">
        <w:rPr>
          <w:rFonts w:ascii="Times New Roman" w:eastAsia="宋体" w:hAnsi="Times New Roman" w:cs="Times New Roman"/>
          <w:sz w:val="22"/>
          <w:lang w:val="en-GB"/>
        </w:rPr>
        <w:t>he OSDD is consist</w:t>
      </w:r>
      <w:r>
        <w:rPr>
          <w:rFonts w:ascii="Times New Roman" w:eastAsia="宋体" w:hAnsi="Times New Roman" w:cs="Times New Roman" w:hint="eastAsia"/>
          <w:sz w:val="22"/>
          <w:lang w:val="en-GB"/>
        </w:rPr>
        <w:t>ed</w:t>
      </w:r>
      <w:r w:rsidRPr="009627BF">
        <w:rPr>
          <w:rFonts w:ascii="Times New Roman" w:eastAsia="宋体" w:hAnsi="Times New Roman" w:cs="Times New Roman"/>
          <w:sz w:val="22"/>
          <w:lang w:val="en-GB"/>
        </w:rPr>
        <w:t xml:space="preserve"> </w:t>
      </w:r>
      <w:proofErr w:type="gramStart"/>
      <w:r w:rsidR="001647E1">
        <w:rPr>
          <w:rFonts w:ascii="Times New Roman" w:eastAsia="宋体" w:hAnsi="Times New Roman" w:cs="Times New Roman" w:hint="eastAsia"/>
          <w:sz w:val="22"/>
          <w:lang w:val="en-GB"/>
        </w:rPr>
        <w:t>of</w:t>
      </w:r>
      <w:r w:rsidRPr="009627BF">
        <w:rPr>
          <w:rFonts w:ascii="Times New Roman" w:eastAsia="宋体" w:hAnsi="Times New Roman" w:cs="Times New Roman"/>
          <w:sz w:val="22"/>
          <w:lang w:val="en-GB"/>
        </w:rPr>
        <w:t xml:space="preserve"> several sensitivity </w:t>
      </w:r>
      <w:proofErr w:type="spellStart"/>
      <w:r w:rsidRPr="009627BF">
        <w:rPr>
          <w:rFonts w:ascii="Times New Roman" w:eastAsia="宋体" w:hAnsi="Times New Roman" w:cs="Times New Roman"/>
          <w:sz w:val="22"/>
          <w:lang w:val="en-GB"/>
        </w:rPr>
        <w:t>RoAoA</w:t>
      </w:r>
      <w:proofErr w:type="spellEnd"/>
      <w:r w:rsidRPr="009627BF">
        <w:rPr>
          <w:rFonts w:ascii="Times New Roman" w:eastAsia="宋体" w:hAnsi="Times New Roman" w:cs="Times New Roman"/>
          <w:sz w:val="22"/>
          <w:lang w:val="en-GB"/>
        </w:rPr>
        <w:t xml:space="preserve"> as showed below</w:t>
      </w:r>
      <w:proofErr w:type="gramEnd"/>
      <w:r w:rsidRPr="009627BF">
        <w:rPr>
          <w:rFonts w:ascii="Times New Roman" w:eastAsia="宋体" w:hAnsi="Times New Roman" w:cs="Times New Roman"/>
          <w:sz w:val="22"/>
          <w:lang w:val="en-GB"/>
        </w:rPr>
        <w:t>.</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noProof/>
          <w:sz w:val="22"/>
        </w:rPr>
        <w:drawing>
          <wp:inline distT="0" distB="0" distL="0" distR="0">
            <wp:extent cx="5274310" cy="294693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74310" cy="2946930"/>
                    </a:xfrm>
                    <a:prstGeom prst="rect">
                      <a:avLst/>
                    </a:prstGeom>
                    <a:noFill/>
                    <a:ln>
                      <a:noFill/>
                    </a:ln>
                  </pic:spPr>
                </pic:pic>
              </a:graphicData>
            </a:graphic>
          </wp:inline>
        </w:drawing>
      </w:r>
    </w:p>
    <w:p w:rsidR="009627BF" w:rsidRPr="009627BF" w:rsidRDefault="009627BF" w:rsidP="00D25DA2">
      <w:pPr>
        <w:jc w:val="center"/>
        <w:rPr>
          <w:rFonts w:ascii="Times New Roman" w:eastAsia="宋体" w:hAnsi="Times New Roman" w:cs="Times New Roman"/>
          <w:sz w:val="22"/>
          <w:lang w:val="en-GB"/>
        </w:rPr>
      </w:pPr>
      <w:r w:rsidRPr="009627BF">
        <w:rPr>
          <w:rFonts w:ascii="Times New Roman" w:eastAsia="宋体" w:hAnsi="Times New Roman" w:cs="Times New Roman"/>
          <w:sz w:val="22"/>
          <w:lang w:val="en-GB"/>
        </w:rPr>
        <w:t xml:space="preserve">Figure </w:t>
      </w:r>
      <w:r>
        <w:rPr>
          <w:rFonts w:ascii="Times New Roman" w:eastAsia="宋体" w:hAnsi="Times New Roman" w:cs="Times New Roman" w:hint="eastAsia"/>
          <w:sz w:val="22"/>
          <w:lang w:val="en-GB"/>
        </w:rPr>
        <w:t>1</w:t>
      </w:r>
      <w:r w:rsidRPr="009627BF">
        <w:rPr>
          <w:rFonts w:ascii="Times New Roman" w:eastAsia="宋体" w:hAnsi="Times New Roman" w:cs="Times New Roman"/>
          <w:sz w:val="22"/>
          <w:lang w:val="en-GB"/>
        </w:rPr>
        <w:t>: OSDD with target redirection capability</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hint="eastAsia"/>
          <w:sz w:val="22"/>
          <w:lang w:val="en-GB"/>
        </w:rPr>
        <w:t>And</w:t>
      </w:r>
      <w:r w:rsidRPr="009627BF">
        <w:rPr>
          <w:rFonts w:ascii="Times New Roman" w:eastAsia="宋体" w:hAnsi="Times New Roman" w:cs="Times New Roman"/>
          <w:sz w:val="22"/>
          <w:lang w:val="en-GB"/>
        </w:rPr>
        <w:t xml:space="preserve"> </w:t>
      </w:r>
      <w:r w:rsidRPr="009627BF">
        <w:rPr>
          <w:rFonts w:ascii="Times New Roman" w:eastAsia="宋体" w:hAnsi="Times New Roman" w:cs="Times New Roman" w:hint="eastAsia"/>
          <w:sz w:val="22"/>
          <w:lang w:val="en-GB"/>
        </w:rPr>
        <w:t>f</w:t>
      </w:r>
      <w:r w:rsidRPr="009627BF">
        <w:rPr>
          <w:rFonts w:ascii="Times New Roman" w:eastAsia="宋体" w:hAnsi="Times New Roman" w:cs="Times New Roman"/>
          <w:sz w:val="22"/>
          <w:lang w:val="en-GB"/>
        </w:rPr>
        <w:t xml:space="preserve">or </w:t>
      </w:r>
      <w:r w:rsidR="00D25DA2">
        <w:rPr>
          <w:rFonts w:ascii="Times New Roman" w:eastAsia="宋体" w:hAnsi="Times New Roman" w:cs="Times New Roman" w:hint="eastAsia"/>
          <w:sz w:val="22"/>
          <w:lang w:val="en-GB"/>
        </w:rPr>
        <w:t>b</w:t>
      </w:r>
      <w:r w:rsidRPr="009627BF">
        <w:rPr>
          <w:rFonts w:ascii="Times New Roman" w:eastAsia="宋体" w:hAnsi="Times New Roman" w:cs="Times New Roman"/>
          <w:sz w:val="22"/>
          <w:lang w:val="en-GB"/>
        </w:rPr>
        <w:t>asestation with adaptive combining</w:t>
      </w:r>
      <w:r>
        <w:rPr>
          <w:rFonts w:ascii="Times New Roman" w:eastAsia="宋体" w:hAnsi="Times New Roman" w:cs="Times New Roman" w:hint="eastAsia"/>
          <w:sz w:val="22"/>
          <w:lang w:val="en-GB"/>
        </w:rPr>
        <w:t>, r</w:t>
      </w:r>
      <w:r w:rsidRPr="009627BF">
        <w:rPr>
          <w:rFonts w:ascii="Times New Roman" w:eastAsia="宋体" w:hAnsi="Times New Roman" w:cs="Times New Roman"/>
          <w:sz w:val="22"/>
          <w:lang w:val="en-GB"/>
        </w:rPr>
        <w:t>edirection range and sensitivity RoAoA are completely aligned.</w:t>
      </w:r>
    </w:p>
    <w:p w:rsidR="009627BF" w:rsidRPr="009627BF" w:rsidRDefault="009627BF" w:rsidP="009627BF">
      <w:pPr>
        <w:jc w:val="center"/>
        <w:rPr>
          <w:rFonts w:ascii="Times New Roman" w:eastAsia="宋体" w:hAnsi="Times New Roman" w:cs="Times New Roman"/>
          <w:sz w:val="22"/>
          <w:lang w:val="en-GB"/>
        </w:rPr>
      </w:pPr>
      <w:r w:rsidRPr="009627BF">
        <w:rPr>
          <w:rFonts w:ascii="Times New Roman" w:eastAsia="宋体" w:hAnsi="Times New Roman" w:cs="Times New Roman"/>
          <w:noProof/>
          <w:sz w:val="22"/>
        </w:rPr>
        <w:drawing>
          <wp:inline distT="0" distB="0" distL="0" distR="0">
            <wp:extent cx="3518535" cy="1924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518535" cy="1924050"/>
                    </a:xfrm>
                    <a:prstGeom prst="rect">
                      <a:avLst/>
                    </a:prstGeom>
                    <a:noFill/>
                    <a:ln>
                      <a:noFill/>
                    </a:ln>
                    <a:effectLst/>
                  </pic:spPr>
                </pic:pic>
              </a:graphicData>
            </a:graphic>
          </wp:inline>
        </w:drawing>
      </w:r>
    </w:p>
    <w:p w:rsidR="009627BF" w:rsidRPr="009627BF" w:rsidRDefault="009627BF" w:rsidP="009627BF">
      <w:pPr>
        <w:jc w:val="center"/>
        <w:rPr>
          <w:rFonts w:ascii="Times New Roman" w:eastAsia="宋体" w:hAnsi="Times New Roman" w:cs="Times New Roman"/>
          <w:sz w:val="22"/>
          <w:lang w:val="en-GB"/>
        </w:rPr>
      </w:pPr>
      <w:r w:rsidRPr="009627BF">
        <w:rPr>
          <w:rFonts w:ascii="Times New Roman" w:eastAsia="宋体" w:hAnsi="Times New Roman" w:cs="Times New Roman"/>
          <w:sz w:val="22"/>
          <w:lang w:val="en-GB"/>
        </w:rPr>
        <w:t xml:space="preserve">Figure </w:t>
      </w:r>
      <w:r>
        <w:rPr>
          <w:rFonts w:ascii="Times New Roman" w:eastAsia="宋体" w:hAnsi="Times New Roman" w:cs="Times New Roman" w:hint="eastAsia"/>
          <w:sz w:val="22"/>
          <w:lang w:val="en-GB"/>
        </w:rPr>
        <w:t>2</w:t>
      </w:r>
      <w:r w:rsidRPr="009627BF">
        <w:rPr>
          <w:rFonts w:ascii="Times New Roman" w:eastAsia="宋体" w:hAnsi="Times New Roman" w:cs="Times New Roman"/>
          <w:sz w:val="22"/>
          <w:lang w:val="en-GB"/>
        </w:rPr>
        <w:t xml:space="preserve"> Example of a declaration of redirection range and conformance test points</w:t>
      </w:r>
      <w:r w:rsidRPr="009627BF">
        <w:rPr>
          <w:rFonts w:ascii="Times New Roman" w:eastAsia="宋体" w:hAnsi="Times New Roman" w:cs="Times New Roman"/>
          <w:sz w:val="22"/>
          <w:lang w:val="en-GB"/>
        </w:rPr>
        <w:br/>
        <w:t>for an AAS BS that performs all RX combining in baseband</w:t>
      </w:r>
    </w:p>
    <w:p w:rsidR="009627BF" w:rsidRPr="009627BF" w:rsidRDefault="00F472CF" w:rsidP="009627BF">
      <w:pPr>
        <w:rPr>
          <w:rFonts w:ascii="Times New Roman" w:eastAsia="宋体" w:hAnsi="Times New Roman" w:cs="Times New Roman"/>
          <w:sz w:val="22"/>
          <w:lang w:val="en-GB"/>
        </w:rPr>
      </w:pPr>
      <w:r>
        <w:rPr>
          <w:rFonts w:ascii="Times New Roman" w:eastAsia="宋体" w:hAnsi="Times New Roman" w:cs="Times New Roman" w:hint="eastAsia"/>
          <w:sz w:val="22"/>
          <w:lang w:val="en-GB"/>
        </w:rPr>
        <w:t>F</w:t>
      </w:r>
      <w:r w:rsidR="009627BF" w:rsidRPr="009627BF">
        <w:rPr>
          <w:rFonts w:ascii="Times New Roman" w:eastAsia="宋体" w:hAnsi="Times New Roman" w:cs="Times New Roman"/>
          <w:sz w:val="22"/>
          <w:lang w:val="en-GB"/>
        </w:rPr>
        <w:t>or base station with no adaptive combining but capable of downtilt, the OSDD describes the general meaning of coverage range. But we have to carefully clarified that this general coverage range cannot achieved at any coinstantaneous time, it happen in different time. Downtilt is usually used for network optimization, when the downtilt is set, it is not changed frequently. And the switching time is much slower. If we simply define the OSDD as uplink coverage range, it has the risk of enlarge the true coverage range of the base station.</w:t>
      </w:r>
    </w:p>
    <w:p w:rsidR="009627BF" w:rsidRPr="00D25DA2" w:rsidRDefault="009627BF" w:rsidP="00D25DA2">
      <w:pPr>
        <w:spacing w:line="480" w:lineRule="auto"/>
        <w:rPr>
          <w:rFonts w:ascii="Times New Roman" w:eastAsia="宋体" w:hAnsi="Times New Roman" w:cs="Times New Roman"/>
          <w:b/>
          <w:sz w:val="22"/>
          <w:lang w:val="en-GB"/>
        </w:rPr>
      </w:pPr>
      <w:r w:rsidRPr="00D25DA2">
        <w:rPr>
          <w:rFonts w:ascii="Times New Roman" w:eastAsia="宋体" w:hAnsi="Times New Roman" w:cs="Times New Roman" w:hint="eastAsia"/>
          <w:b/>
          <w:sz w:val="22"/>
          <w:u w:val="single"/>
          <w:lang w:val="en-GB"/>
        </w:rPr>
        <w:t>O</w:t>
      </w:r>
      <w:r w:rsidRPr="00D25DA2">
        <w:rPr>
          <w:rFonts w:ascii="Times New Roman" w:eastAsia="宋体" w:hAnsi="Times New Roman" w:cs="Times New Roman"/>
          <w:b/>
          <w:sz w:val="22"/>
          <w:u w:val="single"/>
          <w:lang w:val="en-GB"/>
        </w:rPr>
        <w:t>bservation2</w:t>
      </w:r>
      <w:r w:rsidRPr="006429E2">
        <w:rPr>
          <w:rFonts w:ascii="Times New Roman" w:eastAsia="宋体" w:hAnsi="Times New Roman" w:cs="Times New Roman"/>
          <w:b/>
          <w:sz w:val="22"/>
          <w:lang w:val="en-GB"/>
        </w:rPr>
        <w:t xml:space="preserve">: the OSDD is not suitable to </w:t>
      </w:r>
      <w:r w:rsidR="00D25DA2" w:rsidRPr="006429E2">
        <w:rPr>
          <w:rFonts w:ascii="Times New Roman" w:eastAsia="宋体" w:hAnsi="Times New Roman" w:cs="Times New Roman"/>
          <w:b/>
          <w:sz w:val="22"/>
          <w:lang w:val="en-GB"/>
        </w:rPr>
        <w:t>define</w:t>
      </w:r>
      <w:r w:rsidRPr="006429E2">
        <w:rPr>
          <w:rFonts w:ascii="Times New Roman" w:eastAsia="宋体" w:hAnsi="Times New Roman" w:cs="Times New Roman"/>
          <w:b/>
          <w:sz w:val="22"/>
          <w:lang w:val="en-GB"/>
        </w:rPr>
        <w:t xml:space="preserve"> the coverage range of basestation with no adaptive co</w:t>
      </w:r>
      <w:r w:rsidR="006429E2">
        <w:rPr>
          <w:rFonts w:ascii="Times New Roman" w:eastAsia="宋体" w:hAnsi="Times New Roman" w:cs="Times New Roman"/>
          <w:b/>
          <w:sz w:val="22"/>
          <w:lang w:val="en-GB"/>
        </w:rPr>
        <w:t xml:space="preserve">mbining but capable of </w:t>
      </w:r>
      <w:proofErr w:type="spellStart"/>
      <w:r w:rsidR="006429E2">
        <w:rPr>
          <w:rFonts w:ascii="Times New Roman" w:eastAsia="宋体" w:hAnsi="Times New Roman" w:cs="Times New Roman"/>
          <w:b/>
          <w:sz w:val="22"/>
          <w:lang w:val="en-GB"/>
        </w:rPr>
        <w:t>downtilt</w:t>
      </w:r>
      <w:proofErr w:type="spellEnd"/>
      <w:r w:rsidR="006429E2">
        <w:rPr>
          <w:rFonts w:ascii="Times New Roman" w:eastAsia="宋体" w:hAnsi="Times New Roman" w:cs="Times New Roman" w:hint="eastAsia"/>
          <w:b/>
          <w:sz w:val="22"/>
          <w:lang w:val="en-GB"/>
        </w:rPr>
        <w:t>.</w:t>
      </w:r>
    </w:p>
    <w:p w:rsidR="009627BF" w:rsidRPr="009627BF" w:rsidRDefault="009627BF" w:rsidP="009627BF">
      <w:pPr>
        <w:rPr>
          <w:rFonts w:ascii="Times New Roman" w:eastAsia="宋体" w:hAnsi="Times New Roman" w:cs="Times New Roman"/>
          <w:sz w:val="22"/>
          <w:lang w:val="en-GB"/>
        </w:rPr>
      </w:pPr>
      <w:r w:rsidRPr="009627BF">
        <w:rPr>
          <w:rFonts w:ascii="Times New Roman" w:eastAsia="宋体" w:hAnsi="Times New Roman" w:cs="Times New Roman"/>
          <w:sz w:val="22"/>
          <w:lang w:val="en-GB"/>
        </w:rPr>
        <w:lastRenderedPageBreak/>
        <w:t xml:space="preserve">The sensitivity RoAoA is stubble for the definition of the coverage range. </w:t>
      </w:r>
      <w:r w:rsidR="00D25DA2">
        <w:rPr>
          <w:rFonts w:ascii="Times New Roman" w:eastAsia="宋体" w:hAnsi="Times New Roman" w:cs="Times New Roman" w:hint="eastAsia"/>
          <w:sz w:val="22"/>
          <w:lang w:val="en-GB"/>
        </w:rPr>
        <w:t>The</w:t>
      </w:r>
      <w:r w:rsidRPr="009627BF">
        <w:rPr>
          <w:rFonts w:ascii="Times New Roman" w:eastAsia="宋体" w:hAnsi="Times New Roman" w:cs="Times New Roman"/>
          <w:sz w:val="22"/>
          <w:lang w:val="en-GB"/>
        </w:rPr>
        <w:t xml:space="preserve"> sensitivity </w:t>
      </w:r>
      <w:proofErr w:type="spellStart"/>
      <w:r w:rsidRPr="009627BF">
        <w:rPr>
          <w:rFonts w:ascii="Times New Roman" w:eastAsia="宋体" w:hAnsi="Times New Roman" w:cs="Times New Roman"/>
          <w:sz w:val="22"/>
          <w:lang w:val="en-GB"/>
        </w:rPr>
        <w:t>RoAoA</w:t>
      </w:r>
      <w:proofErr w:type="spellEnd"/>
      <w:r w:rsidRPr="009627BF">
        <w:rPr>
          <w:rFonts w:ascii="Times New Roman" w:eastAsia="宋体" w:hAnsi="Times New Roman" w:cs="Times New Roman"/>
          <w:sz w:val="22"/>
          <w:lang w:val="en-GB"/>
        </w:rPr>
        <w:t xml:space="preserve"> is a range of angles in azimuth and elevation. When illuminated in any direction within this range, an AAS BS is able to meet or exceed a (declared) OTA sensitivity level. And of course we can make some extension to the uplink coverage.</w:t>
      </w:r>
    </w:p>
    <w:p w:rsidR="009627BF" w:rsidRPr="009627BF" w:rsidRDefault="009627BF" w:rsidP="001B4DA5">
      <w:pPr>
        <w:spacing w:line="360" w:lineRule="auto"/>
        <w:rPr>
          <w:rFonts w:ascii="Times New Roman" w:eastAsia="宋体" w:hAnsi="Times New Roman" w:cs="Times New Roman"/>
          <w:b/>
          <w:sz w:val="22"/>
          <w:lang w:val="en-GB"/>
        </w:rPr>
      </w:pPr>
      <w:r w:rsidRPr="009627BF">
        <w:rPr>
          <w:rFonts w:ascii="Times New Roman" w:eastAsia="宋体" w:hAnsi="Times New Roman" w:cs="Times New Roman"/>
          <w:b/>
          <w:sz w:val="22"/>
          <w:lang w:val="en-GB"/>
        </w:rPr>
        <w:t>Proposal1:</w:t>
      </w:r>
      <w:r w:rsidR="00D25DA2">
        <w:rPr>
          <w:rFonts w:ascii="Times New Roman" w:eastAsia="宋体" w:hAnsi="Times New Roman" w:cs="Times New Roman" w:hint="eastAsia"/>
          <w:b/>
          <w:sz w:val="22"/>
          <w:lang w:val="en-GB"/>
        </w:rPr>
        <w:t xml:space="preserve"> </w:t>
      </w:r>
      <w:r w:rsidRPr="009627BF">
        <w:rPr>
          <w:rFonts w:ascii="Times New Roman" w:eastAsia="宋体" w:hAnsi="Times New Roman" w:cs="Times New Roman"/>
          <w:b/>
          <w:sz w:val="22"/>
          <w:lang w:val="en-GB"/>
        </w:rPr>
        <w:t xml:space="preserve">Uplink coverage range: set(s) of sensitivity RoAoA within which certain RX OTA requirements that are neither specified in the </w:t>
      </w:r>
      <w:r w:rsidR="003D7F03">
        <w:rPr>
          <w:rFonts w:ascii="Times New Roman" w:eastAsia="宋体" w:hAnsi="Times New Roman" w:cs="Times New Roman" w:hint="eastAsia"/>
          <w:b/>
          <w:sz w:val="22"/>
          <w:lang w:val="en-GB"/>
        </w:rPr>
        <w:t xml:space="preserve">single </w:t>
      </w:r>
      <w:r w:rsidRPr="009627BF">
        <w:rPr>
          <w:rFonts w:ascii="Times New Roman" w:eastAsia="宋体" w:hAnsi="Times New Roman" w:cs="Times New Roman"/>
          <w:b/>
          <w:sz w:val="22"/>
          <w:lang w:val="en-GB"/>
        </w:rPr>
        <w:t>direction requirement nor as TRP requirement are intended to be met.</w:t>
      </w:r>
    </w:p>
    <w:p w:rsidR="009627BF" w:rsidRPr="009627BF" w:rsidRDefault="009627BF" w:rsidP="001B4DA5">
      <w:pPr>
        <w:spacing w:line="360" w:lineRule="auto"/>
        <w:rPr>
          <w:rFonts w:ascii="Times New Roman" w:eastAsia="宋体" w:hAnsi="Times New Roman" w:cs="Times New Roman"/>
          <w:b/>
          <w:sz w:val="22"/>
          <w:lang w:val="en-GB"/>
        </w:rPr>
      </w:pPr>
      <w:r w:rsidRPr="009627BF">
        <w:rPr>
          <w:rFonts w:ascii="Times New Roman" w:eastAsia="宋体" w:hAnsi="Times New Roman" w:cs="Times New Roman"/>
          <w:b/>
          <w:sz w:val="22"/>
          <w:lang w:val="en-GB"/>
        </w:rPr>
        <w:t>Proposal 2:</w:t>
      </w:r>
      <w:r w:rsidR="00D25DA2">
        <w:rPr>
          <w:rFonts w:ascii="Times New Roman" w:eastAsia="宋体" w:hAnsi="Times New Roman" w:cs="Times New Roman" w:hint="eastAsia"/>
          <w:b/>
          <w:sz w:val="22"/>
          <w:lang w:val="en-GB"/>
        </w:rPr>
        <w:t xml:space="preserve"> </w:t>
      </w:r>
      <w:r w:rsidRPr="009627BF">
        <w:rPr>
          <w:rFonts w:ascii="Times New Roman" w:eastAsia="宋体" w:hAnsi="Times New Roman" w:cs="Times New Roman"/>
          <w:b/>
          <w:sz w:val="22"/>
          <w:lang w:val="en-GB"/>
        </w:rPr>
        <w:t xml:space="preserve">The </w:t>
      </w:r>
      <w:r w:rsidR="00070299">
        <w:rPr>
          <w:rFonts w:ascii="Times New Roman" w:eastAsia="宋体" w:hAnsi="Times New Roman" w:cs="Times New Roman" w:hint="eastAsia"/>
          <w:b/>
          <w:sz w:val="22"/>
          <w:lang w:val="en-GB"/>
        </w:rPr>
        <w:t>uplink coverage range</w:t>
      </w:r>
      <w:r w:rsidRPr="009627BF">
        <w:rPr>
          <w:rFonts w:ascii="Times New Roman" w:eastAsia="宋体" w:hAnsi="Times New Roman" w:cs="Times New Roman"/>
          <w:b/>
          <w:sz w:val="22"/>
          <w:lang w:val="en-GB"/>
        </w:rPr>
        <w:t xml:space="preserve"> should be decaled by vendors. For basestation with </w:t>
      </w:r>
      <w:proofErr w:type="spellStart"/>
      <w:r w:rsidRPr="009627BF">
        <w:rPr>
          <w:rFonts w:ascii="Times New Roman" w:eastAsia="宋体" w:hAnsi="Times New Roman" w:cs="Times New Roman"/>
          <w:b/>
          <w:sz w:val="22"/>
          <w:lang w:val="en-GB"/>
        </w:rPr>
        <w:t>downtilt</w:t>
      </w:r>
      <w:proofErr w:type="spellEnd"/>
      <w:r w:rsidRPr="009627BF">
        <w:rPr>
          <w:rFonts w:ascii="Times New Roman" w:eastAsia="宋体" w:hAnsi="Times New Roman" w:cs="Times New Roman"/>
          <w:b/>
          <w:sz w:val="22"/>
          <w:lang w:val="en-GB"/>
        </w:rPr>
        <w:t xml:space="preserve">, declare the </w:t>
      </w:r>
      <w:r w:rsidR="00D25DA2">
        <w:rPr>
          <w:rFonts w:ascii="Times New Roman" w:eastAsia="宋体" w:hAnsi="Times New Roman" w:cs="Times New Roman" w:hint="eastAsia"/>
          <w:b/>
          <w:sz w:val="22"/>
          <w:lang w:val="en-GB"/>
        </w:rPr>
        <w:t>uplink coverage</w:t>
      </w:r>
      <w:r w:rsidRPr="009627BF">
        <w:rPr>
          <w:rFonts w:ascii="Times New Roman" w:eastAsia="宋体" w:hAnsi="Times New Roman" w:cs="Times New Roman"/>
          <w:b/>
          <w:sz w:val="22"/>
          <w:lang w:val="en-GB"/>
        </w:rPr>
        <w:t xml:space="preserve"> </w:t>
      </w:r>
      <w:r w:rsidR="00FA506B">
        <w:rPr>
          <w:rFonts w:ascii="Times New Roman" w:eastAsia="宋体" w:hAnsi="Times New Roman" w:cs="Times New Roman" w:hint="eastAsia"/>
          <w:b/>
          <w:sz w:val="22"/>
          <w:lang w:val="en-GB"/>
        </w:rPr>
        <w:t xml:space="preserve">which </w:t>
      </w:r>
      <w:r w:rsidR="00D25DA2">
        <w:rPr>
          <w:rFonts w:ascii="Times New Roman" w:eastAsia="宋体" w:hAnsi="Times New Roman" w:cs="Times New Roman"/>
          <w:b/>
          <w:sz w:val="22"/>
          <w:lang w:val="en-GB"/>
        </w:rPr>
        <w:t>contains</w:t>
      </w:r>
      <w:r w:rsidRPr="009627BF">
        <w:rPr>
          <w:rFonts w:ascii="Times New Roman" w:eastAsia="宋体" w:hAnsi="Times New Roman" w:cs="Times New Roman"/>
          <w:b/>
          <w:sz w:val="22"/>
          <w:lang w:val="en-GB"/>
        </w:rPr>
        <w:t xml:space="preserve"> reference direction and </w:t>
      </w:r>
      <w:r w:rsidR="00FA506B">
        <w:rPr>
          <w:rFonts w:ascii="Times New Roman" w:eastAsia="宋体" w:hAnsi="Times New Roman" w:cs="Times New Roman" w:hint="eastAsia"/>
          <w:b/>
          <w:sz w:val="22"/>
          <w:lang w:val="en-GB"/>
        </w:rPr>
        <w:t xml:space="preserve">the </w:t>
      </w:r>
      <w:r w:rsidRPr="009627BF">
        <w:rPr>
          <w:rFonts w:ascii="Times New Roman" w:eastAsia="宋体" w:hAnsi="Times New Roman" w:cs="Times New Roman"/>
          <w:b/>
          <w:sz w:val="22"/>
          <w:lang w:val="en-GB"/>
        </w:rPr>
        <w:t>downtil</w:t>
      </w:r>
      <w:r w:rsidRPr="009627BF">
        <w:rPr>
          <w:rFonts w:ascii="Times New Roman" w:eastAsia="宋体" w:hAnsi="Times New Roman" w:cs="Times New Roman" w:hint="eastAsia"/>
          <w:b/>
          <w:sz w:val="22"/>
          <w:lang w:val="en-GB"/>
        </w:rPr>
        <w:t>t</w:t>
      </w:r>
      <w:r w:rsidRPr="009627BF">
        <w:rPr>
          <w:rFonts w:ascii="Times New Roman" w:eastAsia="宋体" w:hAnsi="Times New Roman" w:cs="Times New Roman"/>
          <w:b/>
          <w:sz w:val="22"/>
          <w:lang w:val="en-GB"/>
        </w:rPr>
        <w:t xml:space="preserve"> range.</w:t>
      </w:r>
    </w:p>
    <w:p w:rsidR="009627BF" w:rsidRPr="009627BF" w:rsidRDefault="009627BF" w:rsidP="009627BF">
      <w:pPr>
        <w:rPr>
          <w:lang w:val="en-GB"/>
        </w:rPr>
      </w:pPr>
    </w:p>
    <w:p w:rsidR="00533E3E" w:rsidRPr="00533E3E" w:rsidRDefault="00FC617B" w:rsidP="008629C7">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Arial" w:eastAsia="宋体" w:hAnsi="Arial"/>
          <w:b w:val="0"/>
          <w:bCs w:val="0"/>
          <w:kern w:val="0"/>
          <w:sz w:val="32"/>
          <w:szCs w:val="20"/>
          <w:lang w:val="en-GB" w:eastAsia="zh-CN"/>
        </w:rPr>
      </w:pPr>
      <w:r>
        <w:rPr>
          <w:rFonts w:ascii="Arial" w:eastAsia="宋体" w:hAnsi="Arial" w:hint="eastAsia"/>
          <w:b w:val="0"/>
          <w:bCs w:val="0"/>
          <w:kern w:val="0"/>
          <w:sz w:val="32"/>
          <w:szCs w:val="20"/>
          <w:lang w:val="en-GB" w:eastAsia="zh-CN"/>
        </w:rPr>
        <w:t xml:space="preserve">Conclusion </w:t>
      </w:r>
    </w:p>
    <w:p w:rsidR="00FA0E59" w:rsidRDefault="00C97389" w:rsidP="008629C7">
      <w:pPr>
        <w:rPr>
          <w:rFonts w:ascii="Times New Roman" w:eastAsia="宋体" w:hAnsi="Times New Roman" w:cs="Times New Roman"/>
          <w:sz w:val="22"/>
          <w:lang w:val="en-GB"/>
        </w:rPr>
      </w:pPr>
      <w:r w:rsidRPr="00FA0E59">
        <w:rPr>
          <w:rFonts w:ascii="Times New Roman" w:eastAsia="宋体" w:hAnsi="Times New Roman" w:cs="Times New Roman"/>
          <w:sz w:val="22"/>
          <w:lang w:val="en-GB"/>
        </w:rPr>
        <w:t>This contribution</w:t>
      </w:r>
      <w:r w:rsidR="002749CA" w:rsidRPr="00FA0E59">
        <w:rPr>
          <w:rFonts w:ascii="Times New Roman" w:eastAsia="宋体" w:hAnsi="Times New Roman" w:cs="Times New Roman" w:hint="eastAsia"/>
          <w:sz w:val="22"/>
          <w:lang w:val="en-GB"/>
        </w:rPr>
        <w:t xml:space="preserve"> </w:t>
      </w:r>
      <w:r w:rsidR="000274CC">
        <w:rPr>
          <w:rFonts w:ascii="Times New Roman" w:eastAsia="宋体" w:hAnsi="Times New Roman" w:cs="Times New Roman" w:hint="eastAsia"/>
          <w:sz w:val="22"/>
          <w:lang w:val="en-GB"/>
        </w:rPr>
        <w:t xml:space="preserve">wants to </w:t>
      </w:r>
      <w:r w:rsidR="000274CC">
        <w:rPr>
          <w:rFonts w:ascii="Times New Roman" w:eastAsia="宋体" w:hAnsi="Times New Roman" w:cs="Times New Roman"/>
          <w:sz w:val="22"/>
          <w:lang w:val="en-GB"/>
        </w:rPr>
        <w:t>involve</w:t>
      </w:r>
      <w:r w:rsidR="000274CC">
        <w:rPr>
          <w:rFonts w:ascii="Times New Roman" w:eastAsia="宋体" w:hAnsi="Times New Roman" w:cs="Times New Roman" w:hint="eastAsia"/>
          <w:sz w:val="22"/>
          <w:lang w:val="en-GB"/>
        </w:rPr>
        <w:t xml:space="preserve"> the definition of uplink coverage:</w:t>
      </w:r>
    </w:p>
    <w:p w:rsidR="001B4DA5" w:rsidRPr="001B4DA5" w:rsidRDefault="001B4DA5" w:rsidP="001B4DA5">
      <w:pPr>
        <w:spacing w:line="360" w:lineRule="auto"/>
        <w:rPr>
          <w:rFonts w:ascii="Times New Roman" w:eastAsia="宋体" w:hAnsi="Times New Roman" w:cs="Times New Roman"/>
          <w:b/>
          <w:sz w:val="22"/>
          <w:lang w:val="en-GB"/>
        </w:rPr>
      </w:pPr>
      <w:r w:rsidRPr="001B4DA5">
        <w:rPr>
          <w:rFonts w:ascii="Times New Roman" w:eastAsia="宋体" w:hAnsi="Times New Roman" w:cs="Times New Roman"/>
          <w:b/>
          <w:sz w:val="22"/>
          <w:lang w:val="en-GB"/>
        </w:rPr>
        <w:t>Proposal1:</w:t>
      </w:r>
      <w:r w:rsidRPr="001B4DA5">
        <w:rPr>
          <w:rFonts w:ascii="Times New Roman" w:eastAsia="宋体" w:hAnsi="Times New Roman" w:cs="Times New Roman" w:hint="eastAsia"/>
          <w:b/>
          <w:sz w:val="22"/>
          <w:lang w:val="en-GB"/>
        </w:rPr>
        <w:t xml:space="preserve"> </w:t>
      </w:r>
      <w:r w:rsidRPr="001B4DA5">
        <w:rPr>
          <w:rFonts w:ascii="Times New Roman" w:eastAsia="宋体" w:hAnsi="Times New Roman" w:cs="Times New Roman"/>
          <w:b/>
          <w:sz w:val="22"/>
          <w:lang w:val="en-GB"/>
        </w:rPr>
        <w:t xml:space="preserve">Uplink coverage range: set(s) of sensitivity </w:t>
      </w:r>
      <w:proofErr w:type="spellStart"/>
      <w:r w:rsidRPr="001B4DA5">
        <w:rPr>
          <w:rFonts w:ascii="Times New Roman" w:eastAsia="宋体" w:hAnsi="Times New Roman" w:cs="Times New Roman"/>
          <w:b/>
          <w:sz w:val="22"/>
          <w:lang w:val="en-GB"/>
        </w:rPr>
        <w:t>RoAoA</w:t>
      </w:r>
      <w:proofErr w:type="spellEnd"/>
      <w:r w:rsidRPr="001B4DA5">
        <w:rPr>
          <w:rFonts w:ascii="Times New Roman" w:eastAsia="宋体" w:hAnsi="Times New Roman" w:cs="Times New Roman"/>
          <w:b/>
          <w:sz w:val="22"/>
          <w:lang w:val="en-GB"/>
        </w:rPr>
        <w:t xml:space="preserve"> within which certain RX OTA requirements that are neither specified in the</w:t>
      </w:r>
      <w:r w:rsidR="003D7F03" w:rsidRPr="003D7F03">
        <w:rPr>
          <w:rFonts w:ascii="Times New Roman" w:eastAsia="宋体" w:hAnsi="Times New Roman" w:cs="Times New Roman" w:hint="eastAsia"/>
          <w:b/>
          <w:sz w:val="22"/>
          <w:lang w:val="en-GB"/>
        </w:rPr>
        <w:t xml:space="preserve"> </w:t>
      </w:r>
      <w:r w:rsidR="003D7F03">
        <w:rPr>
          <w:rFonts w:ascii="Times New Roman" w:eastAsia="宋体" w:hAnsi="Times New Roman" w:cs="Times New Roman" w:hint="eastAsia"/>
          <w:b/>
          <w:sz w:val="22"/>
          <w:lang w:val="en-GB"/>
        </w:rPr>
        <w:t xml:space="preserve">single </w:t>
      </w:r>
      <w:r w:rsidR="003D7F03" w:rsidRPr="009627BF">
        <w:rPr>
          <w:rFonts w:ascii="Times New Roman" w:eastAsia="宋体" w:hAnsi="Times New Roman" w:cs="Times New Roman"/>
          <w:b/>
          <w:sz w:val="22"/>
          <w:lang w:val="en-GB"/>
        </w:rPr>
        <w:t>direction</w:t>
      </w:r>
      <w:r w:rsidRPr="001B4DA5">
        <w:rPr>
          <w:rFonts w:ascii="Times New Roman" w:eastAsia="宋体" w:hAnsi="Times New Roman" w:cs="Times New Roman"/>
          <w:b/>
          <w:sz w:val="22"/>
          <w:lang w:val="en-GB"/>
        </w:rPr>
        <w:t xml:space="preserve"> requirement nor as TRP requirement are intended to be met.</w:t>
      </w:r>
    </w:p>
    <w:p w:rsidR="000D31F6" w:rsidRPr="00406BAD" w:rsidRDefault="001B4DA5" w:rsidP="00406BAD">
      <w:pPr>
        <w:spacing w:line="360" w:lineRule="auto"/>
        <w:rPr>
          <w:rFonts w:ascii="Times New Roman" w:eastAsia="宋体" w:hAnsi="Times New Roman" w:cs="Times New Roman"/>
          <w:b/>
          <w:sz w:val="22"/>
          <w:lang w:val="en-GB"/>
        </w:rPr>
      </w:pPr>
      <w:r w:rsidRPr="001B4DA5">
        <w:rPr>
          <w:rFonts w:ascii="Times New Roman" w:eastAsia="宋体" w:hAnsi="Times New Roman" w:cs="Times New Roman"/>
          <w:b/>
          <w:sz w:val="22"/>
          <w:lang w:val="en-GB"/>
        </w:rPr>
        <w:t>Proposal 2:</w:t>
      </w:r>
      <w:r w:rsidRPr="001B4DA5">
        <w:rPr>
          <w:rFonts w:ascii="Times New Roman" w:eastAsia="宋体" w:hAnsi="Times New Roman" w:cs="Times New Roman" w:hint="eastAsia"/>
          <w:b/>
          <w:sz w:val="22"/>
          <w:lang w:val="en-GB"/>
        </w:rPr>
        <w:t xml:space="preserve"> </w:t>
      </w:r>
      <w:r w:rsidRPr="001B4DA5">
        <w:rPr>
          <w:rFonts w:ascii="Times New Roman" w:eastAsia="宋体" w:hAnsi="Times New Roman" w:cs="Times New Roman"/>
          <w:b/>
          <w:sz w:val="22"/>
          <w:lang w:val="en-GB"/>
        </w:rPr>
        <w:t xml:space="preserve">The </w:t>
      </w:r>
      <w:r w:rsidRPr="001B4DA5">
        <w:rPr>
          <w:rFonts w:ascii="Times New Roman" w:eastAsia="宋体" w:hAnsi="Times New Roman" w:cs="Times New Roman" w:hint="eastAsia"/>
          <w:b/>
          <w:sz w:val="22"/>
          <w:lang w:val="en-GB"/>
        </w:rPr>
        <w:t>uplink coverage range</w:t>
      </w:r>
      <w:r w:rsidRPr="001B4DA5">
        <w:rPr>
          <w:rFonts w:ascii="Times New Roman" w:eastAsia="宋体" w:hAnsi="Times New Roman" w:cs="Times New Roman"/>
          <w:b/>
          <w:sz w:val="22"/>
          <w:lang w:val="en-GB"/>
        </w:rPr>
        <w:t xml:space="preserve"> should be decaled by vendors. For basestation with </w:t>
      </w:r>
      <w:proofErr w:type="spellStart"/>
      <w:r w:rsidRPr="001B4DA5">
        <w:rPr>
          <w:rFonts w:ascii="Times New Roman" w:eastAsia="宋体" w:hAnsi="Times New Roman" w:cs="Times New Roman"/>
          <w:b/>
          <w:sz w:val="22"/>
          <w:lang w:val="en-GB"/>
        </w:rPr>
        <w:t>downtilt</w:t>
      </w:r>
      <w:proofErr w:type="spellEnd"/>
      <w:r w:rsidRPr="001B4DA5">
        <w:rPr>
          <w:rFonts w:ascii="Times New Roman" w:eastAsia="宋体" w:hAnsi="Times New Roman" w:cs="Times New Roman"/>
          <w:b/>
          <w:sz w:val="22"/>
          <w:lang w:val="en-GB"/>
        </w:rPr>
        <w:t xml:space="preserve">, declare the </w:t>
      </w:r>
      <w:r w:rsidRPr="001B4DA5">
        <w:rPr>
          <w:rFonts w:ascii="Times New Roman" w:eastAsia="宋体" w:hAnsi="Times New Roman" w:cs="Times New Roman" w:hint="eastAsia"/>
          <w:b/>
          <w:sz w:val="22"/>
          <w:lang w:val="en-GB"/>
        </w:rPr>
        <w:t>uplink coverage</w:t>
      </w:r>
      <w:r w:rsidRPr="001B4DA5">
        <w:rPr>
          <w:rFonts w:ascii="Times New Roman" w:eastAsia="宋体" w:hAnsi="Times New Roman" w:cs="Times New Roman"/>
          <w:b/>
          <w:sz w:val="22"/>
          <w:lang w:val="en-GB"/>
        </w:rPr>
        <w:t xml:space="preserve"> </w:t>
      </w:r>
      <w:r w:rsidRPr="001B4DA5">
        <w:rPr>
          <w:rFonts w:ascii="Times New Roman" w:eastAsia="宋体" w:hAnsi="Times New Roman" w:cs="Times New Roman" w:hint="eastAsia"/>
          <w:b/>
          <w:sz w:val="22"/>
          <w:lang w:val="en-GB"/>
        </w:rPr>
        <w:t xml:space="preserve">which </w:t>
      </w:r>
      <w:r w:rsidRPr="001B4DA5">
        <w:rPr>
          <w:rFonts w:ascii="Times New Roman" w:eastAsia="宋体" w:hAnsi="Times New Roman" w:cs="Times New Roman"/>
          <w:b/>
          <w:sz w:val="22"/>
          <w:lang w:val="en-GB"/>
        </w:rPr>
        <w:t xml:space="preserve">contains reference direction and </w:t>
      </w:r>
      <w:r w:rsidRPr="001B4DA5">
        <w:rPr>
          <w:rFonts w:ascii="Times New Roman" w:eastAsia="宋体" w:hAnsi="Times New Roman" w:cs="Times New Roman" w:hint="eastAsia"/>
          <w:b/>
          <w:sz w:val="22"/>
          <w:lang w:val="en-GB"/>
        </w:rPr>
        <w:t xml:space="preserve">the </w:t>
      </w:r>
      <w:proofErr w:type="spellStart"/>
      <w:r w:rsidRPr="001B4DA5">
        <w:rPr>
          <w:rFonts w:ascii="Times New Roman" w:eastAsia="宋体" w:hAnsi="Times New Roman" w:cs="Times New Roman"/>
          <w:b/>
          <w:sz w:val="22"/>
          <w:lang w:val="en-GB"/>
        </w:rPr>
        <w:t>downtil</w:t>
      </w:r>
      <w:r w:rsidRPr="001B4DA5">
        <w:rPr>
          <w:rFonts w:ascii="Times New Roman" w:eastAsia="宋体" w:hAnsi="Times New Roman" w:cs="Times New Roman" w:hint="eastAsia"/>
          <w:b/>
          <w:sz w:val="22"/>
          <w:lang w:val="en-GB"/>
        </w:rPr>
        <w:t>t</w:t>
      </w:r>
      <w:proofErr w:type="spellEnd"/>
      <w:r w:rsidRPr="001B4DA5">
        <w:rPr>
          <w:rFonts w:ascii="Times New Roman" w:eastAsia="宋体" w:hAnsi="Times New Roman" w:cs="Times New Roman"/>
          <w:b/>
          <w:sz w:val="22"/>
          <w:lang w:val="en-GB"/>
        </w:rPr>
        <w:t xml:space="preserve"> range.</w:t>
      </w:r>
    </w:p>
    <w:p w:rsidR="003A43AC" w:rsidRPr="003A43AC" w:rsidRDefault="003A43AC" w:rsidP="003A43AC">
      <w:pPr>
        <w:rPr>
          <w:b/>
        </w:rPr>
      </w:pPr>
    </w:p>
    <w:sectPr w:rsidR="003A43AC" w:rsidRPr="003A43AC" w:rsidSect="00F12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BFF" w:rsidRDefault="00556BFF" w:rsidP="00211654">
      <w:r>
        <w:separator/>
      </w:r>
    </w:p>
  </w:endnote>
  <w:endnote w:type="continuationSeparator" w:id="0">
    <w:p w:rsidR="00556BFF" w:rsidRDefault="00556BFF" w:rsidP="002116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iti SC Light">
    <w:charset w:val="50"/>
    <w:family w:val="auto"/>
    <w:pitch w:val="variable"/>
    <w:sig w:usb0="8000002F" w:usb1="080E004A" w:usb2="00000010" w:usb3="00000000" w:csb0="003E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BFF" w:rsidRDefault="00556BFF" w:rsidP="00211654">
      <w:r>
        <w:separator/>
      </w:r>
    </w:p>
  </w:footnote>
  <w:footnote w:type="continuationSeparator" w:id="0">
    <w:p w:rsidR="00556BFF" w:rsidRDefault="00556BFF" w:rsidP="002116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1ED54CE"/>
    <w:multiLevelType w:val="hybridMultilevel"/>
    <w:tmpl w:val="46FC8D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A527379"/>
    <w:multiLevelType w:val="hybridMultilevel"/>
    <w:tmpl w:val="F6687A26"/>
    <w:lvl w:ilvl="0" w:tplc="E606F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9081A"/>
    <w:multiLevelType w:val="hybridMultilevel"/>
    <w:tmpl w:val="1FCA11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9B2678"/>
    <w:multiLevelType w:val="hybridMultilevel"/>
    <w:tmpl w:val="14382B20"/>
    <w:lvl w:ilvl="0" w:tplc="D00AA7E2">
      <w:start w:val="1"/>
      <w:numFmt w:val="bullet"/>
      <w:lvlText w:val="•"/>
      <w:lvlJc w:val="left"/>
      <w:pPr>
        <w:tabs>
          <w:tab w:val="num" w:pos="720"/>
        </w:tabs>
        <w:ind w:left="720" w:hanging="360"/>
      </w:pPr>
      <w:rPr>
        <w:rFonts w:ascii="Arial" w:hAnsi="Arial" w:hint="default"/>
      </w:rPr>
    </w:lvl>
    <w:lvl w:ilvl="1" w:tplc="2130A616" w:tentative="1">
      <w:start w:val="1"/>
      <w:numFmt w:val="bullet"/>
      <w:lvlText w:val="•"/>
      <w:lvlJc w:val="left"/>
      <w:pPr>
        <w:tabs>
          <w:tab w:val="num" w:pos="1440"/>
        </w:tabs>
        <w:ind w:left="1440" w:hanging="360"/>
      </w:pPr>
      <w:rPr>
        <w:rFonts w:ascii="Arial" w:hAnsi="Arial" w:hint="default"/>
      </w:rPr>
    </w:lvl>
    <w:lvl w:ilvl="2" w:tplc="195C4D36" w:tentative="1">
      <w:start w:val="1"/>
      <w:numFmt w:val="bullet"/>
      <w:lvlText w:val="•"/>
      <w:lvlJc w:val="left"/>
      <w:pPr>
        <w:tabs>
          <w:tab w:val="num" w:pos="2160"/>
        </w:tabs>
        <w:ind w:left="2160" w:hanging="360"/>
      </w:pPr>
      <w:rPr>
        <w:rFonts w:ascii="Arial" w:hAnsi="Arial" w:hint="default"/>
      </w:rPr>
    </w:lvl>
    <w:lvl w:ilvl="3" w:tplc="8FDEA8D6" w:tentative="1">
      <w:start w:val="1"/>
      <w:numFmt w:val="bullet"/>
      <w:lvlText w:val="•"/>
      <w:lvlJc w:val="left"/>
      <w:pPr>
        <w:tabs>
          <w:tab w:val="num" w:pos="2880"/>
        </w:tabs>
        <w:ind w:left="2880" w:hanging="360"/>
      </w:pPr>
      <w:rPr>
        <w:rFonts w:ascii="Arial" w:hAnsi="Arial" w:hint="default"/>
      </w:rPr>
    </w:lvl>
    <w:lvl w:ilvl="4" w:tplc="C5F03B3A" w:tentative="1">
      <w:start w:val="1"/>
      <w:numFmt w:val="bullet"/>
      <w:lvlText w:val="•"/>
      <w:lvlJc w:val="left"/>
      <w:pPr>
        <w:tabs>
          <w:tab w:val="num" w:pos="3600"/>
        </w:tabs>
        <w:ind w:left="3600" w:hanging="360"/>
      </w:pPr>
      <w:rPr>
        <w:rFonts w:ascii="Arial" w:hAnsi="Arial" w:hint="default"/>
      </w:rPr>
    </w:lvl>
    <w:lvl w:ilvl="5" w:tplc="AEEE9326" w:tentative="1">
      <w:start w:val="1"/>
      <w:numFmt w:val="bullet"/>
      <w:lvlText w:val="•"/>
      <w:lvlJc w:val="left"/>
      <w:pPr>
        <w:tabs>
          <w:tab w:val="num" w:pos="4320"/>
        </w:tabs>
        <w:ind w:left="4320" w:hanging="360"/>
      </w:pPr>
      <w:rPr>
        <w:rFonts w:ascii="Arial" w:hAnsi="Arial" w:hint="default"/>
      </w:rPr>
    </w:lvl>
    <w:lvl w:ilvl="6" w:tplc="9DB83330" w:tentative="1">
      <w:start w:val="1"/>
      <w:numFmt w:val="bullet"/>
      <w:lvlText w:val="•"/>
      <w:lvlJc w:val="left"/>
      <w:pPr>
        <w:tabs>
          <w:tab w:val="num" w:pos="5040"/>
        </w:tabs>
        <w:ind w:left="5040" w:hanging="360"/>
      </w:pPr>
      <w:rPr>
        <w:rFonts w:ascii="Arial" w:hAnsi="Arial" w:hint="default"/>
      </w:rPr>
    </w:lvl>
    <w:lvl w:ilvl="7" w:tplc="1B62EF68" w:tentative="1">
      <w:start w:val="1"/>
      <w:numFmt w:val="bullet"/>
      <w:lvlText w:val="•"/>
      <w:lvlJc w:val="left"/>
      <w:pPr>
        <w:tabs>
          <w:tab w:val="num" w:pos="5760"/>
        </w:tabs>
        <w:ind w:left="5760" w:hanging="360"/>
      </w:pPr>
      <w:rPr>
        <w:rFonts w:ascii="Arial" w:hAnsi="Arial" w:hint="default"/>
      </w:rPr>
    </w:lvl>
    <w:lvl w:ilvl="8" w:tplc="2B34D5E0" w:tentative="1">
      <w:start w:val="1"/>
      <w:numFmt w:val="bullet"/>
      <w:lvlText w:val="•"/>
      <w:lvlJc w:val="left"/>
      <w:pPr>
        <w:tabs>
          <w:tab w:val="num" w:pos="6480"/>
        </w:tabs>
        <w:ind w:left="6480" w:hanging="360"/>
      </w:pPr>
      <w:rPr>
        <w:rFonts w:ascii="Arial" w:hAnsi="Arial" w:hint="default"/>
      </w:rPr>
    </w:lvl>
  </w:abstractNum>
  <w:abstractNum w:abstractNumId="5">
    <w:nsid w:val="277910B6"/>
    <w:multiLevelType w:val="hybridMultilevel"/>
    <w:tmpl w:val="73AAD4F8"/>
    <w:lvl w:ilvl="0" w:tplc="C32C2C3C">
      <w:start w:val="1"/>
      <w:numFmt w:val="bullet"/>
      <w:lvlText w:val="•"/>
      <w:lvlJc w:val="left"/>
      <w:pPr>
        <w:tabs>
          <w:tab w:val="num" w:pos="720"/>
        </w:tabs>
        <w:ind w:left="720" w:hanging="360"/>
      </w:pPr>
      <w:rPr>
        <w:rFonts w:ascii="Arial" w:hAnsi="Arial" w:hint="default"/>
      </w:rPr>
    </w:lvl>
    <w:lvl w:ilvl="1" w:tplc="4E66ECD6">
      <w:start w:val="1"/>
      <w:numFmt w:val="bullet"/>
      <w:lvlText w:val="•"/>
      <w:lvlJc w:val="left"/>
      <w:pPr>
        <w:tabs>
          <w:tab w:val="num" w:pos="1440"/>
        </w:tabs>
        <w:ind w:left="1440" w:hanging="360"/>
      </w:pPr>
      <w:rPr>
        <w:rFonts w:ascii="Arial" w:hAnsi="Arial" w:hint="default"/>
      </w:rPr>
    </w:lvl>
    <w:lvl w:ilvl="2" w:tplc="672453D6" w:tentative="1">
      <w:start w:val="1"/>
      <w:numFmt w:val="bullet"/>
      <w:lvlText w:val="•"/>
      <w:lvlJc w:val="left"/>
      <w:pPr>
        <w:tabs>
          <w:tab w:val="num" w:pos="2160"/>
        </w:tabs>
        <w:ind w:left="2160" w:hanging="360"/>
      </w:pPr>
      <w:rPr>
        <w:rFonts w:ascii="Arial" w:hAnsi="Arial" w:hint="default"/>
      </w:rPr>
    </w:lvl>
    <w:lvl w:ilvl="3" w:tplc="A5C0252E" w:tentative="1">
      <w:start w:val="1"/>
      <w:numFmt w:val="bullet"/>
      <w:lvlText w:val="•"/>
      <w:lvlJc w:val="left"/>
      <w:pPr>
        <w:tabs>
          <w:tab w:val="num" w:pos="2880"/>
        </w:tabs>
        <w:ind w:left="2880" w:hanging="360"/>
      </w:pPr>
      <w:rPr>
        <w:rFonts w:ascii="Arial" w:hAnsi="Arial" w:hint="default"/>
      </w:rPr>
    </w:lvl>
    <w:lvl w:ilvl="4" w:tplc="AC76AA02" w:tentative="1">
      <w:start w:val="1"/>
      <w:numFmt w:val="bullet"/>
      <w:lvlText w:val="•"/>
      <w:lvlJc w:val="left"/>
      <w:pPr>
        <w:tabs>
          <w:tab w:val="num" w:pos="3600"/>
        </w:tabs>
        <w:ind w:left="3600" w:hanging="360"/>
      </w:pPr>
      <w:rPr>
        <w:rFonts w:ascii="Arial" w:hAnsi="Arial" w:hint="default"/>
      </w:rPr>
    </w:lvl>
    <w:lvl w:ilvl="5" w:tplc="9DD6C63C" w:tentative="1">
      <w:start w:val="1"/>
      <w:numFmt w:val="bullet"/>
      <w:lvlText w:val="•"/>
      <w:lvlJc w:val="left"/>
      <w:pPr>
        <w:tabs>
          <w:tab w:val="num" w:pos="4320"/>
        </w:tabs>
        <w:ind w:left="4320" w:hanging="360"/>
      </w:pPr>
      <w:rPr>
        <w:rFonts w:ascii="Arial" w:hAnsi="Arial" w:hint="default"/>
      </w:rPr>
    </w:lvl>
    <w:lvl w:ilvl="6" w:tplc="9B4AEE8E" w:tentative="1">
      <w:start w:val="1"/>
      <w:numFmt w:val="bullet"/>
      <w:lvlText w:val="•"/>
      <w:lvlJc w:val="left"/>
      <w:pPr>
        <w:tabs>
          <w:tab w:val="num" w:pos="5040"/>
        </w:tabs>
        <w:ind w:left="5040" w:hanging="360"/>
      </w:pPr>
      <w:rPr>
        <w:rFonts w:ascii="Arial" w:hAnsi="Arial" w:hint="default"/>
      </w:rPr>
    </w:lvl>
    <w:lvl w:ilvl="7" w:tplc="82C423AC" w:tentative="1">
      <w:start w:val="1"/>
      <w:numFmt w:val="bullet"/>
      <w:lvlText w:val="•"/>
      <w:lvlJc w:val="left"/>
      <w:pPr>
        <w:tabs>
          <w:tab w:val="num" w:pos="5760"/>
        </w:tabs>
        <w:ind w:left="5760" w:hanging="360"/>
      </w:pPr>
      <w:rPr>
        <w:rFonts w:ascii="Arial" w:hAnsi="Arial" w:hint="default"/>
      </w:rPr>
    </w:lvl>
    <w:lvl w:ilvl="8" w:tplc="C3D209AA" w:tentative="1">
      <w:start w:val="1"/>
      <w:numFmt w:val="bullet"/>
      <w:lvlText w:val="•"/>
      <w:lvlJc w:val="left"/>
      <w:pPr>
        <w:tabs>
          <w:tab w:val="num" w:pos="6480"/>
        </w:tabs>
        <w:ind w:left="6480" w:hanging="360"/>
      </w:pPr>
      <w:rPr>
        <w:rFonts w:ascii="Arial" w:hAnsi="Arial" w:hint="default"/>
      </w:rPr>
    </w:lvl>
  </w:abstractNum>
  <w:abstractNum w:abstractNumId="6">
    <w:nsid w:val="2ABB7115"/>
    <w:multiLevelType w:val="hybridMultilevel"/>
    <w:tmpl w:val="18B07856"/>
    <w:lvl w:ilvl="0" w:tplc="10D63886">
      <w:start w:val="1"/>
      <w:numFmt w:val="bullet"/>
      <w:lvlText w:val="•"/>
      <w:lvlJc w:val="left"/>
      <w:pPr>
        <w:tabs>
          <w:tab w:val="num" w:pos="720"/>
        </w:tabs>
        <w:ind w:left="720" w:hanging="360"/>
      </w:pPr>
      <w:rPr>
        <w:rFonts w:ascii="Arial" w:hAnsi="Arial" w:hint="default"/>
      </w:rPr>
    </w:lvl>
    <w:lvl w:ilvl="1" w:tplc="FBEAC44E">
      <w:start w:val="5790"/>
      <w:numFmt w:val="bullet"/>
      <w:lvlText w:val="•"/>
      <w:lvlJc w:val="left"/>
      <w:pPr>
        <w:tabs>
          <w:tab w:val="num" w:pos="1440"/>
        </w:tabs>
        <w:ind w:left="1440" w:hanging="360"/>
      </w:pPr>
      <w:rPr>
        <w:rFonts w:ascii="Arial" w:hAnsi="Arial" w:hint="default"/>
      </w:rPr>
    </w:lvl>
    <w:lvl w:ilvl="2" w:tplc="5B82F320" w:tentative="1">
      <w:start w:val="1"/>
      <w:numFmt w:val="bullet"/>
      <w:lvlText w:val="•"/>
      <w:lvlJc w:val="left"/>
      <w:pPr>
        <w:tabs>
          <w:tab w:val="num" w:pos="2160"/>
        </w:tabs>
        <w:ind w:left="2160" w:hanging="360"/>
      </w:pPr>
      <w:rPr>
        <w:rFonts w:ascii="Arial" w:hAnsi="Arial" w:hint="default"/>
      </w:rPr>
    </w:lvl>
    <w:lvl w:ilvl="3" w:tplc="A156FBD4" w:tentative="1">
      <w:start w:val="1"/>
      <w:numFmt w:val="bullet"/>
      <w:lvlText w:val="•"/>
      <w:lvlJc w:val="left"/>
      <w:pPr>
        <w:tabs>
          <w:tab w:val="num" w:pos="2880"/>
        </w:tabs>
        <w:ind w:left="2880" w:hanging="360"/>
      </w:pPr>
      <w:rPr>
        <w:rFonts w:ascii="Arial" w:hAnsi="Arial" w:hint="default"/>
      </w:rPr>
    </w:lvl>
    <w:lvl w:ilvl="4" w:tplc="910298DA" w:tentative="1">
      <w:start w:val="1"/>
      <w:numFmt w:val="bullet"/>
      <w:lvlText w:val="•"/>
      <w:lvlJc w:val="left"/>
      <w:pPr>
        <w:tabs>
          <w:tab w:val="num" w:pos="3600"/>
        </w:tabs>
        <w:ind w:left="3600" w:hanging="360"/>
      </w:pPr>
      <w:rPr>
        <w:rFonts w:ascii="Arial" w:hAnsi="Arial" w:hint="default"/>
      </w:rPr>
    </w:lvl>
    <w:lvl w:ilvl="5" w:tplc="7A7C865C" w:tentative="1">
      <w:start w:val="1"/>
      <w:numFmt w:val="bullet"/>
      <w:lvlText w:val="•"/>
      <w:lvlJc w:val="left"/>
      <w:pPr>
        <w:tabs>
          <w:tab w:val="num" w:pos="4320"/>
        </w:tabs>
        <w:ind w:left="4320" w:hanging="360"/>
      </w:pPr>
      <w:rPr>
        <w:rFonts w:ascii="Arial" w:hAnsi="Arial" w:hint="default"/>
      </w:rPr>
    </w:lvl>
    <w:lvl w:ilvl="6" w:tplc="F96AE7E0" w:tentative="1">
      <w:start w:val="1"/>
      <w:numFmt w:val="bullet"/>
      <w:lvlText w:val="•"/>
      <w:lvlJc w:val="left"/>
      <w:pPr>
        <w:tabs>
          <w:tab w:val="num" w:pos="5040"/>
        </w:tabs>
        <w:ind w:left="5040" w:hanging="360"/>
      </w:pPr>
      <w:rPr>
        <w:rFonts w:ascii="Arial" w:hAnsi="Arial" w:hint="default"/>
      </w:rPr>
    </w:lvl>
    <w:lvl w:ilvl="7" w:tplc="09D6B30C" w:tentative="1">
      <w:start w:val="1"/>
      <w:numFmt w:val="bullet"/>
      <w:lvlText w:val="•"/>
      <w:lvlJc w:val="left"/>
      <w:pPr>
        <w:tabs>
          <w:tab w:val="num" w:pos="5760"/>
        </w:tabs>
        <w:ind w:left="5760" w:hanging="360"/>
      </w:pPr>
      <w:rPr>
        <w:rFonts w:ascii="Arial" w:hAnsi="Arial" w:hint="default"/>
      </w:rPr>
    </w:lvl>
    <w:lvl w:ilvl="8" w:tplc="6388B286" w:tentative="1">
      <w:start w:val="1"/>
      <w:numFmt w:val="bullet"/>
      <w:lvlText w:val="•"/>
      <w:lvlJc w:val="left"/>
      <w:pPr>
        <w:tabs>
          <w:tab w:val="num" w:pos="6480"/>
        </w:tabs>
        <w:ind w:left="6480" w:hanging="360"/>
      </w:pPr>
      <w:rPr>
        <w:rFonts w:ascii="Arial" w:hAnsi="Arial" w:hint="default"/>
      </w:rPr>
    </w:lvl>
  </w:abstractNum>
  <w:abstractNum w:abstractNumId="7">
    <w:nsid w:val="2C26563F"/>
    <w:multiLevelType w:val="multilevel"/>
    <w:tmpl w:val="D140303E"/>
    <w:lvl w:ilvl="0">
      <w:start w:val="1"/>
      <w:numFmt w:val="lowerRoman"/>
      <w:lvlText w:val="%1."/>
      <w:lvlJc w:val="righ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nsid w:val="2DD2188C"/>
    <w:multiLevelType w:val="hybridMultilevel"/>
    <w:tmpl w:val="34DA1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FB0137"/>
    <w:multiLevelType w:val="hybridMultilevel"/>
    <w:tmpl w:val="6FF8024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5A00896"/>
    <w:multiLevelType w:val="hybridMultilevel"/>
    <w:tmpl w:val="E6EEC7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313116A"/>
    <w:multiLevelType w:val="hybridMultilevel"/>
    <w:tmpl w:val="A748058A"/>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7083594"/>
    <w:multiLevelType w:val="hybridMultilevel"/>
    <w:tmpl w:val="31247EBA"/>
    <w:lvl w:ilvl="0" w:tplc="DD98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000D2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0"/>
  </w:num>
  <w:num w:numId="3">
    <w:abstractNumId w:val="4"/>
  </w:num>
  <w:num w:numId="4">
    <w:abstractNumId w:val="3"/>
  </w:num>
  <w:num w:numId="5">
    <w:abstractNumId w:val="6"/>
  </w:num>
  <w:num w:numId="6">
    <w:abstractNumId w:val="14"/>
  </w:num>
  <w:num w:numId="7">
    <w:abstractNumId w:val="7"/>
  </w:num>
  <w:num w:numId="8">
    <w:abstractNumId w:val="13"/>
  </w:num>
  <w:num w:numId="9">
    <w:abstractNumId w:val="8"/>
  </w:num>
  <w:num w:numId="10">
    <w:abstractNumId w:val="9"/>
  </w:num>
  <w:num w:numId="11">
    <w:abstractNumId w:val="11"/>
  </w:num>
  <w:num w:numId="12">
    <w:abstractNumId w:val="1"/>
  </w:num>
  <w:num w:numId="13">
    <w:abstractNumId w:val="10"/>
  </w:num>
  <w:num w:numId="14">
    <w:abstractNumId w:val="5"/>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97389"/>
    <w:rsid w:val="000274CC"/>
    <w:rsid w:val="00036E2E"/>
    <w:rsid w:val="0004296C"/>
    <w:rsid w:val="00070299"/>
    <w:rsid w:val="00074C18"/>
    <w:rsid w:val="00076F20"/>
    <w:rsid w:val="00087DA7"/>
    <w:rsid w:val="00090741"/>
    <w:rsid w:val="00097B0B"/>
    <w:rsid w:val="000A1CBE"/>
    <w:rsid w:val="000B00EA"/>
    <w:rsid w:val="000B374D"/>
    <w:rsid w:val="000B63AC"/>
    <w:rsid w:val="000D31F6"/>
    <w:rsid w:val="000D486A"/>
    <w:rsid w:val="000E19C5"/>
    <w:rsid w:val="000F0D94"/>
    <w:rsid w:val="00101470"/>
    <w:rsid w:val="001647E1"/>
    <w:rsid w:val="001767A4"/>
    <w:rsid w:val="00184D8F"/>
    <w:rsid w:val="001917DF"/>
    <w:rsid w:val="00191F55"/>
    <w:rsid w:val="00195BB6"/>
    <w:rsid w:val="001B4219"/>
    <w:rsid w:val="001B4DA5"/>
    <w:rsid w:val="001C1EAB"/>
    <w:rsid w:val="001C1F70"/>
    <w:rsid w:val="001C31E7"/>
    <w:rsid w:val="001C7C82"/>
    <w:rsid w:val="00201EB9"/>
    <w:rsid w:val="00203373"/>
    <w:rsid w:val="00211654"/>
    <w:rsid w:val="00213D45"/>
    <w:rsid w:val="00214753"/>
    <w:rsid w:val="00215820"/>
    <w:rsid w:val="002459C7"/>
    <w:rsid w:val="00246728"/>
    <w:rsid w:val="00254E4A"/>
    <w:rsid w:val="00256C4A"/>
    <w:rsid w:val="002637BC"/>
    <w:rsid w:val="00272F3B"/>
    <w:rsid w:val="002749CA"/>
    <w:rsid w:val="002B27F8"/>
    <w:rsid w:val="002C41FD"/>
    <w:rsid w:val="002D082F"/>
    <w:rsid w:val="002D4224"/>
    <w:rsid w:val="002E18CC"/>
    <w:rsid w:val="002E6AA6"/>
    <w:rsid w:val="002F5CA1"/>
    <w:rsid w:val="00312BA1"/>
    <w:rsid w:val="00314A5C"/>
    <w:rsid w:val="00317DA6"/>
    <w:rsid w:val="00322865"/>
    <w:rsid w:val="00342A81"/>
    <w:rsid w:val="00367299"/>
    <w:rsid w:val="00371A26"/>
    <w:rsid w:val="0037261E"/>
    <w:rsid w:val="00377363"/>
    <w:rsid w:val="003936AE"/>
    <w:rsid w:val="003A43AC"/>
    <w:rsid w:val="003C7641"/>
    <w:rsid w:val="003D00B4"/>
    <w:rsid w:val="003D7F03"/>
    <w:rsid w:val="003E2491"/>
    <w:rsid w:val="003F629E"/>
    <w:rsid w:val="00406000"/>
    <w:rsid w:val="00406BAD"/>
    <w:rsid w:val="004124B9"/>
    <w:rsid w:val="00424B61"/>
    <w:rsid w:val="00431DB2"/>
    <w:rsid w:val="004442FA"/>
    <w:rsid w:val="00481DC5"/>
    <w:rsid w:val="00485917"/>
    <w:rsid w:val="004A1D64"/>
    <w:rsid w:val="004B1F36"/>
    <w:rsid w:val="004C5284"/>
    <w:rsid w:val="004D64CB"/>
    <w:rsid w:val="004D771C"/>
    <w:rsid w:val="004F2936"/>
    <w:rsid w:val="00500F47"/>
    <w:rsid w:val="005128D0"/>
    <w:rsid w:val="005204C1"/>
    <w:rsid w:val="00533E3E"/>
    <w:rsid w:val="00556BFF"/>
    <w:rsid w:val="0056454B"/>
    <w:rsid w:val="00572924"/>
    <w:rsid w:val="0057393C"/>
    <w:rsid w:val="0059306B"/>
    <w:rsid w:val="0059337C"/>
    <w:rsid w:val="00594456"/>
    <w:rsid w:val="005E21FB"/>
    <w:rsid w:val="005E5892"/>
    <w:rsid w:val="0060710B"/>
    <w:rsid w:val="00610BBA"/>
    <w:rsid w:val="0064130F"/>
    <w:rsid w:val="006429E2"/>
    <w:rsid w:val="00650840"/>
    <w:rsid w:val="006724A7"/>
    <w:rsid w:val="006809CE"/>
    <w:rsid w:val="006B0552"/>
    <w:rsid w:val="006B3E52"/>
    <w:rsid w:val="006D5DEC"/>
    <w:rsid w:val="006E1CF8"/>
    <w:rsid w:val="006E5F65"/>
    <w:rsid w:val="006F1014"/>
    <w:rsid w:val="007015C2"/>
    <w:rsid w:val="0070743A"/>
    <w:rsid w:val="00737CF1"/>
    <w:rsid w:val="00760400"/>
    <w:rsid w:val="0076483E"/>
    <w:rsid w:val="00777A6E"/>
    <w:rsid w:val="00785F29"/>
    <w:rsid w:val="007A0DC1"/>
    <w:rsid w:val="007A5559"/>
    <w:rsid w:val="007C694F"/>
    <w:rsid w:val="007E5337"/>
    <w:rsid w:val="007E68AD"/>
    <w:rsid w:val="007F0EEB"/>
    <w:rsid w:val="007F1DDA"/>
    <w:rsid w:val="007F2AA4"/>
    <w:rsid w:val="00816476"/>
    <w:rsid w:val="00832ED7"/>
    <w:rsid w:val="0085764F"/>
    <w:rsid w:val="008629C7"/>
    <w:rsid w:val="008708AC"/>
    <w:rsid w:val="00875579"/>
    <w:rsid w:val="008A5570"/>
    <w:rsid w:val="008B033C"/>
    <w:rsid w:val="008B7733"/>
    <w:rsid w:val="008C546D"/>
    <w:rsid w:val="008D6556"/>
    <w:rsid w:val="008E084F"/>
    <w:rsid w:val="008E46A0"/>
    <w:rsid w:val="008E60C4"/>
    <w:rsid w:val="008E79F9"/>
    <w:rsid w:val="00902BD6"/>
    <w:rsid w:val="00935792"/>
    <w:rsid w:val="00936A89"/>
    <w:rsid w:val="00937F7A"/>
    <w:rsid w:val="009414B8"/>
    <w:rsid w:val="0094641C"/>
    <w:rsid w:val="00952F1A"/>
    <w:rsid w:val="009627BF"/>
    <w:rsid w:val="00962F0F"/>
    <w:rsid w:val="00991061"/>
    <w:rsid w:val="009A33E7"/>
    <w:rsid w:val="009B1CDF"/>
    <w:rsid w:val="009B60BA"/>
    <w:rsid w:val="009C0E4B"/>
    <w:rsid w:val="009E07C3"/>
    <w:rsid w:val="009F13CD"/>
    <w:rsid w:val="009F366B"/>
    <w:rsid w:val="009F6885"/>
    <w:rsid w:val="00A36428"/>
    <w:rsid w:val="00A412D2"/>
    <w:rsid w:val="00A61CDA"/>
    <w:rsid w:val="00A7050F"/>
    <w:rsid w:val="00A80C8A"/>
    <w:rsid w:val="00A81F26"/>
    <w:rsid w:val="00A8540F"/>
    <w:rsid w:val="00A94A5B"/>
    <w:rsid w:val="00AD0A16"/>
    <w:rsid w:val="00AD1718"/>
    <w:rsid w:val="00AD181D"/>
    <w:rsid w:val="00AE4CAC"/>
    <w:rsid w:val="00AF3187"/>
    <w:rsid w:val="00AF7998"/>
    <w:rsid w:val="00B012F7"/>
    <w:rsid w:val="00B12491"/>
    <w:rsid w:val="00B1690B"/>
    <w:rsid w:val="00B31D23"/>
    <w:rsid w:val="00B448F9"/>
    <w:rsid w:val="00B46255"/>
    <w:rsid w:val="00B63159"/>
    <w:rsid w:val="00B721CB"/>
    <w:rsid w:val="00B90968"/>
    <w:rsid w:val="00B974FB"/>
    <w:rsid w:val="00BA5F71"/>
    <w:rsid w:val="00BC04C4"/>
    <w:rsid w:val="00BC5736"/>
    <w:rsid w:val="00BC5A5C"/>
    <w:rsid w:val="00BD501B"/>
    <w:rsid w:val="00BE7FB3"/>
    <w:rsid w:val="00BF00FD"/>
    <w:rsid w:val="00C03743"/>
    <w:rsid w:val="00C07631"/>
    <w:rsid w:val="00C076BA"/>
    <w:rsid w:val="00C2609F"/>
    <w:rsid w:val="00C35643"/>
    <w:rsid w:val="00C439B6"/>
    <w:rsid w:val="00C44555"/>
    <w:rsid w:val="00C52105"/>
    <w:rsid w:val="00C86E7B"/>
    <w:rsid w:val="00C96A05"/>
    <w:rsid w:val="00C97389"/>
    <w:rsid w:val="00C977FA"/>
    <w:rsid w:val="00CC69EA"/>
    <w:rsid w:val="00CD73BB"/>
    <w:rsid w:val="00CE1837"/>
    <w:rsid w:val="00CE4755"/>
    <w:rsid w:val="00D00CA3"/>
    <w:rsid w:val="00D02A40"/>
    <w:rsid w:val="00D25DA2"/>
    <w:rsid w:val="00D320E3"/>
    <w:rsid w:val="00D4136D"/>
    <w:rsid w:val="00D43590"/>
    <w:rsid w:val="00D52A96"/>
    <w:rsid w:val="00D5669E"/>
    <w:rsid w:val="00D92221"/>
    <w:rsid w:val="00D953C3"/>
    <w:rsid w:val="00DB6707"/>
    <w:rsid w:val="00DD0504"/>
    <w:rsid w:val="00DE0F26"/>
    <w:rsid w:val="00DE382C"/>
    <w:rsid w:val="00DF0F38"/>
    <w:rsid w:val="00E0329E"/>
    <w:rsid w:val="00E043CE"/>
    <w:rsid w:val="00E107A0"/>
    <w:rsid w:val="00E17F0D"/>
    <w:rsid w:val="00E607CF"/>
    <w:rsid w:val="00E6507D"/>
    <w:rsid w:val="00E81325"/>
    <w:rsid w:val="00E845B3"/>
    <w:rsid w:val="00E849F5"/>
    <w:rsid w:val="00E97DBD"/>
    <w:rsid w:val="00EA3F89"/>
    <w:rsid w:val="00EA5FEF"/>
    <w:rsid w:val="00EB11D3"/>
    <w:rsid w:val="00EC6960"/>
    <w:rsid w:val="00ED2D35"/>
    <w:rsid w:val="00EE3A12"/>
    <w:rsid w:val="00F123AF"/>
    <w:rsid w:val="00F216AE"/>
    <w:rsid w:val="00F33B85"/>
    <w:rsid w:val="00F472CF"/>
    <w:rsid w:val="00F5468B"/>
    <w:rsid w:val="00F57FD8"/>
    <w:rsid w:val="00F602CB"/>
    <w:rsid w:val="00F76172"/>
    <w:rsid w:val="00F96B0F"/>
    <w:rsid w:val="00FA0E59"/>
    <w:rsid w:val="00FA506B"/>
    <w:rsid w:val="00FB6C3B"/>
    <w:rsid w:val="00FC617B"/>
    <w:rsid w:val="00FD171B"/>
    <w:rsid w:val="00FD58FD"/>
    <w:rsid w:val="00FE49BD"/>
    <w:rsid w:val="00FE639C"/>
    <w:rsid w:val="00FF1204"/>
    <w:rsid w:val="00FF5830"/>
    <w:rsid w:val="00FF71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C97389"/>
    <w:rPr>
      <w:rFonts w:ascii="Arial" w:eastAsia="Times New Roman" w:hAnsi="Arial" w:cs="Times New Roman"/>
      <w:b/>
      <w:kern w:val="0"/>
      <w:sz w:val="20"/>
      <w:szCs w:val="24"/>
      <w:lang w:eastAsia="en-US"/>
    </w:rPr>
  </w:style>
  <w:style w:type="paragraph" w:styleId="a0">
    <w:name w:val="Body Text"/>
    <w:basedOn w:val="a"/>
    <w:link w:val="Char0"/>
    <w:uiPriority w:val="99"/>
    <w:unhideWhenUsed/>
    <w:rsid w:val="00C97389"/>
    <w:pPr>
      <w:spacing w:after="120"/>
    </w:pPr>
  </w:style>
  <w:style w:type="character" w:customStyle="1" w:styleId="Char0">
    <w:name w:val="正文文本 Char"/>
    <w:basedOn w:val="a1"/>
    <w:link w:val="a0"/>
    <w:uiPriority w:val="99"/>
    <w:rsid w:val="00C97389"/>
  </w:style>
  <w:style w:type="table" w:styleId="a5">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1"/>
    <w:uiPriority w:val="99"/>
    <w:semiHidden/>
    <w:unhideWhenUsed/>
    <w:rsid w:val="00211654"/>
    <w:pPr>
      <w:tabs>
        <w:tab w:val="center" w:pos="4153"/>
        <w:tab w:val="right" w:pos="8306"/>
      </w:tabs>
      <w:snapToGrid w:val="0"/>
      <w:jc w:val="left"/>
    </w:pPr>
    <w:rPr>
      <w:sz w:val="18"/>
      <w:szCs w:val="18"/>
    </w:rPr>
  </w:style>
  <w:style w:type="character" w:customStyle="1" w:styleId="Char1">
    <w:name w:val="页脚 Char"/>
    <w:basedOn w:val="a1"/>
    <w:link w:val="a6"/>
    <w:uiPriority w:val="99"/>
    <w:semiHidden/>
    <w:rsid w:val="00211654"/>
    <w:rPr>
      <w:sz w:val="18"/>
      <w:szCs w:val="18"/>
    </w:rPr>
  </w:style>
  <w:style w:type="paragraph" w:styleId="a7">
    <w:name w:val="List Paragraph"/>
    <w:basedOn w:val="a"/>
    <w:uiPriority w:val="34"/>
    <w:qFormat/>
    <w:rsid w:val="003A43AC"/>
    <w:pPr>
      <w:ind w:firstLineChars="200" w:firstLine="420"/>
    </w:pPr>
  </w:style>
  <w:style w:type="paragraph" w:styleId="a8">
    <w:name w:val="Subtitle"/>
    <w:basedOn w:val="a"/>
    <w:next w:val="a"/>
    <w:link w:val="Char2"/>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2">
    <w:name w:val="副标题 Char"/>
    <w:basedOn w:val="a1"/>
    <w:link w:val="a8"/>
    <w:uiPriority w:val="11"/>
    <w:rsid w:val="00B90968"/>
    <w:rPr>
      <w:rFonts w:asciiTheme="majorHAnsi" w:eastAsia="宋体" w:hAnsiTheme="majorHAnsi" w:cstheme="majorBidi"/>
      <w:b/>
      <w:bCs/>
      <w:kern w:val="28"/>
      <w:sz w:val="32"/>
      <w:szCs w:val="32"/>
    </w:rPr>
  </w:style>
  <w:style w:type="paragraph" w:styleId="a9">
    <w:name w:val="Balloon Text"/>
    <w:basedOn w:val="a"/>
    <w:link w:val="Char3"/>
    <w:uiPriority w:val="99"/>
    <w:semiHidden/>
    <w:unhideWhenUsed/>
    <w:rsid w:val="00FE639C"/>
    <w:rPr>
      <w:sz w:val="18"/>
      <w:szCs w:val="18"/>
    </w:rPr>
  </w:style>
  <w:style w:type="character" w:customStyle="1" w:styleId="Char3">
    <w:name w:val="批注框文本 Char"/>
    <w:basedOn w:val="a1"/>
    <w:link w:val="a9"/>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a">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b">
    <w:name w:val="Hyperlink"/>
    <w:basedOn w:val="a1"/>
    <w:uiPriority w:val="99"/>
    <w:semiHidden/>
    <w:unhideWhenUsed/>
    <w:rsid w:val="00F602CB"/>
    <w:rPr>
      <w:color w:val="0000FF"/>
      <w:u w:val="single"/>
    </w:rPr>
  </w:style>
  <w:style w:type="paragraph" w:styleId="ac">
    <w:name w:val="Document Map"/>
    <w:basedOn w:val="a"/>
    <w:link w:val="Char4"/>
    <w:uiPriority w:val="99"/>
    <w:semiHidden/>
    <w:unhideWhenUsed/>
    <w:rsid w:val="002D082F"/>
    <w:rPr>
      <w:rFonts w:ascii="Heiti SC Light" w:eastAsia="Heiti SC Light"/>
      <w:sz w:val="24"/>
      <w:szCs w:val="24"/>
    </w:rPr>
  </w:style>
  <w:style w:type="character" w:customStyle="1" w:styleId="Char4">
    <w:name w:val="文档结构图 Char"/>
    <w:basedOn w:val="a1"/>
    <w:link w:val="ac"/>
    <w:uiPriority w:val="99"/>
    <w:semiHidden/>
    <w:rsid w:val="002D082F"/>
    <w:rPr>
      <w:rFonts w:ascii="Heiti SC Light" w:eastAsia="Heiti SC Light"/>
      <w:sz w:val="24"/>
      <w:szCs w:val="24"/>
    </w:rPr>
  </w:style>
  <w:style w:type="paragraph" w:styleId="ad">
    <w:name w:val="Revision"/>
    <w:hidden/>
    <w:uiPriority w:val="99"/>
    <w:semiHidden/>
    <w:rsid w:val="00FD171B"/>
  </w:style>
  <w:style w:type="character" w:customStyle="1" w:styleId="TFChar">
    <w:name w:val="TF Char"/>
    <w:link w:val="TF"/>
    <w:locked/>
    <w:rsid w:val="009627BF"/>
    <w:rPr>
      <w:rFonts w:ascii="Arial" w:eastAsia="Times New Roman" w:hAnsi="Arial" w:cs="Arial"/>
      <w:b/>
      <w:lang w:eastAsia="en-US"/>
    </w:rPr>
  </w:style>
  <w:style w:type="paragraph" w:customStyle="1" w:styleId="TF">
    <w:name w:val="TF"/>
    <w:basedOn w:val="a"/>
    <w:link w:val="TFChar"/>
    <w:rsid w:val="009627BF"/>
    <w:pPr>
      <w:keepLines/>
      <w:widowControl/>
      <w:overflowPunct w:val="0"/>
      <w:autoSpaceDE w:val="0"/>
      <w:autoSpaceDN w:val="0"/>
      <w:adjustRightInd w:val="0"/>
      <w:spacing w:after="240"/>
      <w:jc w:val="center"/>
    </w:pPr>
    <w:rPr>
      <w:rFonts w:ascii="Arial" w:eastAsia="Times New Roman" w:hAnsi="Arial" w:cs="Arial"/>
      <w:b/>
      <w:lang w:eastAsia="en-US"/>
    </w:rPr>
  </w:style>
  <w:style w:type="character" w:customStyle="1" w:styleId="THChar">
    <w:name w:val="TH Char"/>
    <w:link w:val="TH"/>
    <w:locked/>
    <w:rsid w:val="009627BF"/>
    <w:rPr>
      <w:rFonts w:ascii="Arial" w:eastAsia="Times New Roman" w:hAnsi="Arial" w:cs="Arial"/>
      <w:b/>
      <w:lang w:eastAsia="en-US"/>
    </w:rPr>
  </w:style>
  <w:style w:type="paragraph" w:customStyle="1" w:styleId="TH">
    <w:name w:val="TH"/>
    <w:basedOn w:val="a"/>
    <w:link w:val="THChar"/>
    <w:rsid w:val="009627BF"/>
    <w:pPr>
      <w:keepNext/>
      <w:keepLines/>
      <w:widowControl/>
      <w:overflowPunct w:val="0"/>
      <w:autoSpaceDE w:val="0"/>
      <w:autoSpaceDN w:val="0"/>
      <w:adjustRightInd w:val="0"/>
      <w:spacing w:before="60" w:after="180"/>
      <w:jc w:val="center"/>
    </w:pPr>
    <w:rPr>
      <w:rFonts w:ascii="Arial" w:eastAsia="Times New Roman" w:hAnsi="Arial" w:cs="Arial"/>
      <w:b/>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38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C97389"/>
    <w:pPr>
      <w:keepNext/>
      <w:widowControl/>
      <w:spacing w:before="240" w:after="60"/>
      <w:jc w:val="left"/>
      <w:outlineLvl w:val="0"/>
    </w:pPr>
    <w:rPr>
      <w:rFonts w:ascii="Helvetica" w:eastAsia="Times New Roman" w:hAnsi="Helvetica" w:cs="Times New Roman"/>
      <w:b/>
      <w:bCs/>
      <w:kern w:val="32"/>
      <w:sz w:val="28"/>
      <w:szCs w:val="3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basedOn w:val="a1"/>
    <w:link w:val="1"/>
    <w:rsid w:val="00C97389"/>
    <w:rPr>
      <w:rFonts w:ascii="Helvetica" w:eastAsia="Times New Roman" w:hAnsi="Helvetica" w:cs="Times New Roman"/>
      <w:b/>
      <w:bCs/>
      <w:kern w:val="32"/>
      <w:sz w:val="28"/>
      <w:szCs w:val="3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C97389"/>
    <w:pPr>
      <w:widowControl/>
      <w:tabs>
        <w:tab w:val="left" w:pos="2552"/>
      </w:tabs>
      <w:jc w:val="left"/>
    </w:pPr>
    <w:rPr>
      <w:rFonts w:ascii="Arial" w:eastAsia="Times New Roman" w:hAnsi="Arial" w:cs="Times New Roman"/>
      <w:b/>
      <w:kern w:val="0"/>
      <w:sz w:val="20"/>
      <w:szCs w:val="24"/>
      <w:lang w:eastAsia="en-US"/>
    </w:rPr>
  </w:style>
  <w:style w:type="character" w:customStyle="1" w:styleId="a5">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basedOn w:val="a1"/>
    <w:link w:val="a4"/>
    <w:rsid w:val="00C97389"/>
    <w:rPr>
      <w:rFonts w:ascii="Arial" w:eastAsia="Times New Roman" w:hAnsi="Arial" w:cs="Times New Roman"/>
      <w:b/>
      <w:kern w:val="0"/>
      <w:sz w:val="20"/>
      <w:szCs w:val="24"/>
      <w:lang w:eastAsia="en-US"/>
    </w:rPr>
  </w:style>
  <w:style w:type="paragraph" w:styleId="a0">
    <w:name w:val="Body Text"/>
    <w:basedOn w:val="a"/>
    <w:link w:val="a6"/>
    <w:uiPriority w:val="99"/>
    <w:unhideWhenUsed/>
    <w:rsid w:val="00C97389"/>
    <w:pPr>
      <w:spacing w:after="120"/>
    </w:pPr>
  </w:style>
  <w:style w:type="character" w:customStyle="1" w:styleId="a6">
    <w:name w:val="正文文本字符"/>
    <w:basedOn w:val="a1"/>
    <w:link w:val="a0"/>
    <w:uiPriority w:val="99"/>
    <w:rsid w:val="00C97389"/>
  </w:style>
  <w:style w:type="table" w:styleId="a7">
    <w:name w:val="Table Grid"/>
    <w:basedOn w:val="a2"/>
    <w:uiPriority w:val="59"/>
    <w:rsid w:val="00C973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semiHidden/>
    <w:unhideWhenUsed/>
    <w:rsid w:val="00211654"/>
    <w:pPr>
      <w:tabs>
        <w:tab w:val="center" w:pos="4153"/>
        <w:tab w:val="right" w:pos="8306"/>
      </w:tabs>
      <w:snapToGrid w:val="0"/>
      <w:jc w:val="left"/>
    </w:pPr>
    <w:rPr>
      <w:sz w:val="18"/>
      <w:szCs w:val="18"/>
    </w:rPr>
  </w:style>
  <w:style w:type="character" w:customStyle="1" w:styleId="a9">
    <w:name w:val="页脚字符"/>
    <w:basedOn w:val="a1"/>
    <w:link w:val="a8"/>
    <w:uiPriority w:val="99"/>
    <w:semiHidden/>
    <w:rsid w:val="00211654"/>
    <w:rPr>
      <w:sz w:val="18"/>
      <w:szCs w:val="18"/>
    </w:rPr>
  </w:style>
  <w:style w:type="paragraph" w:styleId="aa">
    <w:name w:val="List Paragraph"/>
    <w:basedOn w:val="a"/>
    <w:uiPriority w:val="34"/>
    <w:qFormat/>
    <w:rsid w:val="003A43AC"/>
    <w:pPr>
      <w:ind w:firstLineChars="200" w:firstLine="420"/>
    </w:pPr>
  </w:style>
  <w:style w:type="paragraph" w:styleId="ab">
    <w:name w:val="Subtitle"/>
    <w:basedOn w:val="a"/>
    <w:next w:val="a"/>
    <w:link w:val="ac"/>
    <w:uiPriority w:val="11"/>
    <w:qFormat/>
    <w:rsid w:val="00B90968"/>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c">
    <w:name w:val="副标题字符"/>
    <w:basedOn w:val="a1"/>
    <w:link w:val="ab"/>
    <w:uiPriority w:val="11"/>
    <w:rsid w:val="00B90968"/>
    <w:rPr>
      <w:rFonts w:asciiTheme="majorHAnsi" w:eastAsia="宋体" w:hAnsiTheme="majorHAnsi" w:cstheme="majorBidi"/>
      <w:b/>
      <w:bCs/>
      <w:kern w:val="28"/>
      <w:sz w:val="32"/>
      <w:szCs w:val="32"/>
    </w:rPr>
  </w:style>
  <w:style w:type="paragraph" w:styleId="ad">
    <w:name w:val="Balloon Text"/>
    <w:basedOn w:val="a"/>
    <w:link w:val="ae"/>
    <w:uiPriority w:val="99"/>
    <w:semiHidden/>
    <w:unhideWhenUsed/>
    <w:rsid w:val="00FE639C"/>
    <w:rPr>
      <w:sz w:val="18"/>
      <w:szCs w:val="18"/>
    </w:rPr>
  </w:style>
  <w:style w:type="character" w:customStyle="1" w:styleId="ae">
    <w:name w:val="批注框文本字符"/>
    <w:basedOn w:val="a1"/>
    <w:link w:val="ad"/>
    <w:uiPriority w:val="99"/>
    <w:semiHidden/>
    <w:rsid w:val="00FE639C"/>
    <w:rPr>
      <w:sz w:val="18"/>
      <w:szCs w:val="18"/>
    </w:rPr>
  </w:style>
  <w:style w:type="paragraph" w:customStyle="1" w:styleId="NO">
    <w:name w:val="NO"/>
    <w:basedOn w:val="a"/>
    <w:link w:val="NOChar"/>
    <w:rsid w:val="00FE639C"/>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
    <w:name w:val="NO Char"/>
    <w:link w:val="NO"/>
    <w:rsid w:val="00FE639C"/>
    <w:rPr>
      <w:rFonts w:ascii="Times New Roman" w:hAnsi="Times New Roman" w:cs="Times New Roman"/>
      <w:kern w:val="0"/>
      <w:sz w:val="20"/>
      <w:szCs w:val="20"/>
      <w:lang w:val="en-GB" w:eastAsia="en-US"/>
    </w:rPr>
  </w:style>
  <w:style w:type="paragraph" w:styleId="af">
    <w:name w:val="Normal (Web)"/>
    <w:basedOn w:val="a"/>
    <w:uiPriority w:val="99"/>
    <w:semiHidden/>
    <w:unhideWhenUsed/>
    <w:rsid w:val="000D31F6"/>
    <w:pPr>
      <w:widowControl/>
      <w:spacing w:before="100" w:beforeAutospacing="1" w:after="100" w:afterAutospacing="1"/>
      <w:jc w:val="left"/>
    </w:pPr>
    <w:rPr>
      <w:rFonts w:ascii="宋体" w:eastAsia="宋体" w:hAnsi="宋体" w:cs="宋体"/>
      <w:kern w:val="0"/>
      <w:sz w:val="24"/>
      <w:szCs w:val="24"/>
    </w:rPr>
  </w:style>
  <w:style w:type="paragraph" w:customStyle="1" w:styleId="ZA">
    <w:name w:val="ZA"/>
    <w:rsid w:val="000D31F6"/>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character" w:customStyle="1" w:styleId="ZGSM">
    <w:name w:val="ZGSM"/>
    <w:rsid w:val="000D31F6"/>
  </w:style>
  <w:style w:type="paragraph" w:customStyle="1" w:styleId="ZT">
    <w:name w:val="ZT"/>
    <w:rsid w:val="000D31F6"/>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styleId="af0">
    <w:name w:val="Hyperlink"/>
    <w:basedOn w:val="a1"/>
    <w:uiPriority w:val="99"/>
    <w:semiHidden/>
    <w:unhideWhenUsed/>
    <w:rsid w:val="00F602CB"/>
    <w:rPr>
      <w:color w:val="0000FF"/>
      <w:u w:val="single"/>
    </w:rPr>
  </w:style>
  <w:style w:type="paragraph" w:styleId="af1">
    <w:name w:val="Document Map"/>
    <w:basedOn w:val="a"/>
    <w:link w:val="af2"/>
    <w:uiPriority w:val="99"/>
    <w:semiHidden/>
    <w:unhideWhenUsed/>
    <w:rsid w:val="002D082F"/>
    <w:rPr>
      <w:rFonts w:ascii="Heiti SC Light" w:eastAsia="Heiti SC Light"/>
      <w:sz w:val="24"/>
      <w:szCs w:val="24"/>
    </w:rPr>
  </w:style>
  <w:style w:type="character" w:customStyle="1" w:styleId="af2">
    <w:name w:val="文档结构图 字符"/>
    <w:basedOn w:val="a1"/>
    <w:link w:val="af1"/>
    <w:uiPriority w:val="99"/>
    <w:semiHidden/>
    <w:rsid w:val="002D082F"/>
    <w:rPr>
      <w:rFonts w:ascii="Heiti SC Light" w:eastAsia="Heiti SC Light"/>
      <w:sz w:val="24"/>
      <w:szCs w:val="24"/>
    </w:rPr>
  </w:style>
</w:styles>
</file>

<file path=word/webSettings.xml><?xml version="1.0" encoding="utf-8"?>
<w:webSettings xmlns:r="http://schemas.openxmlformats.org/officeDocument/2006/relationships" xmlns:w="http://schemas.openxmlformats.org/wordprocessingml/2006/main">
  <w:divs>
    <w:div w:id="194585973">
      <w:bodyDiv w:val="1"/>
      <w:marLeft w:val="0"/>
      <w:marRight w:val="0"/>
      <w:marTop w:val="0"/>
      <w:marBottom w:val="0"/>
      <w:divBdr>
        <w:top w:val="none" w:sz="0" w:space="0" w:color="auto"/>
        <w:left w:val="none" w:sz="0" w:space="0" w:color="auto"/>
        <w:bottom w:val="none" w:sz="0" w:space="0" w:color="auto"/>
        <w:right w:val="none" w:sz="0" w:space="0" w:color="auto"/>
      </w:divBdr>
      <w:divsChild>
        <w:div w:id="263390102">
          <w:marLeft w:val="0"/>
          <w:marRight w:val="0"/>
          <w:marTop w:val="0"/>
          <w:marBottom w:val="0"/>
          <w:divBdr>
            <w:top w:val="none" w:sz="0" w:space="0" w:color="auto"/>
            <w:left w:val="none" w:sz="0" w:space="0" w:color="auto"/>
            <w:bottom w:val="none" w:sz="0" w:space="0" w:color="auto"/>
            <w:right w:val="none" w:sz="0" w:space="0" w:color="auto"/>
          </w:divBdr>
        </w:div>
      </w:divsChild>
    </w:div>
    <w:div w:id="204488414">
      <w:bodyDiv w:val="1"/>
      <w:marLeft w:val="0"/>
      <w:marRight w:val="0"/>
      <w:marTop w:val="0"/>
      <w:marBottom w:val="0"/>
      <w:divBdr>
        <w:top w:val="none" w:sz="0" w:space="0" w:color="auto"/>
        <w:left w:val="none" w:sz="0" w:space="0" w:color="auto"/>
        <w:bottom w:val="none" w:sz="0" w:space="0" w:color="auto"/>
        <w:right w:val="none" w:sz="0" w:space="0" w:color="auto"/>
      </w:divBdr>
    </w:div>
    <w:div w:id="553543022">
      <w:bodyDiv w:val="1"/>
      <w:marLeft w:val="0"/>
      <w:marRight w:val="0"/>
      <w:marTop w:val="0"/>
      <w:marBottom w:val="0"/>
      <w:divBdr>
        <w:top w:val="none" w:sz="0" w:space="0" w:color="auto"/>
        <w:left w:val="none" w:sz="0" w:space="0" w:color="auto"/>
        <w:bottom w:val="none" w:sz="0" w:space="0" w:color="auto"/>
        <w:right w:val="none" w:sz="0" w:space="0" w:color="auto"/>
      </w:divBdr>
      <w:divsChild>
        <w:div w:id="824590988">
          <w:marLeft w:val="360"/>
          <w:marRight w:val="0"/>
          <w:marTop w:val="200"/>
          <w:marBottom w:val="0"/>
          <w:divBdr>
            <w:top w:val="none" w:sz="0" w:space="0" w:color="auto"/>
            <w:left w:val="none" w:sz="0" w:space="0" w:color="auto"/>
            <w:bottom w:val="none" w:sz="0" w:space="0" w:color="auto"/>
            <w:right w:val="none" w:sz="0" w:space="0" w:color="auto"/>
          </w:divBdr>
        </w:div>
        <w:div w:id="366495420">
          <w:marLeft w:val="360"/>
          <w:marRight w:val="0"/>
          <w:marTop w:val="200"/>
          <w:marBottom w:val="0"/>
          <w:divBdr>
            <w:top w:val="none" w:sz="0" w:space="0" w:color="auto"/>
            <w:left w:val="none" w:sz="0" w:space="0" w:color="auto"/>
            <w:bottom w:val="none" w:sz="0" w:space="0" w:color="auto"/>
            <w:right w:val="none" w:sz="0" w:space="0" w:color="auto"/>
          </w:divBdr>
        </w:div>
        <w:div w:id="870344875">
          <w:marLeft w:val="1080"/>
          <w:marRight w:val="0"/>
          <w:marTop w:val="100"/>
          <w:marBottom w:val="0"/>
          <w:divBdr>
            <w:top w:val="none" w:sz="0" w:space="0" w:color="auto"/>
            <w:left w:val="none" w:sz="0" w:space="0" w:color="auto"/>
            <w:bottom w:val="none" w:sz="0" w:space="0" w:color="auto"/>
            <w:right w:val="none" w:sz="0" w:space="0" w:color="auto"/>
          </w:divBdr>
        </w:div>
        <w:div w:id="563299093">
          <w:marLeft w:val="1080"/>
          <w:marRight w:val="0"/>
          <w:marTop w:val="100"/>
          <w:marBottom w:val="0"/>
          <w:divBdr>
            <w:top w:val="none" w:sz="0" w:space="0" w:color="auto"/>
            <w:left w:val="none" w:sz="0" w:space="0" w:color="auto"/>
            <w:bottom w:val="none" w:sz="0" w:space="0" w:color="auto"/>
            <w:right w:val="none" w:sz="0" w:space="0" w:color="auto"/>
          </w:divBdr>
        </w:div>
        <w:div w:id="534512558">
          <w:marLeft w:val="1080"/>
          <w:marRight w:val="0"/>
          <w:marTop w:val="100"/>
          <w:marBottom w:val="0"/>
          <w:divBdr>
            <w:top w:val="none" w:sz="0" w:space="0" w:color="auto"/>
            <w:left w:val="none" w:sz="0" w:space="0" w:color="auto"/>
            <w:bottom w:val="none" w:sz="0" w:space="0" w:color="auto"/>
            <w:right w:val="none" w:sz="0" w:space="0" w:color="auto"/>
          </w:divBdr>
        </w:div>
        <w:div w:id="967200171">
          <w:marLeft w:val="1080"/>
          <w:marRight w:val="0"/>
          <w:marTop w:val="100"/>
          <w:marBottom w:val="0"/>
          <w:divBdr>
            <w:top w:val="none" w:sz="0" w:space="0" w:color="auto"/>
            <w:left w:val="none" w:sz="0" w:space="0" w:color="auto"/>
            <w:bottom w:val="none" w:sz="0" w:space="0" w:color="auto"/>
            <w:right w:val="none" w:sz="0" w:space="0" w:color="auto"/>
          </w:divBdr>
        </w:div>
        <w:div w:id="748582813">
          <w:marLeft w:val="360"/>
          <w:marRight w:val="0"/>
          <w:marTop w:val="200"/>
          <w:marBottom w:val="0"/>
          <w:divBdr>
            <w:top w:val="none" w:sz="0" w:space="0" w:color="auto"/>
            <w:left w:val="none" w:sz="0" w:space="0" w:color="auto"/>
            <w:bottom w:val="none" w:sz="0" w:space="0" w:color="auto"/>
            <w:right w:val="none" w:sz="0" w:space="0" w:color="auto"/>
          </w:divBdr>
        </w:div>
        <w:div w:id="1729569199">
          <w:marLeft w:val="1080"/>
          <w:marRight w:val="0"/>
          <w:marTop w:val="100"/>
          <w:marBottom w:val="0"/>
          <w:divBdr>
            <w:top w:val="none" w:sz="0" w:space="0" w:color="auto"/>
            <w:left w:val="none" w:sz="0" w:space="0" w:color="auto"/>
            <w:bottom w:val="none" w:sz="0" w:space="0" w:color="auto"/>
            <w:right w:val="none" w:sz="0" w:space="0" w:color="auto"/>
          </w:divBdr>
        </w:div>
        <w:div w:id="1438450158">
          <w:marLeft w:val="1080"/>
          <w:marRight w:val="0"/>
          <w:marTop w:val="100"/>
          <w:marBottom w:val="0"/>
          <w:divBdr>
            <w:top w:val="none" w:sz="0" w:space="0" w:color="auto"/>
            <w:left w:val="none" w:sz="0" w:space="0" w:color="auto"/>
            <w:bottom w:val="none" w:sz="0" w:space="0" w:color="auto"/>
            <w:right w:val="none" w:sz="0" w:space="0" w:color="auto"/>
          </w:divBdr>
        </w:div>
      </w:divsChild>
    </w:div>
    <w:div w:id="1190021850">
      <w:bodyDiv w:val="1"/>
      <w:marLeft w:val="0"/>
      <w:marRight w:val="0"/>
      <w:marTop w:val="0"/>
      <w:marBottom w:val="0"/>
      <w:divBdr>
        <w:top w:val="none" w:sz="0" w:space="0" w:color="auto"/>
        <w:left w:val="none" w:sz="0" w:space="0" w:color="auto"/>
        <w:bottom w:val="none" w:sz="0" w:space="0" w:color="auto"/>
        <w:right w:val="none" w:sz="0" w:space="0" w:color="auto"/>
      </w:divBdr>
      <w:divsChild>
        <w:div w:id="1175536266">
          <w:marLeft w:val="547"/>
          <w:marRight w:val="0"/>
          <w:marTop w:val="96"/>
          <w:marBottom w:val="0"/>
          <w:divBdr>
            <w:top w:val="none" w:sz="0" w:space="0" w:color="auto"/>
            <w:left w:val="none" w:sz="0" w:space="0" w:color="auto"/>
            <w:bottom w:val="none" w:sz="0" w:space="0" w:color="auto"/>
            <w:right w:val="none" w:sz="0" w:space="0" w:color="auto"/>
          </w:divBdr>
        </w:div>
        <w:div w:id="1386830298">
          <w:marLeft w:val="547"/>
          <w:marRight w:val="0"/>
          <w:marTop w:val="96"/>
          <w:marBottom w:val="0"/>
          <w:divBdr>
            <w:top w:val="none" w:sz="0" w:space="0" w:color="auto"/>
            <w:left w:val="none" w:sz="0" w:space="0" w:color="auto"/>
            <w:bottom w:val="none" w:sz="0" w:space="0" w:color="auto"/>
            <w:right w:val="none" w:sz="0" w:space="0" w:color="auto"/>
          </w:divBdr>
        </w:div>
        <w:div w:id="355080088">
          <w:marLeft w:val="547"/>
          <w:marRight w:val="0"/>
          <w:marTop w:val="96"/>
          <w:marBottom w:val="0"/>
          <w:divBdr>
            <w:top w:val="none" w:sz="0" w:space="0" w:color="auto"/>
            <w:left w:val="none" w:sz="0" w:space="0" w:color="auto"/>
            <w:bottom w:val="none" w:sz="0" w:space="0" w:color="auto"/>
            <w:right w:val="none" w:sz="0" w:space="0" w:color="auto"/>
          </w:divBdr>
        </w:div>
        <w:div w:id="1111508915">
          <w:marLeft w:val="547"/>
          <w:marRight w:val="0"/>
          <w:marTop w:val="96"/>
          <w:marBottom w:val="0"/>
          <w:divBdr>
            <w:top w:val="none" w:sz="0" w:space="0" w:color="auto"/>
            <w:left w:val="none" w:sz="0" w:space="0" w:color="auto"/>
            <w:bottom w:val="none" w:sz="0" w:space="0" w:color="auto"/>
            <w:right w:val="none" w:sz="0" w:space="0" w:color="auto"/>
          </w:divBdr>
        </w:div>
      </w:divsChild>
    </w:div>
    <w:div w:id="1369719846">
      <w:bodyDiv w:val="1"/>
      <w:marLeft w:val="0"/>
      <w:marRight w:val="0"/>
      <w:marTop w:val="0"/>
      <w:marBottom w:val="0"/>
      <w:divBdr>
        <w:top w:val="none" w:sz="0" w:space="0" w:color="auto"/>
        <w:left w:val="none" w:sz="0" w:space="0" w:color="auto"/>
        <w:bottom w:val="none" w:sz="0" w:space="0" w:color="auto"/>
        <w:right w:val="none" w:sz="0" w:space="0" w:color="auto"/>
      </w:divBdr>
    </w:div>
    <w:div w:id="1494569311">
      <w:bodyDiv w:val="1"/>
      <w:marLeft w:val="0"/>
      <w:marRight w:val="0"/>
      <w:marTop w:val="0"/>
      <w:marBottom w:val="0"/>
      <w:divBdr>
        <w:top w:val="none" w:sz="0" w:space="0" w:color="auto"/>
        <w:left w:val="none" w:sz="0" w:space="0" w:color="auto"/>
        <w:bottom w:val="none" w:sz="0" w:space="0" w:color="auto"/>
        <w:right w:val="none" w:sz="0" w:space="0" w:color="auto"/>
      </w:divBdr>
      <w:divsChild>
        <w:div w:id="2146659559">
          <w:marLeft w:val="1080"/>
          <w:marRight w:val="0"/>
          <w:marTop w:val="100"/>
          <w:marBottom w:val="0"/>
          <w:divBdr>
            <w:top w:val="none" w:sz="0" w:space="0" w:color="auto"/>
            <w:left w:val="none" w:sz="0" w:space="0" w:color="auto"/>
            <w:bottom w:val="none" w:sz="0" w:space="0" w:color="auto"/>
            <w:right w:val="none" w:sz="0" w:space="0" w:color="auto"/>
          </w:divBdr>
        </w:div>
        <w:div w:id="182522546">
          <w:marLeft w:val="1080"/>
          <w:marRight w:val="0"/>
          <w:marTop w:val="100"/>
          <w:marBottom w:val="0"/>
          <w:divBdr>
            <w:top w:val="none" w:sz="0" w:space="0" w:color="auto"/>
            <w:left w:val="none" w:sz="0" w:space="0" w:color="auto"/>
            <w:bottom w:val="none" w:sz="0" w:space="0" w:color="auto"/>
            <w:right w:val="none" w:sz="0" w:space="0" w:color="auto"/>
          </w:divBdr>
        </w:div>
        <w:div w:id="1152062657">
          <w:marLeft w:val="1080"/>
          <w:marRight w:val="0"/>
          <w:marTop w:val="100"/>
          <w:marBottom w:val="0"/>
          <w:divBdr>
            <w:top w:val="none" w:sz="0" w:space="0" w:color="auto"/>
            <w:left w:val="none" w:sz="0" w:space="0" w:color="auto"/>
            <w:bottom w:val="none" w:sz="0" w:space="0" w:color="auto"/>
            <w:right w:val="none" w:sz="0" w:space="0" w:color="auto"/>
          </w:divBdr>
        </w:div>
        <w:div w:id="856501654">
          <w:marLeft w:val="1080"/>
          <w:marRight w:val="0"/>
          <w:marTop w:val="100"/>
          <w:marBottom w:val="0"/>
          <w:divBdr>
            <w:top w:val="none" w:sz="0" w:space="0" w:color="auto"/>
            <w:left w:val="none" w:sz="0" w:space="0" w:color="auto"/>
            <w:bottom w:val="none" w:sz="0" w:space="0" w:color="auto"/>
            <w:right w:val="none" w:sz="0" w:space="0" w:color="auto"/>
          </w:divBdr>
        </w:div>
      </w:divsChild>
    </w:div>
    <w:div w:id="1706053880">
      <w:bodyDiv w:val="1"/>
      <w:marLeft w:val="0"/>
      <w:marRight w:val="0"/>
      <w:marTop w:val="0"/>
      <w:marBottom w:val="0"/>
      <w:divBdr>
        <w:top w:val="none" w:sz="0" w:space="0" w:color="auto"/>
        <w:left w:val="none" w:sz="0" w:space="0" w:color="auto"/>
        <w:bottom w:val="none" w:sz="0" w:space="0" w:color="auto"/>
        <w:right w:val="none" w:sz="0" w:space="0" w:color="auto"/>
      </w:divBdr>
    </w:div>
    <w:div w:id="1717200642">
      <w:bodyDiv w:val="1"/>
      <w:marLeft w:val="0"/>
      <w:marRight w:val="0"/>
      <w:marTop w:val="0"/>
      <w:marBottom w:val="0"/>
      <w:divBdr>
        <w:top w:val="none" w:sz="0" w:space="0" w:color="auto"/>
        <w:left w:val="none" w:sz="0" w:space="0" w:color="auto"/>
        <w:bottom w:val="none" w:sz="0" w:space="0" w:color="auto"/>
        <w:right w:val="none" w:sz="0" w:space="0" w:color="auto"/>
      </w:divBdr>
    </w:div>
    <w:div w:id="202906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724</Words>
  <Characters>4133</Characters>
  <Application>Microsoft Office Word</Application>
  <DocSecurity>0</DocSecurity>
  <Lines>34</Lines>
  <Paragraphs>9</Paragraphs>
  <ScaleCrop>false</ScaleCrop>
  <Company>cmcc</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cmri</cp:lastModifiedBy>
  <cp:revision>28</cp:revision>
  <dcterms:created xsi:type="dcterms:W3CDTF">2018-03-30T05:24:00Z</dcterms:created>
  <dcterms:modified xsi:type="dcterms:W3CDTF">2018-04-04T09:38:00Z</dcterms:modified>
</cp:coreProperties>
</file>