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3EAEC" w14:textId="276FED6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6421E5" w:rsidRPr="006421E5">
        <w:rPr>
          <w:rFonts w:ascii="Arial" w:eastAsia="宋体" w:hAnsi="Arial" w:cs="Times New Roman"/>
          <w:b/>
          <w:bCs/>
          <w:sz w:val="24"/>
          <w:szCs w:val="20"/>
          <w:lang w:val="en-GB" w:eastAsia="ja-JP"/>
        </w:rPr>
        <w:t>R4-1805070</w:t>
      </w:r>
      <w:bookmarkStart w:id="3" w:name="_GoBack"/>
      <w:bookmarkEnd w:id="3"/>
    </w:p>
    <w:p w14:paraId="7A382557" w14:textId="77777777"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14:paraId="56FD70F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53E499D0"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3ED9CBA" w14:textId="77777777"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B32E4D">
        <w:rPr>
          <w:rFonts w:ascii="Arial" w:eastAsia="Calibri" w:hAnsi="Arial" w:cs="Arial"/>
          <w:b/>
          <w:bCs/>
          <w:sz w:val="24"/>
          <w:lang w:val="en-GB"/>
        </w:rPr>
        <w:t>NR intra-frequency measurement requirements</w:t>
      </w:r>
      <w:r w:rsidR="00EE5BD2">
        <w:rPr>
          <w:rFonts w:ascii="Arial" w:eastAsia="Calibri" w:hAnsi="Arial" w:cs="Arial"/>
          <w:b/>
          <w:bCs/>
          <w:sz w:val="24"/>
          <w:lang w:val="en-GB"/>
        </w:rPr>
        <w:t xml:space="preserve"> for DRX</w:t>
      </w:r>
    </w:p>
    <w:p w14:paraId="4DA24F15"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B32E4D">
        <w:rPr>
          <w:rFonts w:ascii="Arial" w:eastAsia="MS Mincho" w:hAnsi="Arial" w:cs="Arial"/>
          <w:b/>
          <w:bCs/>
          <w:sz w:val="24"/>
          <w:szCs w:val="20"/>
          <w:lang w:val="en-GB"/>
        </w:rPr>
        <w:t>4.1</w:t>
      </w:r>
      <w:r w:rsidR="00990EBB">
        <w:rPr>
          <w:rFonts w:ascii="Arial" w:eastAsia="MS Mincho" w:hAnsi="Arial" w:cs="Arial"/>
          <w:b/>
          <w:bCs/>
          <w:sz w:val="24"/>
          <w:szCs w:val="20"/>
          <w:lang w:val="en-GB"/>
        </w:rPr>
        <w:t>.</w:t>
      </w:r>
      <w:r w:rsidR="00EE5BD2">
        <w:rPr>
          <w:rFonts w:ascii="Arial" w:eastAsia="MS Mincho" w:hAnsi="Arial" w:cs="Arial"/>
          <w:b/>
          <w:bCs/>
          <w:sz w:val="24"/>
          <w:szCs w:val="20"/>
          <w:lang w:val="en-GB"/>
        </w:rPr>
        <w:t>3</w:t>
      </w:r>
    </w:p>
    <w:p w14:paraId="66C0A55A"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14:paraId="07946DE7"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14:paraId="6448E23A" w14:textId="77777777" w:rsidR="00FD4375" w:rsidRDefault="00126209" w:rsidP="00B71526">
      <w:pPr>
        <w:spacing w:before="120" w:after="120"/>
      </w:pPr>
      <w:r>
        <w:rPr>
          <w:lang w:val="en-GB"/>
        </w:rPr>
        <w:t>Intra</w:t>
      </w:r>
      <w:r w:rsidR="00BB7D4E">
        <w:t xml:space="preserve">-frequency measurement </w:t>
      </w:r>
      <w:r>
        <w:t xml:space="preserve">requirements are very essential </w:t>
      </w:r>
      <w:r w:rsidR="000B5D48">
        <w:t>for</w:t>
      </w:r>
      <w:r>
        <w:t xml:space="preserve"> overall NR system performance, and </w:t>
      </w:r>
      <w:r w:rsidR="008650F3">
        <w:t>have been discussed in several RAN4 meetings</w:t>
      </w:r>
      <w:r w:rsidR="0026143C">
        <w:t>.</w:t>
      </w:r>
      <w:r w:rsidR="008650F3">
        <w:t xml:space="preserve"> </w:t>
      </w:r>
      <w:r w:rsidR="00FD4375">
        <w:t xml:space="preserve">So far, RAN4 has agreed the structure such that we have </w:t>
      </w:r>
    </w:p>
    <w:p w14:paraId="5B1BA475" w14:textId="68C8C993" w:rsidR="00FD4375" w:rsidRDefault="00FD4375" w:rsidP="00FD4375">
      <w:pPr>
        <w:pStyle w:val="ListParagraph"/>
        <w:numPr>
          <w:ilvl w:val="0"/>
          <w:numId w:val="16"/>
        </w:numPr>
        <w:spacing w:before="120" w:after="120"/>
      </w:pPr>
      <w:r>
        <w:t>requirements for measurement</w:t>
      </w:r>
      <w:r w:rsidR="00786FEE">
        <w:t>s without gaps</w:t>
      </w:r>
      <w:r>
        <w:t xml:space="preserve">, and </w:t>
      </w:r>
    </w:p>
    <w:p w14:paraId="4E811117" w14:textId="79E9EBDC" w:rsidR="00FD4375" w:rsidRDefault="00FD4375" w:rsidP="00FD4375">
      <w:pPr>
        <w:pStyle w:val="ListParagraph"/>
        <w:numPr>
          <w:ilvl w:val="0"/>
          <w:numId w:val="16"/>
        </w:numPr>
        <w:spacing w:before="120" w:after="120"/>
      </w:pPr>
      <w:r>
        <w:t xml:space="preserve">gap </w:t>
      </w:r>
      <w:r w:rsidR="00C20C90">
        <w:t xml:space="preserve">assisted </w:t>
      </w:r>
      <w:r>
        <w:t>measurement</w:t>
      </w:r>
      <w:r w:rsidR="00786FEE">
        <w:t>s</w:t>
      </w:r>
      <w:r>
        <w:t xml:space="preserve">. </w:t>
      </w:r>
    </w:p>
    <w:p w14:paraId="48799179" w14:textId="1E0A4080" w:rsidR="0026143C" w:rsidRDefault="00FD4375" w:rsidP="00FD4375">
      <w:pPr>
        <w:spacing w:before="120" w:after="120"/>
      </w:pPr>
      <w:r>
        <w:t xml:space="preserve">Also, the requirements will include the delay for PSS/SSS detection, SBI acquisition and </w:t>
      </w:r>
      <w:r w:rsidR="00786FEE">
        <w:t xml:space="preserve">L1 </w:t>
      </w:r>
      <w:r>
        <w:t>measurement</w:t>
      </w:r>
      <w:r w:rsidR="00786FEE">
        <w:t xml:space="preserve"> period</w:t>
      </w:r>
      <w:r>
        <w:t xml:space="preserve">. The </w:t>
      </w:r>
      <w:r w:rsidR="00786FEE">
        <w:t xml:space="preserve">baseline </w:t>
      </w:r>
      <w:r>
        <w:t>numbers for the requirements in FR1 are also agreed.</w:t>
      </w:r>
    </w:p>
    <w:p w14:paraId="7ACE9AEE" w14:textId="77777777" w:rsidR="00FD4375" w:rsidRDefault="00FD4375" w:rsidP="00FD4375">
      <w:pPr>
        <w:pStyle w:val="ListParagraph"/>
        <w:numPr>
          <w:ilvl w:val="0"/>
          <w:numId w:val="16"/>
        </w:numPr>
        <w:spacing w:before="120" w:after="120"/>
      </w:pPr>
      <w:r>
        <w:t>For PSS/SSS detection</w:t>
      </w:r>
      <w:r>
        <w:tab/>
      </w:r>
    </w:p>
    <w:p w14:paraId="631AA3B4" w14:textId="77777777" w:rsidR="00FD4375" w:rsidRPr="00FD4375" w:rsidRDefault="00FD4375" w:rsidP="00FD4375">
      <w:pPr>
        <w:pStyle w:val="ListParagraph"/>
        <w:numPr>
          <w:ilvl w:val="1"/>
          <w:numId w:val="16"/>
        </w:numPr>
        <w:spacing w:before="120" w:after="120"/>
      </w:pPr>
      <w:r w:rsidRPr="00FD4375">
        <w:t>FR1 max(600ms,</w:t>
      </w:r>
      <w:r w:rsidR="00E13AB4">
        <w:t xml:space="preserve"> </w:t>
      </w:r>
      <w:r w:rsidRPr="00FD4375">
        <w:t>[5 or 6]</w:t>
      </w:r>
      <w:r w:rsidR="00E13AB4">
        <w:t xml:space="preserve"> </w:t>
      </w:r>
      <w:r w:rsidRPr="00FD4375">
        <w:t xml:space="preserve">x SMTC period) </w:t>
      </w:r>
    </w:p>
    <w:p w14:paraId="10072B5A" w14:textId="77777777" w:rsidR="00FD4375" w:rsidRDefault="00FD4375" w:rsidP="00FD4375">
      <w:pPr>
        <w:pStyle w:val="ListParagraph"/>
        <w:numPr>
          <w:ilvl w:val="1"/>
          <w:numId w:val="16"/>
        </w:numPr>
        <w:spacing w:before="120" w:after="120"/>
      </w:pPr>
      <w:r w:rsidRPr="00FD4375">
        <w:t>FR2 max([X1]ms,</w:t>
      </w:r>
      <w:r w:rsidR="00E13AB4">
        <w:t xml:space="preserve"> </w:t>
      </w:r>
      <w:r w:rsidRPr="00FD4375">
        <w:t>[5 or 6]</w:t>
      </w:r>
      <w:r w:rsidR="00E13AB4">
        <w:t xml:space="preserve"> </w:t>
      </w:r>
      <w:r w:rsidRPr="00FD4375">
        <w:t>x N1x SMTC period)</w:t>
      </w:r>
    </w:p>
    <w:p w14:paraId="7E16D1F1" w14:textId="77777777" w:rsidR="00FD4375" w:rsidRDefault="00FD4375" w:rsidP="00FD4375">
      <w:pPr>
        <w:pStyle w:val="ListParagraph"/>
        <w:numPr>
          <w:ilvl w:val="0"/>
          <w:numId w:val="16"/>
        </w:numPr>
        <w:spacing w:before="120" w:after="120"/>
      </w:pPr>
      <w:r>
        <w:t>For SBI acquisition</w:t>
      </w:r>
    </w:p>
    <w:p w14:paraId="4C80F7DF" w14:textId="77777777" w:rsidR="005A088A" w:rsidRPr="00FD4375" w:rsidRDefault="00D45A9D" w:rsidP="00FD4375">
      <w:pPr>
        <w:pStyle w:val="ListParagraph"/>
        <w:numPr>
          <w:ilvl w:val="1"/>
          <w:numId w:val="16"/>
        </w:numPr>
        <w:spacing w:before="120" w:after="120"/>
      </w:pPr>
      <w:r w:rsidRPr="00FD4375">
        <w:t xml:space="preserve">FR1 </w:t>
      </w:r>
      <w:r w:rsidRPr="00FD4375">
        <w:rPr>
          <w:lang w:val="en-GB"/>
        </w:rPr>
        <w:t>max(120, 3 x SMTC period)</w:t>
      </w:r>
    </w:p>
    <w:p w14:paraId="0AB20074" w14:textId="77777777" w:rsidR="00FD4375" w:rsidRPr="00FD4375" w:rsidRDefault="00FD4375" w:rsidP="00FD4375">
      <w:pPr>
        <w:pStyle w:val="ListParagraph"/>
        <w:numPr>
          <w:ilvl w:val="1"/>
          <w:numId w:val="16"/>
        </w:numPr>
        <w:spacing w:before="120" w:after="120"/>
      </w:pPr>
      <w:r w:rsidRPr="00FD4375">
        <w:rPr>
          <w:lang w:val="en-GB"/>
        </w:rPr>
        <w:t>FR2 max([X</w:t>
      </w:r>
      <w:r w:rsidRPr="00FD4375">
        <w:rPr>
          <w:vertAlign w:val="subscript"/>
          <w:lang w:val="en-GB"/>
        </w:rPr>
        <w:t>2</w:t>
      </w:r>
      <w:r w:rsidRPr="00FD4375">
        <w:rPr>
          <w:lang w:val="en-GB"/>
        </w:rPr>
        <w:t>], [5] x N</w:t>
      </w:r>
      <w:r w:rsidRPr="00FD4375">
        <w:rPr>
          <w:vertAlign w:val="subscript"/>
          <w:lang w:val="en-GB"/>
        </w:rPr>
        <w:t>2</w:t>
      </w:r>
      <w:r w:rsidRPr="00FD4375">
        <w:rPr>
          <w:lang w:val="en-GB"/>
        </w:rPr>
        <w:t xml:space="preserve"> x SMTC period)</w:t>
      </w:r>
    </w:p>
    <w:p w14:paraId="69C81ED5" w14:textId="77777777" w:rsidR="00FD4375" w:rsidRPr="00FD4375" w:rsidRDefault="00FD4375" w:rsidP="00FD4375">
      <w:pPr>
        <w:pStyle w:val="ListParagraph"/>
        <w:numPr>
          <w:ilvl w:val="0"/>
          <w:numId w:val="16"/>
        </w:numPr>
        <w:spacing w:before="120" w:after="120"/>
      </w:pPr>
      <w:r>
        <w:rPr>
          <w:lang w:val="en-GB"/>
        </w:rPr>
        <w:t>For measurement</w:t>
      </w:r>
      <w:r w:rsidR="00786FEE">
        <w:rPr>
          <w:lang w:val="en-GB"/>
        </w:rPr>
        <w:t>s</w:t>
      </w:r>
      <w:r>
        <w:rPr>
          <w:lang w:val="en-GB"/>
        </w:rPr>
        <w:t xml:space="preserve"> </w:t>
      </w:r>
    </w:p>
    <w:p w14:paraId="3D53B02A" w14:textId="77777777" w:rsidR="00FD4375" w:rsidRPr="00FD4375" w:rsidRDefault="00FD4375" w:rsidP="00FD4375">
      <w:pPr>
        <w:pStyle w:val="ListParagraph"/>
        <w:numPr>
          <w:ilvl w:val="1"/>
          <w:numId w:val="16"/>
        </w:numPr>
        <w:spacing w:before="120" w:after="120"/>
      </w:pPr>
      <w:r w:rsidRPr="00FD4375">
        <w:t>FR1 max(120, 3 x SMTC period)</w:t>
      </w:r>
    </w:p>
    <w:p w14:paraId="4E9A0C7B" w14:textId="77777777" w:rsidR="00FD4375" w:rsidRDefault="00FD4375" w:rsidP="00FD4375">
      <w:pPr>
        <w:pStyle w:val="ListParagraph"/>
        <w:numPr>
          <w:ilvl w:val="1"/>
          <w:numId w:val="16"/>
        </w:numPr>
        <w:spacing w:before="120" w:after="120"/>
      </w:pPr>
      <w:r w:rsidRPr="00FD4375">
        <w:t>FR2 max([X2], [5] x N2 x SMTC period)</w:t>
      </w:r>
    </w:p>
    <w:p w14:paraId="06DDA0A1" w14:textId="77777777" w:rsidR="00FD4375" w:rsidRDefault="00FD4375" w:rsidP="00FD4375">
      <w:pPr>
        <w:spacing w:before="120" w:after="120"/>
      </w:pPr>
      <w:r>
        <w:t>Besides,</w:t>
      </w:r>
      <w:r w:rsidR="00E13AB4">
        <w:t xml:space="preserve"> </w:t>
      </w:r>
      <w:r w:rsidR="004C2AAA">
        <w:t>RAN4 has agreed the scheduling availability for gapless measurement</w:t>
      </w:r>
      <w:r w:rsidR="00786FEE">
        <w:t>s</w:t>
      </w:r>
      <w:r w:rsidR="004C2AAA">
        <w:t xml:space="preserve"> in case of mixed numerology and FR2. </w:t>
      </w:r>
    </w:p>
    <w:p w14:paraId="7F680113" w14:textId="77777777" w:rsidR="004C2AAA" w:rsidRDefault="004C2AAA" w:rsidP="00FD4375">
      <w:pPr>
        <w:spacing w:before="120" w:after="120"/>
      </w:pPr>
      <w:r>
        <w:t>On the other hand, there are still many open issues</w:t>
      </w:r>
      <w:r w:rsidR="00786FEE">
        <w:t xml:space="preserve"> besides agreeing on the actual numbers above:</w:t>
      </w:r>
    </w:p>
    <w:p w14:paraId="53FE25C5" w14:textId="77777777" w:rsidR="004C2AAA" w:rsidRDefault="004C2AAA" w:rsidP="004C2AAA">
      <w:pPr>
        <w:pStyle w:val="ListParagraph"/>
        <w:numPr>
          <w:ilvl w:val="0"/>
          <w:numId w:val="18"/>
        </w:numPr>
        <w:spacing w:before="120" w:after="120"/>
      </w:pPr>
      <w:r>
        <w:t>Requirements when measurement gap (MG) is configured and overlapping with intra-frequency SMTC</w:t>
      </w:r>
    </w:p>
    <w:p w14:paraId="57FBD7BF" w14:textId="77777777" w:rsidR="004C2AAA" w:rsidRDefault="004C2AAA" w:rsidP="004C2AAA">
      <w:pPr>
        <w:pStyle w:val="ListParagraph"/>
        <w:numPr>
          <w:ilvl w:val="0"/>
          <w:numId w:val="18"/>
        </w:numPr>
        <w:spacing w:before="120" w:after="120"/>
      </w:pPr>
      <w:r>
        <w:t>MG sharing between intra- and inter-frequency measurements</w:t>
      </w:r>
    </w:p>
    <w:p w14:paraId="7390AAC7" w14:textId="77777777" w:rsidR="004C2AAA" w:rsidRDefault="004C2AAA" w:rsidP="004C2AAA">
      <w:pPr>
        <w:pStyle w:val="ListParagraph"/>
        <w:numPr>
          <w:ilvl w:val="0"/>
          <w:numId w:val="18"/>
        </w:numPr>
        <w:spacing w:before="120" w:after="120"/>
      </w:pPr>
      <w:r>
        <w:t>Requirements for multiple serving cells (CA)</w:t>
      </w:r>
    </w:p>
    <w:p w14:paraId="0FF47FD1" w14:textId="77777777" w:rsidR="004C2AAA" w:rsidRDefault="004C2AAA" w:rsidP="004C2AAA">
      <w:pPr>
        <w:pStyle w:val="ListParagraph"/>
        <w:numPr>
          <w:ilvl w:val="0"/>
          <w:numId w:val="18"/>
        </w:numPr>
        <w:spacing w:before="120" w:after="120"/>
      </w:pPr>
      <w:r>
        <w:t xml:space="preserve">Disabling </w:t>
      </w:r>
      <w:r w:rsidRPr="004C2AAA">
        <w:t>intra-frequency</w:t>
      </w:r>
      <w:r>
        <w:t xml:space="preserve"> for SCell (question from RAN2 in [1])</w:t>
      </w:r>
    </w:p>
    <w:p w14:paraId="31D84194" w14:textId="77777777" w:rsidR="004C2AAA" w:rsidRDefault="004C2AAA" w:rsidP="004C2AAA">
      <w:pPr>
        <w:pStyle w:val="ListParagraph"/>
        <w:numPr>
          <w:ilvl w:val="0"/>
          <w:numId w:val="18"/>
        </w:numPr>
        <w:spacing w:before="120" w:after="120"/>
      </w:pPr>
      <w:r>
        <w:t>Requirements for DRX</w:t>
      </w:r>
    </w:p>
    <w:p w14:paraId="72A44C01" w14:textId="7A868506" w:rsidR="00B71526" w:rsidRPr="00E92C17" w:rsidRDefault="004C2AAA" w:rsidP="00E92C17">
      <w:pPr>
        <w:spacing w:before="120" w:after="120"/>
      </w:pPr>
      <w:r>
        <w:t>Issue 1), 2)</w:t>
      </w:r>
      <w:r w:rsidR="00D14F6E">
        <w:t>,</w:t>
      </w:r>
      <w:r>
        <w:t xml:space="preserve"> </w:t>
      </w:r>
      <w:r w:rsidR="00EE5BD2">
        <w:t>3</w:t>
      </w:r>
      <w:r w:rsidR="00D14F6E">
        <w:t>)</w:t>
      </w:r>
      <w:r w:rsidR="00EE5BD2">
        <w:t xml:space="preserve">, </w:t>
      </w:r>
      <w:r w:rsidR="00B06153">
        <w:t xml:space="preserve">and </w:t>
      </w:r>
      <w:r w:rsidR="00EE5BD2">
        <w:t>4)</w:t>
      </w:r>
      <w:r w:rsidR="00D14F6E">
        <w:t xml:space="preserve"> </w:t>
      </w:r>
      <w:r>
        <w:t xml:space="preserve">are addressed separately in our companion papers. </w:t>
      </w:r>
      <w:r w:rsidR="00E92C17">
        <w:t xml:space="preserve">In this paper, we will provide our views on </w:t>
      </w:r>
      <w:r w:rsidR="00863688">
        <w:t xml:space="preserve">the </w:t>
      </w:r>
      <w:r w:rsidR="00EE5BD2">
        <w:t xml:space="preserve">DRX requirements </w:t>
      </w:r>
      <w:r w:rsidR="00863688">
        <w:t xml:space="preserve">for </w:t>
      </w:r>
      <w:r>
        <w:t>intra-frequency measurement</w:t>
      </w:r>
      <w:r w:rsidR="00E92C17">
        <w:t xml:space="preserve">. </w:t>
      </w:r>
      <w:r w:rsidR="0053548D">
        <w:t xml:space="preserve">As DRX requirements are defined for both intra- and </w:t>
      </w:r>
      <w:r w:rsidR="00786FEE">
        <w:t>i</w:t>
      </w:r>
      <w:r w:rsidR="0053548D">
        <w:t xml:space="preserve">nter-frequency measurements, the discussion is not limited to intra-frequency. </w:t>
      </w:r>
    </w:p>
    <w:p w14:paraId="2404C1BE" w14:textId="77777777" w:rsidR="0008612A" w:rsidRDefault="003B659E" w:rsidP="00660508">
      <w:pPr>
        <w:pStyle w:val="RAN4H1"/>
      </w:pPr>
      <w:r>
        <w:t>2</w:t>
      </w:r>
      <w:r w:rsidRPr="00841BCD">
        <w:tab/>
      </w:r>
      <w:r>
        <w:t>Discussion</w:t>
      </w:r>
    </w:p>
    <w:p w14:paraId="658967C5" w14:textId="5B2B1EB4" w:rsidR="00A147DB" w:rsidRDefault="00DE361B" w:rsidP="00A147DB">
      <w:pPr>
        <w:spacing w:before="120" w:after="120"/>
      </w:pPr>
      <w:r>
        <w:t xml:space="preserve">DRX requirements are introduced to allow UE power saving in </w:t>
      </w:r>
      <w:r w:rsidR="00726418">
        <w:t xml:space="preserve">connected mode. In order not to jeopardize the UE power saving </w:t>
      </w:r>
      <w:r w:rsidR="00E158E1">
        <w:t>opportunities</w:t>
      </w:r>
      <w:r w:rsidR="00726418">
        <w:t xml:space="preserve"> due to UE measurement requirements, the UE measurement requirements in LTE </w:t>
      </w:r>
      <w:r w:rsidR="00E158E1">
        <w:t>were adapted/aligned with the DRX</w:t>
      </w:r>
      <w:r>
        <w:t xml:space="preserve">. The basic principle in LTE DRX requirements is that </w:t>
      </w:r>
      <w:r w:rsidR="00E158E1">
        <w:t xml:space="preserve">the </w:t>
      </w:r>
      <w:r>
        <w:t xml:space="preserve">UE in DRX </w:t>
      </w:r>
      <w:r w:rsidR="00E158E1">
        <w:t>is relaxed and the UE not required to</w:t>
      </w:r>
      <w:r>
        <w:t xml:space="preserve"> perform cell search and measurement as frequently as in non-DRX, e.g. UE </w:t>
      </w:r>
      <w:r w:rsidR="00E158E1">
        <w:t xml:space="preserve">performance requirements are relaxed such that they can be fulfilled by a UE that perform </w:t>
      </w:r>
      <w:r>
        <w:t xml:space="preserve">RRM measurement </w:t>
      </w:r>
      <w:r w:rsidR="00E158E1">
        <w:t>once per</w:t>
      </w:r>
      <w:r>
        <w:t xml:space="preserve"> DRX cycle. The DRX requirements for connected mode intra-frequency </w:t>
      </w:r>
      <w:r w:rsidR="00E11C35">
        <w:t xml:space="preserve">are copied in </w:t>
      </w:r>
      <w:r w:rsidR="00E11C35">
        <w:fldChar w:fldCharType="begin"/>
      </w:r>
      <w:r w:rsidR="00E11C35">
        <w:instrText xml:space="preserve"> REF _Ref510696717 \h </w:instrText>
      </w:r>
      <w:r w:rsidR="00E11C35">
        <w:fldChar w:fldCharType="separate"/>
      </w:r>
      <w:r w:rsidR="00E11C35">
        <w:t xml:space="preserve">Table </w:t>
      </w:r>
      <w:r w:rsidR="00E11C35">
        <w:rPr>
          <w:noProof/>
        </w:rPr>
        <w:t>1</w:t>
      </w:r>
      <w:r w:rsidR="00E11C35">
        <w:fldChar w:fldCharType="end"/>
      </w:r>
      <w:r w:rsidR="00E11C35">
        <w:t xml:space="preserve"> as an example.</w:t>
      </w:r>
    </w:p>
    <w:p w14:paraId="635ED0EC" w14:textId="77777777" w:rsidR="00E11C35" w:rsidRDefault="00E11C35" w:rsidP="00E11C35">
      <w:pPr>
        <w:pStyle w:val="Caption"/>
        <w:keepNext/>
      </w:pPr>
      <w:bookmarkStart w:id="4" w:name="_Ref510696717"/>
      <w:r>
        <w:lastRenderedPageBreak/>
        <w:t xml:space="preserve">Table </w:t>
      </w:r>
      <w:fldSimple w:instr=" SEQ Table \* ARABIC ">
        <w:r>
          <w:rPr>
            <w:noProof/>
          </w:rPr>
          <w:t>1</w:t>
        </w:r>
      </w:fldSimple>
      <w:bookmarkEnd w:id="4"/>
      <w:r>
        <w:t>: Cell identification requirements with DRX in LTE (</w:t>
      </w:r>
      <w:r w:rsidRPr="00E11C35">
        <w:t>Table 8.1.2.2.1.2-1</w:t>
      </w:r>
      <w:r>
        <w:t xml:space="preserve"> in 36.133)</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1"/>
        <w:gridCol w:w="1774"/>
      </w:tblGrid>
      <w:tr w:rsidR="00E11C35" w:rsidRPr="00CC4AE5" w14:paraId="27CFB146" w14:textId="77777777" w:rsidTr="00E11C35">
        <w:trPr>
          <w:cantSplit/>
          <w:jc w:val="center"/>
        </w:trPr>
        <w:tc>
          <w:tcPr>
            <w:tcW w:w="2125" w:type="pct"/>
          </w:tcPr>
          <w:p w14:paraId="4781DE34" w14:textId="77777777" w:rsidR="00E11C35" w:rsidRPr="00CC4AE5" w:rsidRDefault="00E11C35" w:rsidP="00F43573">
            <w:pPr>
              <w:pStyle w:val="TAH"/>
              <w:rPr>
                <w:rFonts w:cs="Arial"/>
                <w:lang w:eastAsia="en-US"/>
              </w:rPr>
            </w:pPr>
            <w:r w:rsidRPr="00CC4AE5">
              <w:rPr>
                <w:rFonts w:cs="Arial"/>
                <w:lang w:eastAsia="en-US"/>
              </w:rPr>
              <w:t>DRX cycle length (s)</w:t>
            </w:r>
          </w:p>
        </w:tc>
        <w:tc>
          <w:tcPr>
            <w:tcW w:w="2875" w:type="pct"/>
          </w:tcPr>
          <w:p w14:paraId="5C363D04" w14:textId="77777777" w:rsidR="00E11C35" w:rsidRPr="00CC4AE5" w:rsidRDefault="00E11C35" w:rsidP="00F43573">
            <w:pPr>
              <w:pStyle w:val="TAH"/>
              <w:rPr>
                <w:rFonts w:cs="Arial"/>
                <w:lang w:eastAsia="en-US"/>
              </w:rPr>
            </w:pPr>
            <w:r w:rsidRPr="00CC4AE5">
              <w:rPr>
                <w:rFonts w:cs="Arial"/>
                <w:lang w:eastAsia="en-US"/>
              </w:rPr>
              <w:t>T</w:t>
            </w:r>
            <w:r w:rsidRPr="00CC4AE5">
              <w:rPr>
                <w:rFonts w:cs="Arial"/>
                <w:vertAlign w:val="subscript"/>
                <w:lang w:eastAsia="en-US"/>
              </w:rPr>
              <w:t xml:space="preserve">identify_intra </w:t>
            </w:r>
            <w:r w:rsidRPr="00CC4AE5">
              <w:rPr>
                <w:rFonts w:cs="Arial"/>
                <w:lang w:eastAsia="en-US"/>
              </w:rPr>
              <w:t>(s) (DRX cycles)</w:t>
            </w:r>
          </w:p>
        </w:tc>
      </w:tr>
      <w:tr w:rsidR="00E11C35" w:rsidRPr="00CC4AE5" w14:paraId="409E99D7" w14:textId="77777777" w:rsidTr="00E11C35">
        <w:trPr>
          <w:cantSplit/>
          <w:jc w:val="center"/>
        </w:trPr>
        <w:tc>
          <w:tcPr>
            <w:tcW w:w="2125" w:type="pct"/>
          </w:tcPr>
          <w:p w14:paraId="65D096B4" w14:textId="77777777" w:rsidR="00E11C35" w:rsidRPr="00CC4AE5" w:rsidRDefault="00E11C35" w:rsidP="00F43573">
            <w:pPr>
              <w:pStyle w:val="TAC"/>
              <w:rPr>
                <w:rFonts w:cs="Arial"/>
                <w:lang w:eastAsia="en-US"/>
              </w:rPr>
            </w:pPr>
            <w:r w:rsidRPr="00CC4AE5">
              <w:rPr>
                <w:rFonts w:cs="Arial"/>
                <w:lang w:eastAsia="en-US"/>
              </w:rPr>
              <w:t>≤0.04</w:t>
            </w:r>
          </w:p>
        </w:tc>
        <w:tc>
          <w:tcPr>
            <w:tcW w:w="2875" w:type="pct"/>
          </w:tcPr>
          <w:p w14:paraId="0E327426" w14:textId="77777777" w:rsidR="00E11C35" w:rsidRPr="00CC4AE5" w:rsidRDefault="00E11C35" w:rsidP="00F43573">
            <w:pPr>
              <w:pStyle w:val="TAC"/>
              <w:rPr>
                <w:rFonts w:cs="Arial"/>
                <w:lang w:eastAsia="en-US"/>
              </w:rPr>
            </w:pPr>
            <w:r w:rsidRPr="00CC4AE5">
              <w:rPr>
                <w:rFonts w:cs="Arial"/>
                <w:lang w:eastAsia="en-US"/>
              </w:rPr>
              <w:t>0.8 (Note1)</w:t>
            </w:r>
          </w:p>
        </w:tc>
      </w:tr>
      <w:tr w:rsidR="00E11C35" w:rsidRPr="00CC4AE5" w14:paraId="53BF66D1" w14:textId="77777777" w:rsidTr="00E11C35">
        <w:trPr>
          <w:cantSplit/>
          <w:jc w:val="center"/>
        </w:trPr>
        <w:tc>
          <w:tcPr>
            <w:tcW w:w="2125" w:type="pct"/>
          </w:tcPr>
          <w:p w14:paraId="1F80A440" w14:textId="77777777" w:rsidR="00E11C35" w:rsidRPr="00CC4AE5" w:rsidRDefault="00E11C35" w:rsidP="00F43573">
            <w:pPr>
              <w:pStyle w:val="TAC"/>
              <w:rPr>
                <w:rFonts w:cs="Arial"/>
                <w:snapToGrid w:val="0"/>
                <w:lang w:eastAsia="en-US"/>
              </w:rPr>
            </w:pPr>
            <w:r w:rsidRPr="00CC4AE5">
              <w:rPr>
                <w:rFonts w:cs="Arial"/>
                <w:lang w:eastAsia="en-US"/>
              </w:rPr>
              <w:t>0.04&lt;DRX-cycle≤0.08</w:t>
            </w:r>
          </w:p>
        </w:tc>
        <w:tc>
          <w:tcPr>
            <w:tcW w:w="2875" w:type="pct"/>
          </w:tcPr>
          <w:p w14:paraId="2529E83E" w14:textId="77777777" w:rsidR="00E11C35" w:rsidRPr="00CC4AE5" w:rsidRDefault="00E11C35" w:rsidP="00F43573">
            <w:pPr>
              <w:pStyle w:val="TAC"/>
              <w:rPr>
                <w:rFonts w:cs="Arial"/>
                <w:snapToGrid w:val="0"/>
                <w:lang w:eastAsia="en-US"/>
              </w:rPr>
            </w:pPr>
            <w:r w:rsidRPr="00CC4AE5">
              <w:rPr>
                <w:rFonts w:cs="Arial"/>
                <w:lang w:eastAsia="en-US"/>
              </w:rPr>
              <w:t>Note2 (40)</w:t>
            </w:r>
          </w:p>
        </w:tc>
      </w:tr>
      <w:tr w:rsidR="00E11C35" w:rsidRPr="00CC4AE5" w14:paraId="3E2AD27D" w14:textId="77777777" w:rsidTr="00E11C35">
        <w:trPr>
          <w:cantSplit/>
          <w:jc w:val="center"/>
        </w:trPr>
        <w:tc>
          <w:tcPr>
            <w:tcW w:w="2125" w:type="pct"/>
          </w:tcPr>
          <w:p w14:paraId="70D84706" w14:textId="77777777" w:rsidR="00E11C35" w:rsidRPr="00CC4AE5" w:rsidRDefault="00E11C35" w:rsidP="00F43573">
            <w:pPr>
              <w:pStyle w:val="TAC"/>
              <w:rPr>
                <w:rFonts w:cs="Arial"/>
                <w:lang w:eastAsia="en-US"/>
              </w:rPr>
            </w:pPr>
            <w:r w:rsidRPr="00CC4AE5">
              <w:rPr>
                <w:rFonts w:cs="Arial"/>
                <w:lang w:eastAsia="en-US"/>
              </w:rPr>
              <w:t>0.128</w:t>
            </w:r>
          </w:p>
        </w:tc>
        <w:tc>
          <w:tcPr>
            <w:tcW w:w="2875" w:type="pct"/>
          </w:tcPr>
          <w:p w14:paraId="3429AEFC" w14:textId="77777777" w:rsidR="00E11C35" w:rsidRPr="00CC4AE5" w:rsidRDefault="00E11C35" w:rsidP="00F43573">
            <w:pPr>
              <w:pStyle w:val="TAC"/>
              <w:rPr>
                <w:rFonts w:cs="Arial"/>
                <w:lang w:eastAsia="en-US"/>
              </w:rPr>
            </w:pPr>
            <w:r w:rsidRPr="00CC4AE5">
              <w:rPr>
                <w:rFonts w:cs="Arial"/>
                <w:lang w:eastAsia="en-US"/>
              </w:rPr>
              <w:t>3.2 (25)</w:t>
            </w:r>
          </w:p>
        </w:tc>
      </w:tr>
      <w:tr w:rsidR="00E11C35" w:rsidRPr="00CC4AE5" w14:paraId="392DF21A" w14:textId="77777777" w:rsidTr="00E11C35">
        <w:trPr>
          <w:cantSplit/>
          <w:jc w:val="center"/>
        </w:trPr>
        <w:tc>
          <w:tcPr>
            <w:tcW w:w="2125" w:type="pct"/>
          </w:tcPr>
          <w:p w14:paraId="0BD9D031" w14:textId="77777777" w:rsidR="00E11C35" w:rsidRPr="00CC4AE5" w:rsidRDefault="00E11C35" w:rsidP="00F43573">
            <w:pPr>
              <w:pStyle w:val="TAC"/>
              <w:rPr>
                <w:rFonts w:cs="Arial"/>
                <w:snapToGrid w:val="0"/>
                <w:lang w:eastAsia="en-US"/>
              </w:rPr>
            </w:pPr>
            <w:r w:rsidRPr="00CC4AE5">
              <w:rPr>
                <w:rFonts w:cs="Arial"/>
                <w:lang w:eastAsia="en-US"/>
              </w:rPr>
              <w:t>0.128&lt;DRX-cycle≤2.56</w:t>
            </w:r>
          </w:p>
        </w:tc>
        <w:tc>
          <w:tcPr>
            <w:tcW w:w="2875" w:type="pct"/>
          </w:tcPr>
          <w:p w14:paraId="3E14A5EB" w14:textId="77777777" w:rsidR="00E11C35" w:rsidRPr="00CC4AE5" w:rsidRDefault="00E11C35" w:rsidP="00F43573">
            <w:pPr>
              <w:pStyle w:val="TAC"/>
              <w:rPr>
                <w:rFonts w:cs="Arial"/>
                <w:snapToGrid w:val="0"/>
                <w:lang w:eastAsia="en-US"/>
              </w:rPr>
            </w:pPr>
            <w:r w:rsidRPr="00CC4AE5">
              <w:rPr>
                <w:rFonts w:cs="Arial"/>
                <w:lang w:eastAsia="en-US"/>
              </w:rPr>
              <w:t>Note2(20)</w:t>
            </w:r>
          </w:p>
        </w:tc>
      </w:tr>
      <w:tr w:rsidR="00E11C35" w:rsidRPr="00CC4AE5" w14:paraId="7B381B0F" w14:textId="77777777" w:rsidTr="00F43573">
        <w:trPr>
          <w:cantSplit/>
          <w:jc w:val="center"/>
        </w:trPr>
        <w:tc>
          <w:tcPr>
            <w:tcW w:w="5000" w:type="pct"/>
            <w:gridSpan w:val="2"/>
          </w:tcPr>
          <w:p w14:paraId="32AD9F18" w14:textId="77777777" w:rsidR="00E11C35" w:rsidRPr="00CC4AE5" w:rsidRDefault="00E11C35" w:rsidP="00F43573">
            <w:pPr>
              <w:pStyle w:val="TAN"/>
              <w:rPr>
                <w:lang w:eastAsia="en-US"/>
              </w:rPr>
            </w:pPr>
            <w:r w:rsidRPr="00CC4AE5">
              <w:rPr>
                <w:lang w:eastAsia="en-US"/>
              </w:rPr>
              <w:t>Note1:</w:t>
            </w:r>
            <w:r w:rsidRPr="00CC4AE5">
              <w:rPr>
                <w:lang w:eastAsia="ja-JP"/>
              </w:rPr>
              <w:tab/>
            </w:r>
            <w:r w:rsidRPr="00CC4AE5">
              <w:rPr>
                <w:lang w:eastAsia="en-US"/>
              </w:rPr>
              <w:t>Number of DRX cycle depends upon the DRX cycle in use.</w:t>
            </w:r>
          </w:p>
          <w:p w14:paraId="49BD38C8" w14:textId="77777777" w:rsidR="00E11C35" w:rsidRPr="00CC4AE5" w:rsidRDefault="00E11C35" w:rsidP="00F43573">
            <w:pPr>
              <w:pStyle w:val="TAN"/>
              <w:rPr>
                <w:lang w:eastAsia="en-US"/>
              </w:rPr>
            </w:pPr>
            <w:r w:rsidRPr="00CC4AE5">
              <w:rPr>
                <w:lang w:eastAsia="en-US"/>
              </w:rPr>
              <w:t>Note2:</w:t>
            </w:r>
            <w:r w:rsidRPr="00CC4AE5">
              <w:rPr>
                <w:lang w:eastAsia="ja-JP"/>
              </w:rPr>
              <w:tab/>
            </w:r>
            <w:r w:rsidRPr="00CC4AE5">
              <w:rPr>
                <w:lang w:eastAsia="en-US"/>
              </w:rPr>
              <w:t>Time depends upon the DRX cycle in use.</w:t>
            </w:r>
          </w:p>
        </w:tc>
      </w:tr>
    </w:tbl>
    <w:p w14:paraId="141E6DDD" w14:textId="2045D448" w:rsidR="00E158E1" w:rsidRDefault="00E11C35" w:rsidP="00A147DB">
      <w:pPr>
        <w:spacing w:before="120" w:after="120"/>
      </w:pPr>
      <w:r>
        <w:t xml:space="preserve">In NR the same </w:t>
      </w:r>
      <w:r w:rsidR="00E158E1">
        <w:t xml:space="preserve">DRX </w:t>
      </w:r>
      <w:r>
        <w:t xml:space="preserve">principles </w:t>
      </w:r>
      <w:r w:rsidR="00E158E1">
        <w:t xml:space="preserve">are used in MAC and therefore it is expected that also similar principles as the UE requirements in DRX in LTE </w:t>
      </w:r>
      <w:r>
        <w:t xml:space="preserve">are re-used for </w:t>
      </w:r>
      <w:r w:rsidR="00E158E1">
        <w:t xml:space="preserve">NR </w:t>
      </w:r>
      <w:r>
        <w:t xml:space="preserve">DRX requirements. </w:t>
      </w:r>
      <w:r w:rsidR="00E032E5">
        <w:t xml:space="preserve">One difference compared to LTE is that the non-DRX requirements are not fixed time delays but dependent on SMTC period. </w:t>
      </w:r>
    </w:p>
    <w:p w14:paraId="3272F673" w14:textId="6E697E64" w:rsidR="00E11C35" w:rsidRDefault="00E11C35" w:rsidP="00A147DB">
      <w:pPr>
        <w:spacing w:before="120" w:after="120"/>
      </w:pPr>
      <w:r>
        <w:t xml:space="preserve">The current cell identification requirements are copied in </w:t>
      </w:r>
      <w:r>
        <w:fldChar w:fldCharType="begin"/>
      </w:r>
      <w:r>
        <w:instrText xml:space="preserve"> REF _Ref510696884 \h </w:instrText>
      </w:r>
      <w:r>
        <w:fldChar w:fldCharType="separate"/>
      </w:r>
      <w:r>
        <w:t xml:space="preserve">Table </w:t>
      </w:r>
      <w:r>
        <w:rPr>
          <w:noProof/>
        </w:rPr>
        <w:t>2</w:t>
      </w:r>
      <w:r>
        <w:fldChar w:fldCharType="end"/>
      </w:r>
      <w:r>
        <w:t xml:space="preserve"> as an example. </w:t>
      </w:r>
    </w:p>
    <w:p w14:paraId="7F65781C" w14:textId="77777777" w:rsidR="00E11C35" w:rsidRDefault="00E11C35" w:rsidP="00E11C35">
      <w:pPr>
        <w:pStyle w:val="Caption"/>
        <w:keepNext/>
      </w:pPr>
      <w:bookmarkStart w:id="5" w:name="_Ref510696884"/>
      <w:r>
        <w:t xml:space="preserve">Table </w:t>
      </w:r>
      <w:fldSimple w:instr=" SEQ Table \* ARABIC ">
        <w:r>
          <w:rPr>
            <w:noProof/>
          </w:rPr>
          <w:t>2</w:t>
        </w:r>
      </w:fldSimple>
      <w:bookmarkEnd w:id="5"/>
      <w:r>
        <w:t>: Current c</w:t>
      </w:r>
      <w:r w:rsidRPr="00E11C35">
        <w:t xml:space="preserve">ell identification requirements with DRX in </w:t>
      </w:r>
      <w:r>
        <w:t>NR (</w:t>
      </w:r>
      <w:r w:rsidRPr="00E11C35">
        <w:t>Table 9.2.5.1-1</w:t>
      </w:r>
      <w:r>
        <w:t xml:space="preserve"> in 38.133)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11C35" w:rsidRPr="00F5683C" w14:paraId="0E9E79AC" w14:textId="77777777" w:rsidTr="00F43573">
        <w:tc>
          <w:tcPr>
            <w:tcW w:w="4620" w:type="dxa"/>
            <w:shd w:val="clear" w:color="auto" w:fill="auto"/>
          </w:tcPr>
          <w:p w14:paraId="72BDBE4F"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DRX cycle</w:t>
            </w:r>
          </w:p>
        </w:tc>
        <w:tc>
          <w:tcPr>
            <w:tcW w:w="4621" w:type="dxa"/>
            <w:shd w:val="clear" w:color="auto" w:fill="auto"/>
          </w:tcPr>
          <w:p w14:paraId="743ACB84"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T</w:t>
            </w:r>
            <w:r w:rsidRPr="00F5683C">
              <w:rPr>
                <w:rFonts w:ascii="Arial" w:hAnsi="Arial"/>
                <w:b/>
                <w:sz w:val="18"/>
                <w:vertAlign w:val="subscript"/>
              </w:rPr>
              <w:t>PSS/SSS_sync</w:t>
            </w:r>
          </w:p>
        </w:tc>
      </w:tr>
      <w:tr w:rsidR="00E11C35" w:rsidRPr="00F5683C" w14:paraId="5B7324EC" w14:textId="77777777" w:rsidTr="00F43573">
        <w:tc>
          <w:tcPr>
            <w:tcW w:w="4620" w:type="dxa"/>
            <w:shd w:val="clear" w:color="auto" w:fill="auto"/>
          </w:tcPr>
          <w:p w14:paraId="70AE728E" w14:textId="77777777" w:rsidR="00E11C35" w:rsidRPr="00F5683C" w:rsidRDefault="00E11C35" w:rsidP="00F43573">
            <w:pPr>
              <w:keepNext/>
              <w:keepLines/>
              <w:spacing w:after="0"/>
              <w:jc w:val="center"/>
              <w:rPr>
                <w:rFonts w:ascii="Arial" w:hAnsi="Arial"/>
                <w:sz w:val="18"/>
              </w:rPr>
            </w:pPr>
            <w:r w:rsidRPr="00F5683C">
              <w:rPr>
                <w:rFonts w:ascii="Arial" w:hAnsi="Arial"/>
                <w:sz w:val="18"/>
              </w:rPr>
              <w:t>No DRX, or DRX cycle &lt; SMTC periodicity</w:t>
            </w:r>
          </w:p>
        </w:tc>
        <w:tc>
          <w:tcPr>
            <w:tcW w:w="4621" w:type="dxa"/>
            <w:shd w:val="clear" w:color="auto" w:fill="auto"/>
          </w:tcPr>
          <w:p w14:paraId="6F6D9ED4" w14:textId="77777777" w:rsidR="00E11C35" w:rsidRPr="00F5683C" w:rsidRDefault="00E11C35" w:rsidP="00F43573">
            <w:pPr>
              <w:keepNext/>
              <w:keepLines/>
              <w:spacing w:after="0"/>
              <w:jc w:val="center"/>
              <w:rPr>
                <w:rFonts w:ascii="Arial" w:hAnsi="Arial"/>
                <w:sz w:val="18"/>
              </w:rPr>
            </w:pPr>
            <w:r w:rsidRPr="00F5683C">
              <w:rPr>
                <w:rFonts w:ascii="Arial" w:hAnsi="Arial"/>
                <w:sz w:val="18"/>
              </w:rPr>
              <w:t xml:space="preserve">max(600ms,[5 or 6]x SMTC period) </w:t>
            </w:r>
            <w:r w:rsidRPr="00F5683C">
              <w:rPr>
                <w:rFonts w:ascii="Arial" w:hAnsi="Arial"/>
                <w:sz w:val="18"/>
                <w:vertAlign w:val="superscript"/>
              </w:rPr>
              <w:t>Note 1</w:t>
            </w:r>
          </w:p>
        </w:tc>
      </w:tr>
      <w:tr w:rsidR="00E11C35" w:rsidRPr="00F5683C" w14:paraId="3194ECB4" w14:textId="77777777" w:rsidTr="00F43573">
        <w:tc>
          <w:tcPr>
            <w:tcW w:w="4620" w:type="dxa"/>
            <w:shd w:val="clear" w:color="auto" w:fill="auto"/>
          </w:tcPr>
          <w:p w14:paraId="6B5C5FF4" w14:textId="77777777" w:rsidR="00E11C35" w:rsidRPr="00F5683C" w:rsidRDefault="00E11C35" w:rsidP="00F43573">
            <w:pPr>
              <w:keepNext/>
              <w:keepLines/>
              <w:spacing w:after="0"/>
              <w:jc w:val="center"/>
              <w:rPr>
                <w:rFonts w:ascii="Arial" w:hAnsi="Arial"/>
                <w:sz w:val="18"/>
              </w:rPr>
            </w:pPr>
            <w:r w:rsidRPr="00F5683C">
              <w:rPr>
                <w:rFonts w:ascii="Arial" w:hAnsi="Arial"/>
                <w:sz w:val="18"/>
              </w:rPr>
              <w:t>DRX1 &lt; DRX cycle≤ DRX2</w:t>
            </w:r>
          </w:p>
        </w:tc>
        <w:tc>
          <w:tcPr>
            <w:tcW w:w="4621" w:type="dxa"/>
            <w:shd w:val="clear" w:color="auto" w:fill="auto"/>
          </w:tcPr>
          <w:p w14:paraId="51D9F4E6" w14:textId="77777777" w:rsidR="00E11C35" w:rsidRPr="00F5683C" w:rsidRDefault="00E11C35" w:rsidP="00F43573">
            <w:pPr>
              <w:keepNext/>
              <w:keepLines/>
              <w:spacing w:after="0"/>
              <w:jc w:val="center"/>
              <w:rPr>
                <w:rFonts w:ascii="Arial" w:hAnsi="Arial"/>
                <w:b/>
                <w:sz w:val="18"/>
              </w:rPr>
            </w:pPr>
            <w:r w:rsidRPr="00F5683C">
              <w:rPr>
                <w:rFonts w:ascii="Arial" w:hAnsi="Arial"/>
                <w:sz w:val="18"/>
              </w:rPr>
              <w:t>TBD</w:t>
            </w:r>
          </w:p>
        </w:tc>
      </w:tr>
      <w:tr w:rsidR="00E11C35" w:rsidRPr="00F5683C" w14:paraId="2D77970E" w14:textId="77777777" w:rsidTr="00F43573">
        <w:tc>
          <w:tcPr>
            <w:tcW w:w="4620" w:type="dxa"/>
            <w:shd w:val="clear" w:color="auto" w:fill="auto"/>
          </w:tcPr>
          <w:p w14:paraId="3949845E"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w:t>
            </w:r>
          </w:p>
        </w:tc>
        <w:tc>
          <w:tcPr>
            <w:tcW w:w="4621" w:type="dxa"/>
            <w:shd w:val="clear" w:color="auto" w:fill="auto"/>
          </w:tcPr>
          <w:p w14:paraId="5467CEDB"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w:t>
            </w:r>
          </w:p>
        </w:tc>
      </w:tr>
      <w:tr w:rsidR="00E11C35" w:rsidRPr="00F5683C" w14:paraId="3ED2FD31" w14:textId="77777777" w:rsidTr="00F43573">
        <w:tc>
          <w:tcPr>
            <w:tcW w:w="4620" w:type="dxa"/>
            <w:shd w:val="clear" w:color="auto" w:fill="auto"/>
          </w:tcPr>
          <w:p w14:paraId="5FEAB25A"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w:t>
            </w:r>
          </w:p>
        </w:tc>
        <w:tc>
          <w:tcPr>
            <w:tcW w:w="4621" w:type="dxa"/>
            <w:shd w:val="clear" w:color="auto" w:fill="auto"/>
          </w:tcPr>
          <w:p w14:paraId="49C8FE5C" w14:textId="77777777" w:rsidR="00E11C35" w:rsidRPr="00F5683C" w:rsidRDefault="00E11C35" w:rsidP="00F43573">
            <w:pPr>
              <w:keepNext/>
              <w:keepLines/>
              <w:spacing w:after="0"/>
              <w:jc w:val="center"/>
              <w:rPr>
                <w:rFonts w:ascii="Arial" w:hAnsi="Arial"/>
                <w:b/>
                <w:sz w:val="18"/>
              </w:rPr>
            </w:pPr>
            <w:r w:rsidRPr="00F5683C">
              <w:rPr>
                <w:rFonts w:ascii="Arial" w:hAnsi="Arial"/>
                <w:b/>
                <w:sz w:val="18"/>
              </w:rPr>
              <w:t>…</w:t>
            </w:r>
          </w:p>
        </w:tc>
      </w:tr>
      <w:tr w:rsidR="00E11C35" w:rsidRPr="00F5683C" w14:paraId="4CCB3065" w14:textId="77777777" w:rsidTr="00F43573">
        <w:tc>
          <w:tcPr>
            <w:tcW w:w="9241" w:type="dxa"/>
            <w:gridSpan w:val="2"/>
            <w:shd w:val="clear" w:color="auto" w:fill="auto"/>
          </w:tcPr>
          <w:p w14:paraId="3F481E9D" w14:textId="77777777" w:rsidR="00E11C35" w:rsidRPr="00F5683C" w:rsidRDefault="00E11C35" w:rsidP="00F43573">
            <w:pPr>
              <w:keepNext/>
              <w:keepLines/>
              <w:spacing w:after="0"/>
              <w:ind w:left="851" w:hanging="851"/>
              <w:rPr>
                <w:rFonts w:ascii="Arial" w:hAnsi="Arial"/>
                <w:sz w:val="18"/>
              </w:rPr>
            </w:pPr>
            <w:r w:rsidRPr="00F5683C">
              <w:rPr>
                <w:rFonts w:ascii="Arial" w:hAnsi="Arial"/>
                <w:sz w:val="18"/>
              </w:rPr>
              <w:t>Note 1:</w:t>
            </w:r>
            <w:r w:rsidRPr="00F5683C">
              <w:rPr>
                <w:rFonts w:ascii="Arial" w:hAnsi="Arial"/>
                <w:sz w:val="18"/>
              </w:rPr>
              <w:tab/>
              <w:t>If different SMTC periodicities are configured for different cells, the SMTC period in the requirement is the one used by the cell being identified</w:t>
            </w:r>
          </w:p>
        </w:tc>
      </w:tr>
    </w:tbl>
    <w:p w14:paraId="2A0C77D9" w14:textId="77777777" w:rsidR="009825E0" w:rsidRDefault="00E032E5" w:rsidP="00E032E5">
      <w:pPr>
        <w:spacing w:before="120" w:after="120"/>
      </w:pPr>
      <w:r>
        <w:t xml:space="preserve">It can be seen that in current specification, DRX requirements are classified into two cases: when DRX cycle is less than SMTC period and non-DRX requirements apply, or when DRX cycle is equal to or greater than SMTC period and the requirements are TBD. In our view, such differentiation is not a good approach. </w:t>
      </w:r>
    </w:p>
    <w:p w14:paraId="3B5E7B8D" w14:textId="77777777" w:rsidR="009825E0" w:rsidRDefault="00E032E5" w:rsidP="009825E0">
      <w:pPr>
        <w:pStyle w:val="ListParagraph"/>
        <w:numPr>
          <w:ilvl w:val="0"/>
          <w:numId w:val="16"/>
        </w:numPr>
        <w:spacing w:before="120" w:after="120"/>
      </w:pPr>
      <w:r>
        <w:t>If same number of samples is used for DRX and non-DRX requirements, the dependency can be simplified by using “max(SMTC period, DRX cycle)”</w:t>
      </w:r>
      <w:r w:rsidR="009825E0">
        <w:t xml:space="preserve"> as the base for the scaling; </w:t>
      </w:r>
    </w:p>
    <w:p w14:paraId="32B6A125" w14:textId="77777777" w:rsidR="00E11C35" w:rsidRDefault="009825E0" w:rsidP="009825E0">
      <w:pPr>
        <w:pStyle w:val="ListParagraph"/>
        <w:numPr>
          <w:ilvl w:val="0"/>
          <w:numId w:val="16"/>
        </w:numPr>
        <w:spacing w:before="120" w:after="120"/>
      </w:pPr>
      <w:r>
        <w:t>If different number of samples is used for DRX than for non-DRX requirements, it means the requirement with same DRX cycle</w:t>
      </w:r>
      <w:r w:rsidR="00E032E5">
        <w:t xml:space="preserve"> </w:t>
      </w:r>
      <w:r>
        <w:t>may be different depending the relationship with SMTC period, and this complexity needs to be taken by both UE and the network.</w:t>
      </w:r>
    </w:p>
    <w:p w14:paraId="2350E8E0" w14:textId="77777777" w:rsidR="009825E0" w:rsidRDefault="009825E0" w:rsidP="009825E0">
      <w:pPr>
        <w:spacing w:before="120" w:after="120"/>
      </w:pPr>
      <w:r>
        <w:t xml:space="preserve">Therefore, we suggest to not </w:t>
      </w:r>
      <w:r w:rsidRPr="009825E0">
        <w:t>consider the comparison between DRX cycle and SMTC period in defining DRX requirements</w:t>
      </w:r>
      <w:r>
        <w:t>.</w:t>
      </w:r>
    </w:p>
    <w:p w14:paraId="7202AA72" w14:textId="77777777" w:rsidR="0053548D" w:rsidRDefault="0053548D" w:rsidP="009825E0">
      <w:pPr>
        <w:pStyle w:val="RAN4proposal"/>
      </w:pPr>
      <w:bookmarkStart w:id="6" w:name="_Ref510701416"/>
      <w:r>
        <w:t>Do not</w:t>
      </w:r>
      <w:r w:rsidR="00DE361B">
        <w:t xml:space="preserve"> </w:t>
      </w:r>
      <w:r w:rsidR="009825E0">
        <w:t>consider the comparison between</w:t>
      </w:r>
      <w:r w:rsidR="00DE361B">
        <w:t xml:space="preserve"> </w:t>
      </w:r>
      <w:r w:rsidR="00E032E5">
        <w:t xml:space="preserve">DRX cycle </w:t>
      </w:r>
      <w:r w:rsidR="009825E0">
        <w:t>and</w:t>
      </w:r>
      <w:r w:rsidR="00E032E5">
        <w:t xml:space="preserve"> SMTC period </w:t>
      </w:r>
      <w:r>
        <w:t xml:space="preserve">in </w:t>
      </w:r>
      <w:r w:rsidR="009825E0">
        <w:t xml:space="preserve">defining DRX </w:t>
      </w:r>
      <w:r>
        <w:t>requirements.</w:t>
      </w:r>
      <w:bookmarkEnd w:id="6"/>
    </w:p>
    <w:p w14:paraId="6B51C5C8" w14:textId="77777777" w:rsidR="009825E0" w:rsidRDefault="009825E0" w:rsidP="00A147DB">
      <w:pPr>
        <w:spacing w:before="120" w:after="120"/>
      </w:pPr>
      <w:r>
        <w:t xml:space="preserve">Another open issue in defining DRX requirements is whether the same number of samples should be used for all DRX cycles. As shown in </w:t>
      </w:r>
      <w:r w:rsidRPr="009825E0">
        <w:t>Table 1</w:t>
      </w:r>
      <w:r>
        <w:t xml:space="preserve">, in LTE DRX requirements different numbers of DRX cycles are used, in particular, for “medium” DRX cycles (from 40ms to 1280ms) more DRX cycles are allowed compared to non-DRX or large DRX cycles. The consideration was to allow more power saving for medium DRX cycles by defining the requirements in the similar level as large DRX cycles. </w:t>
      </w:r>
    </w:p>
    <w:p w14:paraId="3B1D78ED" w14:textId="77777777" w:rsidR="009825E0" w:rsidRDefault="009825E0" w:rsidP="00A147DB">
      <w:pPr>
        <w:spacing w:before="120" w:after="120"/>
      </w:pPr>
      <w:r>
        <w:t xml:space="preserve">Some companies proposed to re-use the same principle in NR, e.g. in [2]. In our view, this </w:t>
      </w:r>
      <w:r w:rsidR="00866B06">
        <w:t>is not a good approach. If the measurement performance with medium DRX cycle is relaxed to the same level as for large DRX cycle, network may have to choose to use small DRX cycle or even non-DRX if the mobility performance is a concern, e.g. as in high speed scenarios. In most cases, network would expect more frequent measurement from a UE configured with smaller DRX cycle (data is more active) compared to a UE configured with large DRX cycle (data is more inactive), so using the same number of samples for all DRX cycles is a more straightforward option.</w:t>
      </w:r>
    </w:p>
    <w:p w14:paraId="74B4EBE5" w14:textId="77777777" w:rsidR="00DE361B" w:rsidRDefault="0053548D" w:rsidP="00866B06">
      <w:pPr>
        <w:pStyle w:val="RAN4proposal"/>
      </w:pPr>
      <w:bookmarkStart w:id="7" w:name="_Ref510701417"/>
      <w:r>
        <w:t xml:space="preserve">Do not introduce additional relaxation in terms of number of samples for </w:t>
      </w:r>
      <w:r w:rsidR="00866B06">
        <w:t xml:space="preserve">some </w:t>
      </w:r>
      <w:r>
        <w:t xml:space="preserve">DRX </w:t>
      </w:r>
      <w:r w:rsidR="00866B06">
        <w:t>cycles</w:t>
      </w:r>
      <w:r>
        <w:t>.</w:t>
      </w:r>
      <w:bookmarkEnd w:id="7"/>
    </w:p>
    <w:p w14:paraId="5BCA9B30" w14:textId="77777777" w:rsidR="00866B06" w:rsidRDefault="00B723D2" w:rsidP="00A147DB">
      <w:pPr>
        <w:spacing w:before="120" w:after="120"/>
      </w:pPr>
      <w:r>
        <w:t xml:space="preserve">The misalignment between DRX ON-duration and SMTC duration has been discussed by some companies, e.g. [2]. We agree that this is an issue to be considered, since UE may need to wake up in DRX off time thus spend more power in </w:t>
      </w:r>
      <w:r>
        <w:lastRenderedPageBreak/>
        <w:t xml:space="preserve">order to meet the same requirement compared to the case where DRX ON-duration is time aligned with SMTC duration, and measurement within ON-durations are enough to get the required number of samples. </w:t>
      </w:r>
    </w:p>
    <w:p w14:paraId="06B068F7" w14:textId="77777777" w:rsidR="00B723D2" w:rsidRDefault="00B723D2" w:rsidP="00A147DB">
      <w:pPr>
        <w:spacing w:before="120" w:after="120"/>
      </w:pPr>
      <w:r>
        <w:t xml:space="preserve">How to handle this issue in RLM requirements was agreed in RAN4#86. The solution is to relax the DRX requirements by a scaling factor of [1.5] for DRX cycle for short DRX cycle and no scaling for long DRX cycle. The boundary between short and long cycles are TBD. The motivation for this solution is to enable for short DRX cycles same power saving for aligned and misaligned cases, while for long DRX cycles it is considered that significant power saving is already achievable with since the absolute requirement is quite relaxed. </w:t>
      </w:r>
    </w:p>
    <w:p w14:paraId="38B78E1E" w14:textId="77777777" w:rsidR="00B723D2" w:rsidRDefault="00B723D2" w:rsidP="00A147DB">
      <w:pPr>
        <w:spacing w:before="120" w:after="120"/>
      </w:pPr>
      <w:r>
        <w:t xml:space="preserve">We think </w:t>
      </w:r>
      <w:r w:rsidR="001B2ECD">
        <w:t xml:space="preserve">it is straightforward that </w:t>
      </w:r>
      <w:r>
        <w:t xml:space="preserve">the same solution </w:t>
      </w:r>
      <w:r w:rsidR="001B2ECD">
        <w:t xml:space="preserve">is </w:t>
      </w:r>
      <w:r>
        <w:t xml:space="preserve">also used for RRM measurement. </w:t>
      </w:r>
      <w:r w:rsidR="001B2ECD">
        <w:t>Also, it means the requirements for small and medium DRX cycles are more relaxed compared to large DRX cycles even the same number of samples is applied.</w:t>
      </w:r>
    </w:p>
    <w:p w14:paraId="74D3EC30" w14:textId="77777777" w:rsidR="0053548D" w:rsidRDefault="0053548D" w:rsidP="001B2ECD">
      <w:pPr>
        <w:pStyle w:val="RAN4proposal"/>
      </w:pPr>
      <w:bookmarkStart w:id="8" w:name="_Ref510701419"/>
      <w:r>
        <w:t xml:space="preserve">Introduce relaxation </w:t>
      </w:r>
      <w:r w:rsidR="001B2ECD">
        <w:t>for</w:t>
      </w:r>
      <w:r>
        <w:t xml:space="preserve"> misalignment between DRX and SMTC in the same way as for RLM.</w:t>
      </w:r>
      <w:bookmarkEnd w:id="8"/>
    </w:p>
    <w:p w14:paraId="0118DEBC" w14:textId="77777777" w:rsidR="001B2ECD" w:rsidRDefault="001B2ECD" w:rsidP="00A147DB">
      <w:pPr>
        <w:spacing w:before="120" w:after="120"/>
      </w:pPr>
      <w:r>
        <w:t xml:space="preserve">In [2] the issue of how to handle different DRX configuration in MN and SN is raised. In EN-DC, MN and SN can independently configure measurement and DRX for MCG and SCG, respectively. It is then possible that DRX is configured in MN but not in SN, DRX is configured in SN but not in MN, or DRX is configured in both MN and SN but with different DRX cycles. In [2] it is proposed to use the maximum of DRX cycle from MN and SN to determine the UE requirements. </w:t>
      </w:r>
    </w:p>
    <w:p w14:paraId="322577FD" w14:textId="77777777" w:rsidR="002230CF" w:rsidRDefault="001B2ECD" w:rsidP="00A147DB">
      <w:pPr>
        <w:spacing w:before="120" w:after="120"/>
      </w:pPr>
      <w:r>
        <w:t xml:space="preserve">In our view, however, this approach may be problematic. When </w:t>
      </w:r>
      <w:r w:rsidR="002230CF">
        <w:t xml:space="preserve">there is no EN-DC, when an LTE eNB or NR gNB </w:t>
      </w:r>
      <w:r>
        <w:t xml:space="preserve">configures a measurement, it will expect the measurement performance to be according to its DRX </w:t>
      </w:r>
      <w:r w:rsidR="002230CF">
        <w:t>configuration (if DRX is used and the DRX cycle). Following the proposal in [2], the measurement performance will be dependent also on the DRX configuration in another node. Even the current RAN2 and RAN3 specification supports MN and SN to exchange the DRX configuration, MN and SN may configure the DRX independently based on different considerations</w:t>
      </w:r>
      <w:r w:rsidR="004C5FAE">
        <w:t>.</w:t>
      </w:r>
    </w:p>
    <w:p w14:paraId="6278E666" w14:textId="77777777" w:rsidR="004C5FAE" w:rsidRDefault="004C5FAE" w:rsidP="00A147DB">
      <w:pPr>
        <w:spacing w:before="120" w:after="120"/>
      </w:pPr>
      <w:r>
        <w:t xml:space="preserve">The same issue has been discussed in LTE DC and the corresponding requirements are defined in section 8.8.2 to 8.8.4 of 36.133. It can be seen that the PCell requirements are based on DRX configuration in MCG, PSCell </w:t>
      </w:r>
      <w:r w:rsidRPr="004C5FAE">
        <w:t xml:space="preserve">requirements are based on DRX configuration in </w:t>
      </w:r>
      <w:r>
        <w:t>S</w:t>
      </w:r>
      <w:r w:rsidRPr="004C5FAE">
        <w:t>CG</w:t>
      </w:r>
      <w:r>
        <w:t xml:space="preserve">, and inter-frequency and inter-RAT </w:t>
      </w:r>
      <w:r w:rsidRPr="004C5FAE">
        <w:t>requirements are based on DRX configuration in MCG</w:t>
      </w:r>
      <w:r>
        <w:t xml:space="preserve">. In short, the </w:t>
      </w:r>
      <w:r w:rsidRPr="004C5FAE">
        <w:t xml:space="preserve">requirements are determined by the DRX configuration in the configuring </w:t>
      </w:r>
      <w:r>
        <w:t>node. We suggest to re-use the same principle in NR.</w:t>
      </w:r>
    </w:p>
    <w:p w14:paraId="532BB2F4" w14:textId="77777777" w:rsidR="0053548D" w:rsidRDefault="004C5FAE" w:rsidP="004C5FAE">
      <w:pPr>
        <w:pStyle w:val="RAN4proposal"/>
      </w:pPr>
      <w:bookmarkStart w:id="9" w:name="_Ref510701420"/>
      <w:r>
        <w:t>In EN-DC, the DRX</w:t>
      </w:r>
      <w:r w:rsidR="0053548D">
        <w:t xml:space="preserve"> requirement</w:t>
      </w:r>
      <w:r>
        <w:t>s</w:t>
      </w:r>
      <w:r w:rsidR="0053548D">
        <w:t xml:space="preserve"> </w:t>
      </w:r>
      <w:r>
        <w:t>are</w:t>
      </w:r>
      <w:r w:rsidR="0053548D">
        <w:t xml:space="preserve"> determined by the DRX configuration in the configuring </w:t>
      </w:r>
      <w:r>
        <w:t>node</w:t>
      </w:r>
      <w:r w:rsidR="0053548D">
        <w:t>.</w:t>
      </w:r>
      <w:bookmarkEnd w:id="9"/>
    </w:p>
    <w:p w14:paraId="4E7D1F58" w14:textId="77777777" w:rsidR="004C5FAE" w:rsidRPr="004C5FAE" w:rsidRDefault="004C5FAE" w:rsidP="004C5FAE">
      <w:r>
        <w:t xml:space="preserve">Based on all above discussions, we suggest that DRX requirements for NR are defined in the form of </w:t>
      </w:r>
    </w:p>
    <w:p w14:paraId="3128519B" w14:textId="77777777" w:rsidR="004C5FAE" w:rsidRDefault="00E11C35" w:rsidP="004C5FAE">
      <w:pPr>
        <w:spacing w:before="120" w:after="120"/>
        <w:jc w:val="center"/>
      </w:pPr>
      <w:r w:rsidRPr="00DE361B">
        <w:t>max(</w:t>
      </w:r>
      <w:r>
        <w:t>X</w:t>
      </w:r>
      <w:r w:rsidRPr="00DE361B">
        <w:t>, [</w:t>
      </w:r>
      <w:r>
        <w:t>K</w:t>
      </w:r>
      <w:r w:rsidRPr="00DE361B">
        <w:rPr>
          <w:vertAlign w:val="subscript"/>
        </w:rPr>
        <w:t>DRX</w:t>
      </w:r>
      <w:r>
        <w:t>*S]*N</w:t>
      </w:r>
      <w:r w:rsidRPr="00DE361B">
        <w:rPr>
          <w:vertAlign w:val="subscript"/>
        </w:rPr>
        <w:t>beam</w:t>
      </w:r>
      <w:r>
        <w:t>*max(SMTC</w:t>
      </w:r>
      <w:r w:rsidR="00E032E5">
        <w:t xml:space="preserve"> </w:t>
      </w:r>
      <w:r w:rsidRPr="00DE361B">
        <w:t>period</w:t>
      </w:r>
      <w:r>
        <w:t>, DRX</w:t>
      </w:r>
      <w:r w:rsidR="00E032E5">
        <w:t xml:space="preserve"> </w:t>
      </w:r>
      <w:r>
        <w:t>cycle)</w:t>
      </w:r>
      <w:r w:rsidRPr="00DE361B">
        <w:t>)</w:t>
      </w:r>
      <w:r w:rsidR="004C5FAE">
        <w:t xml:space="preserve">, where </w:t>
      </w:r>
    </w:p>
    <w:p w14:paraId="72CF6A97" w14:textId="77777777" w:rsidR="004C5FAE" w:rsidRDefault="004C5FAE" w:rsidP="004C5FAE">
      <w:pPr>
        <w:pStyle w:val="ListParagraph"/>
        <w:numPr>
          <w:ilvl w:val="0"/>
          <w:numId w:val="16"/>
        </w:numPr>
        <w:spacing w:before="120" w:after="120"/>
      </w:pPr>
      <w:r>
        <w:t>K</w:t>
      </w:r>
      <w:r w:rsidRPr="004C5FAE">
        <w:rPr>
          <w:vertAlign w:val="subscript"/>
        </w:rPr>
        <w:t>DRX</w:t>
      </w:r>
      <w:r>
        <w:t xml:space="preserve"> is the scaling factor for misalignment, K=[1.5] for DRX cycle &lt; 320ms, and K=1 otherwise</w:t>
      </w:r>
    </w:p>
    <w:p w14:paraId="1A392768" w14:textId="77777777" w:rsidR="004C5FAE" w:rsidRDefault="004C5FAE" w:rsidP="004C5FAE">
      <w:pPr>
        <w:pStyle w:val="ListParagraph"/>
        <w:numPr>
          <w:ilvl w:val="0"/>
          <w:numId w:val="16"/>
        </w:numPr>
        <w:spacing w:before="120" w:after="120"/>
      </w:pPr>
      <w:r>
        <w:t>X, S and N</w:t>
      </w:r>
      <w:r w:rsidRPr="004C5FAE">
        <w:rPr>
          <w:vertAlign w:val="subscript"/>
        </w:rPr>
        <w:t>beam</w:t>
      </w:r>
      <w:r>
        <w:t xml:space="preserve"> are the minimum delay requirement, number of required samples, and the scaling factor for beam sweeping in FR2, respectively. They are same for non-DRX and all DRX cycles</w:t>
      </w:r>
    </w:p>
    <w:p w14:paraId="1DA980B3" w14:textId="77777777" w:rsidR="004C5FAE" w:rsidRDefault="004C5FAE" w:rsidP="004C5FAE">
      <w:pPr>
        <w:pStyle w:val="ListParagraph"/>
        <w:numPr>
          <w:ilvl w:val="0"/>
          <w:numId w:val="16"/>
        </w:numPr>
        <w:spacing w:before="120" w:after="120"/>
      </w:pPr>
      <w:r>
        <w:t xml:space="preserve">DRX cycle is as configured by the </w:t>
      </w:r>
      <w:r w:rsidR="00D45493">
        <w:t xml:space="preserve">node that configures the measurement </w:t>
      </w:r>
    </w:p>
    <w:p w14:paraId="0ABB042F" w14:textId="77777777" w:rsidR="00CD7492" w:rsidRDefault="00CD7492" w:rsidP="0008612A">
      <w:pPr>
        <w:pStyle w:val="RAN4H1"/>
      </w:pPr>
      <w:r>
        <w:t>3</w:t>
      </w:r>
      <w:r>
        <w:tab/>
        <w:t>Conclusion</w:t>
      </w:r>
    </w:p>
    <w:p w14:paraId="439C388B" w14:textId="77777777" w:rsidR="00516134" w:rsidRDefault="00516134" w:rsidP="00516134">
      <w:r w:rsidRPr="00516134">
        <w:t xml:space="preserve">In </w:t>
      </w:r>
      <w:r>
        <w:t xml:space="preserve">this paper we provided </w:t>
      </w:r>
      <w:r w:rsidR="000B0B3C">
        <w:t xml:space="preserve">our </w:t>
      </w:r>
      <w:r>
        <w:t xml:space="preserve">views on </w:t>
      </w:r>
      <w:r w:rsidR="00D45493">
        <w:t>how to define RRM requirements for DRX in NR</w:t>
      </w:r>
      <w:r w:rsidRPr="00516134">
        <w:t>.</w:t>
      </w:r>
    </w:p>
    <w:p w14:paraId="5B32128C" w14:textId="77777777" w:rsidR="00D45493" w:rsidRPr="00D45493" w:rsidRDefault="00D45493" w:rsidP="00516134">
      <w:pPr>
        <w:rPr>
          <w:b/>
        </w:rPr>
      </w:pPr>
      <w:r w:rsidRPr="00D45493">
        <w:rPr>
          <w:b/>
        </w:rPr>
        <w:fldChar w:fldCharType="begin"/>
      </w:r>
      <w:r w:rsidRPr="00D45493">
        <w:rPr>
          <w:b/>
        </w:rPr>
        <w:instrText xml:space="preserve"> REF _Ref510701416 \r \h </w:instrText>
      </w:r>
      <w:r>
        <w:rPr>
          <w:b/>
        </w:rPr>
        <w:instrText xml:space="preserve"> \* MERGEFORMAT </w:instrText>
      </w:r>
      <w:r w:rsidRPr="00D45493">
        <w:rPr>
          <w:b/>
        </w:rPr>
      </w:r>
      <w:r w:rsidRPr="00D45493">
        <w:rPr>
          <w:b/>
        </w:rPr>
        <w:fldChar w:fldCharType="separate"/>
      </w:r>
      <w:r w:rsidRPr="00D45493">
        <w:rPr>
          <w:b/>
        </w:rPr>
        <w:t>Proposal 1:</w:t>
      </w:r>
      <w:r w:rsidRPr="00D45493">
        <w:rPr>
          <w:b/>
        </w:rPr>
        <w:fldChar w:fldCharType="end"/>
      </w:r>
      <w:r w:rsidRPr="00D45493">
        <w:rPr>
          <w:b/>
        </w:rPr>
        <w:t xml:space="preserve"> </w:t>
      </w:r>
      <w:r w:rsidRPr="00D45493">
        <w:rPr>
          <w:b/>
        </w:rPr>
        <w:fldChar w:fldCharType="begin"/>
      </w:r>
      <w:r w:rsidRPr="00D45493">
        <w:rPr>
          <w:b/>
        </w:rPr>
        <w:instrText xml:space="preserve"> REF _Ref510701416 \h </w:instrText>
      </w:r>
      <w:r>
        <w:rPr>
          <w:b/>
        </w:rPr>
        <w:instrText xml:space="preserve"> \* MERGEFORMAT </w:instrText>
      </w:r>
      <w:r w:rsidRPr="00D45493">
        <w:rPr>
          <w:b/>
        </w:rPr>
      </w:r>
      <w:r w:rsidRPr="00D45493">
        <w:rPr>
          <w:b/>
        </w:rPr>
        <w:fldChar w:fldCharType="separate"/>
      </w:r>
      <w:r w:rsidRPr="00D45493">
        <w:rPr>
          <w:b/>
        </w:rPr>
        <w:t>Do not consider the comparison between DRX cycle and SMTC period in defining DRX requirements.</w:t>
      </w:r>
      <w:r w:rsidRPr="00D45493">
        <w:rPr>
          <w:b/>
        </w:rPr>
        <w:fldChar w:fldCharType="end"/>
      </w:r>
    </w:p>
    <w:p w14:paraId="2AFE6DD6" w14:textId="77777777" w:rsidR="00D45493" w:rsidRPr="00D45493" w:rsidRDefault="00D45493" w:rsidP="00516134">
      <w:pPr>
        <w:rPr>
          <w:b/>
        </w:rPr>
      </w:pPr>
      <w:r w:rsidRPr="00D45493">
        <w:rPr>
          <w:b/>
        </w:rPr>
        <w:fldChar w:fldCharType="begin"/>
      </w:r>
      <w:r w:rsidRPr="00D45493">
        <w:rPr>
          <w:b/>
        </w:rPr>
        <w:instrText xml:space="preserve"> REF _Ref510701417 \r \h </w:instrText>
      </w:r>
      <w:r>
        <w:rPr>
          <w:b/>
        </w:rPr>
        <w:instrText xml:space="preserve"> \* MERGEFORMAT </w:instrText>
      </w:r>
      <w:r w:rsidRPr="00D45493">
        <w:rPr>
          <w:b/>
        </w:rPr>
      </w:r>
      <w:r w:rsidRPr="00D45493">
        <w:rPr>
          <w:b/>
        </w:rPr>
        <w:fldChar w:fldCharType="separate"/>
      </w:r>
      <w:r w:rsidRPr="00D45493">
        <w:rPr>
          <w:b/>
        </w:rPr>
        <w:t>Proposal 2:</w:t>
      </w:r>
      <w:r w:rsidRPr="00D45493">
        <w:rPr>
          <w:b/>
        </w:rPr>
        <w:fldChar w:fldCharType="end"/>
      </w:r>
      <w:r w:rsidRPr="00D45493">
        <w:rPr>
          <w:b/>
        </w:rPr>
        <w:t xml:space="preserve"> </w:t>
      </w:r>
      <w:r w:rsidRPr="00D45493">
        <w:rPr>
          <w:b/>
        </w:rPr>
        <w:fldChar w:fldCharType="begin"/>
      </w:r>
      <w:r w:rsidRPr="00D45493">
        <w:rPr>
          <w:b/>
        </w:rPr>
        <w:instrText xml:space="preserve"> REF _Ref510701417 \h </w:instrText>
      </w:r>
      <w:r>
        <w:rPr>
          <w:b/>
        </w:rPr>
        <w:instrText xml:space="preserve"> \* MERGEFORMAT </w:instrText>
      </w:r>
      <w:r w:rsidRPr="00D45493">
        <w:rPr>
          <w:b/>
        </w:rPr>
      </w:r>
      <w:r w:rsidRPr="00D45493">
        <w:rPr>
          <w:b/>
        </w:rPr>
        <w:fldChar w:fldCharType="separate"/>
      </w:r>
      <w:r w:rsidRPr="00D45493">
        <w:rPr>
          <w:b/>
        </w:rPr>
        <w:t>Do not introduce additional relaxation in terms of number of samples for some DRX cycles.</w:t>
      </w:r>
      <w:r w:rsidRPr="00D45493">
        <w:rPr>
          <w:b/>
        </w:rPr>
        <w:fldChar w:fldCharType="end"/>
      </w:r>
    </w:p>
    <w:p w14:paraId="7DC87092" w14:textId="77777777" w:rsidR="00D45493" w:rsidRPr="00D45493" w:rsidRDefault="00D45493" w:rsidP="00516134">
      <w:pPr>
        <w:rPr>
          <w:b/>
        </w:rPr>
      </w:pPr>
      <w:r w:rsidRPr="00D45493">
        <w:rPr>
          <w:b/>
        </w:rPr>
        <w:fldChar w:fldCharType="begin"/>
      </w:r>
      <w:r w:rsidRPr="00D45493">
        <w:rPr>
          <w:b/>
        </w:rPr>
        <w:instrText xml:space="preserve"> REF _Ref510701419 \r \h </w:instrText>
      </w:r>
      <w:r>
        <w:rPr>
          <w:b/>
        </w:rPr>
        <w:instrText xml:space="preserve"> \* MERGEFORMAT </w:instrText>
      </w:r>
      <w:r w:rsidRPr="00D45493">
        <w:rPr>
          <w:b/>
        </w:rPr>
      </w:r>
      <w:r w:rsidRPr="00D45493">
        <w:rPr>
          <w:b/>
        </w:rPr>
        <w:fldChar w:fldCharType="separate"/>
      </w:r>
      <w:r w:rsidRPr="00D45493">
        <w:rPr>
          <w:b/>
        </w:rPr>
        <w:t>Proposal 3:</w:t>
      </w:r>
      <w:r w:rsidRPr="00D45493">
        <w:rPr>
          <w:b/>
        </w:rPr>
        <w:fldChar w:fldCharType="end"/>
      </w:r>
      <w:r w:rsidRPr="00D45493">
        <w:rPr>
          <w:b/>
        </w:rPr>
        <w:t xml:space="preserve"> </w:t>
      </w:r>
      <w:r w:rsidRPr="00D45493">
        <w:rPr>
          <w:b/>
        </w:rPr>
        <w:fldChar w:fldCharType="begin"/>
      </w:r>
      <w:r w:rsidRPr="00D45493">
        <w:rPr>
          <w:b/>
        </w:rPr>
        <w:instrText xml:space="preserve"> REF _Ref510701419 \h </w:instrText>
      </w:r>
      <w:r>
        <w:rPr>
          <w:b/>
        </w:rPr>
        <w:instrText xml:space="preserve"> \* MERGEFORMAT </w:instrText>
      </w:r>
      <w:r w:rsidRPr="00D45493">
        <w:rPr>
          <w:b/>
        </w:rPr>
      </w:r>
      <w:r w:rsidRPr="00D45493">
        <w:rPr>
          <w:b/>
        </w:rPr>
        <w:fldChar w:fldCharType="separate"/>
      </w:r>
      <w:r w:rsidRPr="00D45493">
        <w:rPr>
          <w:b/>
        </w:rPr>
        <w:t>Introduce relaxation for misalignment between DRX and SMTC in the same way as for RLM.</w:t>
      </w:r>
      <w:r w:rsidRPr="00D45493">
        <w:rPr>
          <w:b/>
        </w:rPr>
        <w:fldChar w:fldCharType="end"/>
      </w:r>
    </w:p>
    <w:p w14:paraId="0D939C56" w14:textId="77777777" w:rsidR="00D45493" w:rsidRPr="00D45493" w:rsidRDefault="00D45493" w:rsidP="00516134">
      <w:pPr>
        <w:rPr>
          <w:b/>
        </w:rPr>
      </w:pPr>
      <w:r w:rsidRPr="00D45493">
        <w:rPr>
          <w:b/>
        </w:rPr>
        <w:fldChar w:fldCharType="begin"/>
      </w:r>
      <w:r w:rsidRPr="00D45493">
        <w:rPr>
          <w:b/>
        </w:rPr>
        <w:instrText xml:space="preserve"> REF _Ref510701420 \r \h </w:instrText>
      </w:r>
      <w:r>
        <w:rPr>
          <w:b/>
        </w:rPr>
        <w:instrText xml:space="preserve"> \* MERGEFORMAT </w:instrText>
      </w:r>
      <w:r w:rsidRPr="00D45493">
        <w:rPr>
          <w:b/>
        </w:rPr>
      </w:r>
      <w:r w:rsidRPr="00D45493">
        <w:rPr>
          <w:b/>
        </w:rPr>
        <w:fldChar w:fldCharType="separate"/>
      </w:r>
      <w:r w:rsidRPr="00D45493">
        <w:rPr>
          <w:b/>
        </w:rPr>
        <w:t>Proposal 4:</w:t>
      </w:r>
      <w:r w:rsidRPr="00D45493">
        <w:rPr>
          <w:b/>
        </w:rPr>
        <w:fldChar w:fldCharType="end"/>
      </w:r>
      <w:r w:rsidRPr="00D45493">
        <w:rPr>
          <w:b/>
        </w:rPr>
        <w:t xml:space="preserve"> </w:t>
      </w:r>
      <w:r w:rsidRPr="00D45493">
        <w:rPr>
          <w:b/>
        </w:rPr>
        <w:fldChar w:fldCharType="begin"/>
      </w:r>
      <w:r w:rsidRPr="00D45493">
        <w:rPr>
          <w:b/>
        </w:rPr>
        <w:instrText xml:space="preserve"> REF _Ref510701420 \h </w:instrText>
      </w:r>
      <w:r>
        <w:rPr>
          <w:b/>
        </w:rPr>
        <w:instrText xml:space="preserve"> \* MERGEFORMAT </w:instrText>
      </w:r>
      <w:r w:rsidRPr="00D45493">
        <w:rPr>
          <w:b/>
        </w:rPr>
      </w:r>
      <w:r w:rsidRPr="00D45493">
        <w:rPr>
          <w:b/>
        </w:rPr>
        <w:fldChar w:fldCharType="separate"/>
      </w:r>
      <w:r w:rsidRPr="00D45493">
        <w:rPr>
          <w:b/>
        </w:rPr>
        <w:t>In EN-DC, the DRX requirements are determined by the DRX configuration in the configuring node.</w:t>
      </w:r>
      <w:r w:rsidRPr="00D45493">
        <w:rPr>
          <w:b/>
        </w:rPr>
        <w:fldChar w:fldCharType="end"/>
      </w:r>
    </w:p>
    <w:p w14:paraId="72E13621" w14:textId="77777777" w:rsidR="00504EE9" w:rsidRPr="00863688" w:rsidRDefault="003B659E" w:rsidP="00863688">
      <w:pPr>
        <w:pStyle w:val="RAN4H1"/>
      </w:pPr>
      <w:r w:rsidRPr="0095295C">
        <w:t>References</w:t>
      </w:r>
    </w:p>
    <w:p w14:paraId="44E6743E" w14:textId="77777777" w:rsidR="00863688" w:rsidRDefault="00D46252" w:rsidP="00D4625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46252">
        <w:rPr>
          <w:rFonts w:eastAsia="Times New Roman" w:cs="Times New Roman"/>
          <w:szCs w:val="20"/>
          <w:lang w:val="en-GB"/>
        </w:rPr>
        <w:t>R2-1804097</w:t>
      </w:r>
      <w:r w:rsidR="00863688">
        <w:rPr>
          <w:rFonts w:eastAsia="Times New Roman" w:cs="Times New Roman"/>
          <w:szCs w:val="20"/>
          <w:lang w:val="en-GB"/>
        </w:rPr>
        <w:t>,</w:t>
      </w:r>
      <w:r w:rsidR="00863688" w:rsidRPr="00863688">
        <w:rPr>
          <w:rFonts w:eastAsia="Times New Roman" w:cs="Times New Roman"/>
          <w:szCs w:val="20"/>
          <w:lang w:val="en-GB"/>
        </w:rPr>
        <w:tab/>
      </w:r>
      <w:r w:rsidRPr="00D46252">
        <w:rPr>
          <w:rFonts w:eastAsia="Times New Roman" w:cs="Times New Roman"/>
          <w:szCs w:val="20"/>
          <w:lang w:val="en-GB"/>
        </w:rPr>
        <w:t>Reply LS on intra-frequency measurement on NR SCell</w:t>
      </w:r>
      <w:r w:rsidR="00863688">
        <w:rPr>
          <w:rFonts w:eastAsia="Times New Roman" w:cs="Times New Roman"/>
          <w:szCs w:val="20"/>
          <w:lang w:val="en-GB"/>
        </w:rPr>
        <w:t xml:space="preserve">, </w:t>
      </w:r>
      <w:r>
        <w:rPr>
          <w:rFonts w:eastAsia="Times New Roman" w:cs="Times New Roman"/>
          <w:szCs w:val="20"/>
          <w:lang w:val="en-GB"/>
        </w:rPr>
        <w:t>RAN2</w:t>
      </w:r>
    </w:p>
    <w:p w14:paraId="580649DC" w14:textId="1132E6B1" w:rsidR="00687FA0" w:rsidRPr="00D45493" w:rsidRDefault="00B06153" w:rsidP="00B06153">
      <w:pPr>
        <w:numPr>
          <w:ilvl w:val="0"/>
          <w:numId w:val="1"/>
        </w:numPr>
        <w:overflowPunct w:val="0"/>
        <w:autoSpaceDE w:val="0"/>
        <w:autoSpaceDN w:val="0"/>
        <w:adjustRightInd w:val="0"/>
        <w:spacing w:after="120" w:line="240" w:lineRule="auto"/>
        <w:ind w:right="-22"/>
        <w:jc w:val="both"/>
        <w:textAlignment w:val="baseline"/>
        <w:rPr>
          <w:lang w:val="en-GB"/>
        </w:rPr>
      </w:pPr>
      <w:r w:rsidRPr="00B06153">
        <w:rPr>
          <w:rFonts w:eastAsia="Times New Roman" w:cs="Times New Roman"/>
          <w:szCs w:val="20"/>
          <w:lang w:val="en-GB"/>
        </w:rPr>
        <w:lastRenderedPageBreak/>
        <w:t>R4-1801496</w:t>
      </w:r>
      <w:r>
        <w:rPr>
          <w:rFonts w:eastAsia="Times New Roman" w:cs="Times New Roman"/>
          <w:szCs w:val="20"/>
          <w:lang w:val="en-GB"/>
        </w:rPr>
        <w:t>,</w:t>
      </w:r>
      <w:r w:rsidRPr="00B06153">
        <w:rPr>
          <w:rFonts w:eastAsia="Times New Roman" w:cs="Times New Roman"/>
          <w:szCs w:val="20"/>
          <w:lang w:val="en-GB"/>
        </w:rPr>
        <w:tab/>
        <w:t>RRM requirements in DRX mode</w:t>
      </w:r>
      <w:r w:rsidR="00B723D2" w:rsidRPr="00D45493">
        <w:rPr>
          <w:rFonts w:eastAsia="Times New Roman" w:cs="Times New Roman"/>
          <w:szCs w:val="20"/>
        </w:rPr>
        <w:t xml:space="preserve">, </w:t>
      </w:r>
      <w:r w:rsidRPr="00B06153">
        <w:rPr>
          <w:rFonts w:eastAsia="Times New Roman" w:cs="Times New Roman"/>
          <w:szCs w:val="20"/>
        </w:rPr>
        <w:t>MediaTek</w:t>
      </w:r>
    </w:p>
    <w:sectPr w:rsidR="00687FA0" w:rsidRPr="00D4549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95D53" w14:textId="77777777" w:rsidR="00692662" w:rsidRDefault="00692662" w:rsidP="00001C9B">
      <w:pPr>
        <w:spacing w:after="0" w:line="240" w:lineRule="auto"/>
      </w:pPr>
      <w:r>
        <w:separator/>
      </w:r>
    </w:p>
  </w:endnote>
  <w:endnote w:type="continuationSeparator" w:id="0">
    <w:p w14:paraId="23452B93" w14:textId="77777777" w:rsidR="00692662" w:rsidRDefault="0069266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EF71" w14:textId="77777777" w:rsidR="00692662" w:rsidRDefault="00692662" w:rsidP="00001C9B">
      <w:pPr>
        <w:spacing w:after="0" w:line="240" w:lineRule="auto"/>
      </w:pPr>
      <w:r>
        <w:separator/>
      </w:r>
    </w:p>
  </w:footnote>
  <w:footnote w:type="continuationSeparator" w:id="0">
    <w:p w14:paraId="645151B5" w14:textId="77777777" w:rsidR="00692662" w:rsidRDefault="0069266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5"/>
  </w:num>
  <w:num w:numId="16">
    <w:abstractNumId w:val="4"/>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8612A"/>
    <w:rsid w:val="000B0B3C"/>
    <w:rsid w:val="000B5D48"/>
    <w:rsid w:val="00111007"/>
    <w:rsid w:val="00126209"/>
    <w:rsid w:val="00126F92"/>
    <w:rsid w:val="001838CF"/>
    <w:rsid w:val="00197EC0"/>
    <w:rsid w:val="001A3E86"/>
    <w:rsid w:val="001B2ECD"/>
    <w:rsid w:val="001E30F6"/>
    <w:rsid w:val="0020767F"/>
    <w:rsid w:val="00217F42"/>
    <w:rsid w:val="002230CF"/>
    <w:rsid w:val="00235F5C"/>
    <w:rsid w:val="002453CF"/>
    <w:rsid w:val="0026143C"/>
    <w:rsid w:val="00264ED1"/>
    <w:rsid w:val="002743D8"/>
    <w:rsid w:val="00276566"/>
    <w:rsid w:val="002B4922"/>
    <w:rsid w:val="002C2D19"/>
    <w:rsid w:val="002C5B1F"/>
    <w:rsid w:val="002D10FA"/>
    <w:rsid w:val="002D4C55"/>
    <w:rsid w:val="002E1E7D"/>
    <w:rsid w:val="003047CD"/>
    <w:rsid w:val="0031665B"/>
    <w:rsid w:val="00382B57"/>
    <w:rsid w:val="00393801"/>
    <w:rsid w:val="003B659E"/>
    <w:rsid w:val="003D4AC4"/>
    <w:rsid w:val="003D7537"/>
    <w:rsid w:val="0043750A"/>
    <w:rsid w:val="0044294F"/>
    <w:rsid w:val="004429BB"/>
    <w:rsid w:val="00453032"/>
    <w:rsid w:val="00472EAA"/>
    <w:rsid w:val="004748FB"/>
    <w:rsid w:val="004931BC"/>
    <w:rsid w:val="004A69FC"/>
    <w:rsid w:val="004C2AAA"/>
    <w:rsid w:val="004C5FAE"/>
    <w:rsid w:val="004E5E66"/>
    <w:rsid w:val="004F6F44"/>
    <w:rsid w:val="00503B4D"/>
    <w:rsid w:val="00504EE9"/>
    <w:rsid w:val="0050650D"/>
    <w:rsid w:val="00516134"/>
    <w:rsid w:val="0053548D"/>
    <w:rsid w:val="0054442C"/>
    <w:rsid w:val="00550285"/>
    <w:rsid w:val="005836F8"/>
    <w:rsid w:val="005A088A"/>
    <w:rsid w:val="005D1BB6"/>
    <w:rsid w:val="005E61A8"/>
    <w:rsid w:val="005F6419"/>
    <w:rsid w:val="00617400"/>
    <w:rsid w:val="006421E5"/>
    <w:rsid w:val="00660508"/>
    <w:rsid w:val="00664950"/>
    <w:rsid w:val="00683220"/>
    <w:rsid w:val="00687FA0"/>
    <w:rsid w:val="00692662"/>
    <w:rsid w:val="006B7010"/>
    <w:rsid w:val="006E173F"/>
    <w:rsid w:val="007145FF"/>
    <w:rsid w:val="00726418"/>
    <w:rsid w:val="00751515"/>
    <w:rsid w:val="00751843"/>
    <w:rsid w:val="00754806"/>
    <w:rsid w:val="00760B82"/>
    <w:rsid w:val="00764018"/>
    <w:rsid w:val="00785232"/>
    <w:rsid w:val="00786FEE"/>
    <w:rsid w:val="00794085"/>
    <w:rsid w:val="007A025E"/>
    <w:rsid w:val="007B1F78"/>
    <w:rsid w:val="007C3ED0"/>
    <w:rsid w:val="00806A76"/>
    <w:rsid w:val="00810DF1"/>
    <w:rsid w:val="00811C9D"/>
    <w:rsid w:val="00816C80"/>
    <w:rsid w:val="00824B92"/>
    <w:rsid w:val="00841BCD"/>
    <w:rsid w:val="00863688"/>
    <w:rsid w:val="008650F3"/>
    <w:rsid w:val="00866B06"/>
    <w:rsid w:val="008803DD"/>
    <w:rsid w:val="00881DDF"/>
    <w:rsid w:val="008826C1"/>
    <w:rsid w:val="008C1CD1"/>
    <w:rsid w:val="008E7FE2"/>
    <w:rsid w:val="009042BD"/>
    <w:rsid w:val="00911751"/>
    <w:rsid w:val="009167B7"/>
    <w:rsid w:val="00942F2D"/>
    <w:rsid w:val="00966D3C"/>
    <w:rsid w:val="00977E1D"/>
    <w:rsid w:val="009825E0"/>
    <w:rsid w:val="00990EBB"/>
    <w:rsid w:val="00996CD4"/>
    <w:rsid w:val="009C7A4B"/>
    <w:rsid w:val="009E13F7"/>
    <w:rsid w:val="00A147DB"/>
    <w:rsid w:val="00A22B78"/>
    <w:rsid w:val="00A25AE5"/>
    <w:rsid w:val="00A31A22"/>
    <w:rsid w:val="00A36853"/>
    <w:rsid w:val="00A8735B"/>
    <w:rsid w:val="00AA1B0E"/>
    <w:rsid w:val="00AA7844"/>
    <w:rsid w:val="00AC5CA7"/>
    <w:rsid w:val="00AD5F1A"/>
    <w:rsid w:val="00B06153"/>
    <w:rsid w:val="00B32E4D"/>
    <w:rsid w:val="00B71526"/>
    <w:rsid w:val="00B723D2"/>
    <w:rsid w:val="00B8632F"/>
    <w:rsid w:val="00B8745E"/>
    <w:rsid w:val="00BA6E48"/>
    <w:rsid w:val="00BB7D4E"/>
    <w:rsid w:val="00BF2218"/>
    <w:rsid w:val="00C20C90"/>
    <w:rsid w:val="00C86ACA"/>
    <w:rsid w:val="00CA3CAC"/>
    <w:rsid w:val="00CD7492"/>
    <w:rsid w:val="00CE3A6B"/>
    <w:rsid w:val="00CF2076"/>
    <w:rsid w:val="00D00211"/>
    <w:rsid w:val="00D05142"/>
    <w:rsid w:val="00D06309"/>
    <w:rsid w:val="00D14F6E"/>
    <w:rsid w:val="00D351EA"/>
    <w:rsid w:val="00D43403"/>
    <w:rsid w:val="00D45493"/>
    <w:rsid w:val="00D45A9D"/>
    <w:rsid w:val="00D46252"/>
    <w:rsid w:val="00D61A3A"/>
    <w:rsid w:val="00D62E71"/>
    <w:rsid w:val="00D719C8"/>
    <w:rsid w:val="00D740CA"/>
    <w:rsid w:val="00D85728"/>
    <w:rsid w:val="00D869EB"/>
    <w:rsid w:val="00D9178E"/>
    <w:rsid w:val="00DE205F"/>
    <w:rsid w:val="00DE361B"/>
    <w:rsid w:val="00DE59B9"/>
    <w:rsid w:val="00DF2997"/>
    <w:rsid w:val="00E01E0D"/>
    <w:rsid w:val="00E01E55"/>
    <w:rsid w:val="00E032E5"/>
    <w:rsid w:val="00E11C35"/>
    <w:rsid w:val="00E13AB4"/>
    <w:rsid w:val="00E158E1"/>
    <w:rsid w:val="00E30472"/>
    <w:rsid w:val="00E44A36"/>
    <w:rsid w:val="00E57EFE"/>
    <w:rsid w:val="00E92C17"/>
    <w:rsid w:val="00E962F8"/>
    <w:rsid w:val="00EB7CA9"/>
    <w:rsid w:val="00EC4487"/>
    <w:rsid w:val="00EC7BC3"/>
    <w:rsid w:val="00ED7600"/>
    <w:rsid w:val="00EE5BD2"/>
    <w:rsid w:val="00F1362C"/>
    <w:rsid w:val="00F462D4"/>
    <w:rsid w:val="00F824F5"/>
    <w:rsid w:val="00FC29B9"/>
    <w:rsid w:val="00FC6FD3"/>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3CA8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customStyle="1" w:styleId="TAN">
    <w:name w:val="TAN"/>
    <w:basedOn w:val="Normal"/>
    <w:link w:val="TANChar"/>
    <w:rsid w:val="00E11C35"/>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E11C35"/>
    <w:rPr>
      <w:rFonts w:ascii="Arial" w:eastAsia="Times New Roman" w:hAnsi="Arial" w:cs="Times New Roman"/>
      <w:sz w:val="18"/>
      <w:szCs w:val="20"/>
      <w:lang w:val="en-GB" w:eastAsia="x-none"/>
    </w:rPr>
  </w:style>
  <w:style w:type="character" w:styleId="CommentReference">
    <w:name w:val="annotation reference"/>
    <w:basedOn w:val="DefaultParagraphFont"/>
    <w:uiPriority w:val="99"/>
    <w:semiHidden/>
    <w:unhideWhenUsed/>
    <w:rsid w:val="00786FEE"/>
    <w:rPr>
      <w:sz w:val="16"/>
      <w:szCs w:val="16"/>
    </w:rPr>
  </w:style>
  <w:style w:type="paragraph" w:styleId="CommentText">
    <w:name w:val="annotation text"/>
    <w:basedOn w:val="Normal"/>
    <w:link w:val="CommentTextChar"/>
    <w:uiPriority w:val="99"/>
    <w:semiHidden/>
    <w:unhideWhenUsed/>
    <w:rsid w:val="00786FEE"/>
    <w:pPr>
      <w:spacing w:line="240" w:lineRule="auto"/>
    </w:pPr>
    <w:rPr>
      <w:szCs w:val="20"/>
    </w:rPr>
  </w:style>
  <w:style w:type="character" w:customStyle="1" w:styleId="CommentTextChar">
    <w:name w:val="Comment Text Char"/>
    <w:basedOn w:val="DefaultParagraphFont"/>
    <w:link w:val="CommentText"/>
    <w:uiPriority w:val="99"/>
    <w:semiHidden/>
    <w:rsid w:val="00786FE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86FEE"/>
    <w:rPr>
      <w:b/>
      <w:bCs/>
    </w:rPr>
  </w:style>
  <w:style w:type="character" w:customStyle="1" w:styleId="CommentSubjectChar">
    <w:name w:val="Comment Subject Char"/>
    <w:basedOn w:val="CommentTextChar"/>
    <w:link w:val="CommentSubject"/>
    <w:uiPriority w:val="99"/>
    <w:semiHidden/>
    <w:rsid w:val="00786FEE"/>
    <w:rPr>
      <w:rFonts w:ascii="Times New Roman" w:hAnsi="Times New Roman"/>
      <w:b/>
      <w:bCs/>
      <w:sz w:val="20"/>
      <w:szCs w:val="20"/>
    </w:rPr>
  </w:style>
  <w:style w:type="paragraph" w:styleId="BalloonText">
    <w:name w:val="Balloon Text"/>
    <w:basedOn w:val="Normal"/>
    <w:link w:val="BalloonTextChar"/>
    <w:uiPriority w:val="99"/>
    <w:semiHidden/>
    <w:unhideWhenUsed/>
    <w:rsid w:val="00786F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6F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4DC24-E2BD-4B45-B3B2-300A6E28C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7</cp:revision>
  <dcterms:created xsi:type="dcterms:W3CDTF">2018-04-05T09:41:00Z</dcterms:created>
  <dcterms:modified xsi:type="dcterms:W3CDTF">2018-04-06T19:18:00Z</dcterms:modified>
</cp:coreProperties>
</file>