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ED7600">
        <w:rPr>
          <w:rFonts w:ascii="Arial" w:eastAsia="宋体" w:hAnsi="Arial" w:cs="Times New Roman"/>
          <w:b/>
          <w:sz w:val="24"/>
          <w:szCs w:val="20"/>
          <w:lang w:val="en-GB"/>
        </w:rPr>
        <w:t>WG4 Meeting #86</w:t>
      </w:r>
      <w:r w:rsidR="00001C9B">
        <w:rPr>
          <w:rFonts w:ascii="Arial" w:eastAsia="宋体" w:hAnsi="Arial" w:cs="Times New Roman"/>
          <w:b/>
          <w:sz w:val="24"/>
          <w:szCs w:val="20"/>
          <w:lang w:val="en-GB"/>
        </w:rPr>
        <w:t>bis</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1E1E57" w:rsidRPr="001E1E57">
        <w:rPr>
          <w:rFonts w:ascii="Arial" w:eastAsia="宋体" w:hAnsi="Arial" w:cs="Times New Roman"/>
          <w:b/>
          <w:bCs/>
          <w:sz w:val="24"/>
          <w:szCs w:val="20"/>
          <w:lang w:val="en-GB" w:eastAsia="ja-JP"/>
        </w:rPr>
        <w:t>R4-1805063</w:t>
      </w:r>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Melbourne</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Australia</w:t>
      </w:r>
      <w:r w:rsidR="00BA6E48">
        <w:rPr>
          <w:rFonts w:ascii="Arial" w:eastAsia="宋体" w:hAnsi="Arial" w:cs="Times New Roman"/>
          <w:b/>
          <w:sz w:val="24"/>
          <w:szCs w:val="20"/>
          <w:lang w:val="en-GB"/>
        </w:rPr>
        <w:t xml:space="preserve">, </w:t>
      </w:r>
      <w:r>
        <w:rPr>
          <w:rFonts w:ascii="Arial" w:eastAsia="宋体" w:hAnsi="Arial" w:cs="Times New Roman"/>
          <w:b/>
          <w:sz w:val="24"/>
          <w:szCs w:val="20"/>
          <w:lang w:val="en-GB"/>
        </w:rPr>
        <w:t>April</w:t>
      </w:r>
      <w:r w:rsidR="00ED7600">
        <w:rPr>
          <w:rFonts w:ascii="Arial" w:eastAsia="宋体" w:hAnsi="Arial" w:cs="Times New Roman"/>
          <w:b/>
          <w:sz w:val="24"/>
          <w:szCs w:val="20"/>
          <w:lang w:val="en-GB"/>
        </w:rPr>
        <w:t xml:space="preserve"> </w:t>
      </w:r>
      <w:r>
        <w:rPr>
          <w:rFonts w:ascii="Arial" w:eastAsia="宋体" w:hAnsi="Arial" w:cs="Times New Roman"/>
          <w:b/>
          <w:sz w:val="24"/>
          <w:szCs w:val="20"/>
          <w:lang w:val="en-GB"/>
        </w:rPr>
        <w:t>1</w:t>
      </w:r>
      <w:r w:rsidR="00ED7600">
        <w:rPr>
          <w:rFonts w:ascii="Arial" w:eastAsia="宋体" w:hAnsi="Arial" w:cs="Times New Roman"/>
          <w:b/>
          <w:sz w:val="24"/>
          <w:szCs w:val="20"/>
          <w:lang w:val="en-GB"/>
        </w:rPr>
        <w:t>6</w:t>
      </w:r>
      <w:r w:rsidR="00ED7600" w:rsidRPr="00ED7600">
        <w:rPr>
          <w:rFonts w:ascii="Arial" w:eastAsia="宋体" w:hAnsi="Arial" w:cs="Times New Roman"/>
          <w:b/>
          <w:sz w:val="24"/>
          <w:szCs w:val="20"/>
          <w:vertAlign w:val="superscript"/>
          <w:lang w:val="en-GB"/>
        </w:rPr>
        <w:t>th</w:t>
      </w:r>
      <w:r w:rsidR="00ED7600">
        <w:rPr>
          <w:rFonts w:ascii="Arial" w:eastAsia="宋体" w:hAnsi="Arial" w:cs="Times New Roman"/>
          <w:b/>
          <w:sz w:val="24"/>
          <w:szCs w:val="20"/>
          <w:lang w:val="en-GB"/>
        </w:rPr>
        <w:t xml:space="preserve"> </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20</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235F5C">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20767F"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65BE4" w:rsidRPr="00765BE4">
        <w:rPr>
          <w:rFonts w:ascii="Arial" w:eastAsia="Calibri" w:hAnsi="Arial" w:cs="Arial"/>
          <w:b/>
          <w:bCs/>
          <w:sz w:val="24"/>
          <w:lang w:val="en-GB"/>
        </w:rPr>
        <w:t>Discussion on remaining issues for high speed support in efeMTC</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65BE4">
        <w:rPr>
          <w:rFonts w:ascii="Arial" w:eastAsia="MS Mincho" w:hAnsi="Arial" w:cs="Arial"/>
          <w:b/>
          <w:bCs/>
          <w:sz w:val="24"/>
          <w:szCs w:val="20"/>
          <w:lang w:val="en-GB"/>
        </w:rPr>
        <w:t>6.18.4.1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B71526">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rsidR="00765BE4" w:rsidRPr="00765BE4" w:rsidRDefault="00765BE4" w:rsidP="00765BE4">
      <w:pPr>
        <w:overflowPunct w:val="0"/>
        <w:autoSpaceDE w:val="0"/>
        <w:autoSpaceDN w:val="0"/>
        <w:adjustRightInd w:val="0"/>
        <w:spacing w:before="120" w:after="120" w:line="240" w:lineRule="auto"/>
        <w:textAlignment w:val="baseline"/>
        <w:rPr>
          <w:rFonts w:eastAsia="宋体" w:cs="Times New Roman"/>
          <w:szCs w:val="20"/>
        </w:rPr>
      </w:pPr>
      <w:r w:rsidRPr="00765BE4">
        <w:rPr>
          <w:rFonts w:eastAsia="宋体" w:cs="Times New Roman"/>
          <w:szCs w:val="20"/>
        </w:rPr>
        <w:t>RAN4 has discussed the high speed support for efeMTC for several meetings. In RAN4#85, a WF [1] for efeMTC RRM was agreed, and following are related to high speed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765BE4" w:rsidRPr="00765BE4" w:rsidTr="00F43573">
        <w:tc>
          <w:tcPr>
            <w:tcW w:w="9855" w:type="dxa"/>
            <w:shd w:val="clear" w:color="auto" w:fill="auto"/>
          </w:tcPr>
          <w:p w:rsidR="00765BE4" w:rsidRPr="00765BE4" w:rsidRDefault="00765BE4" w:rsidP="00765BE4">
            <w:pPr>
              <w:numPr>
                <w:ilvl w:val="0"/>
                <w:numId w:val="22"/>
              </w:numPr>
              <w:overflowPunct w:val="0"/>
              <w:autoSpaceDE w:val="0"/>
              <w:autoSpaceDN w:val="0"/>
              <w:adjustRightInd w:val="0"/>
              <w:spacing w:before="120" w:after="120" w:line="240" w:lineRule="auto"/>
              <w:textAlignment w:val="baseline"/>
              <w:rPr>
                <w:rFonts w:eastAsia="宋体" w:cs="Times New Roman"/>
                <w:szCs w:val="20"/>
              </w:rPr>
            </w:pPr>
            <w:r w:rsidRPr="00765BE4">
              <w:rPr>
                <w:rFonts w:eastAsia="宋体" w:cs="Times New Roman"/>
                <w:b/>
                <w:bCs/>
                <w:szCs w:val="20"/>
                <w:u w:val="single"/>
              </w:rPr>
              <w:t>Measurements under high velocity</w:t>
            </w:r>
          </w:p>
          <w:p w:rsidR="00765BE4" w:rsidRPr="00765BE4" w:rsidRDefault="00765BE4" w:rsidP="00765BE4">
            <w:pPr>
              <w:numPr>
                <w:ilvl w:val="1"/>
                <w:numId w:val="22"/>
              </w:numPr>
              <w:overflowPunct w:val="0"/>
              <w:autoSpaceDE w:val="0"/>
              <w:autoSpaceDN w:val="0"/>
              <w:adjustRightInd w:val="0"/>
              <w:spacing w:before="120" w:after="120" w:line="240" w:lineRule="auto"/>
              <w:textAlignment w:val="baseline"/>
              <w:rPr>
                <w:rFonts w:eastAsia="宋体" w:cs="Times New Roman"/>
                <w:szCs w:val="20"/>
              </w:rPr>
            </w:pPr>
            <w:r w:rsidRPr="00765BE4">
              <w:rPr>
                <w:rFonts w:eastAsia="宋体" w:cs="Times New Roman"/>
                <w:szCs w:val="20"/>
              </w:rPr>
              <w:t>Intra-frequency RSRP/RSRQ measurement (measurement period and measurement accuracy) and cell identification requirements under non-DRX for gap pattern ID#0 are reused under high velocity (up to 220 Hz Doppler spread).</w:t>
            </w:r>
          </w:p>
          <w:p w:rsidR="00765BE4" w:rsidRPr="00765BE4" w:rsidRDefault="00765BE4" w:rsidP="00765BE4">
            <w:pPr>
              <w:numPr>
                <w:ilvl w:val="1"/>
                <w:numId w:val="22"/>
              </w:numPr>
              <w:overflowPunct w:val="0"/>
              <w:autoSpaceDE w:val="0"/>
              <w:autoSpaceDN w:val="0"/>
              <w:adjustRightInd w:val="0"/>
              <w:spacing w:before="120" w:after="120" w:line="240" w:lineRule="auto"/>
              <w:textAlignment w:val="baseline"/>
              <w:rPr>
                <w:rFonts w:eastAsia="宋体" w:cs="Times New Roman"/>
                <w:szCs w:val="20"/>
              </w:rPr>
            </w:pPr>
            <w:r w:rsidRPr="00765BE4">
              <w:rPr>
                <w:rFonts w:eastAsia="宋体" w:cs="Times New Roman"/>
                <w:szCs w:val="20"/>
              </w:rPr>
              <w:t>RAN4 shall study the corresponding requirements under DRX for next meeting (RAN4#86).</w:t>
            </w:r>
          </w:p>
          <w:p w:rsidR="00765BE4" w:rsidRPr="00765BE4" w:rsidRDefault="00765BE4" w:rsidP="00765BE4">
            <w:pPr>
              <w:numPr>
                <w:ilvl w:val="1"/>
                <w:numId w:val="22"/>
              </w:numPr>
              <w:overflowPunct w:val="0"/>
              <w:autoSpaceDE w:val="0"/>
              <w:autoSpaceDN w:val="0"/>
              <w:adjustRightInd w:val="0"/>
              <w:spacing w:before="120" w:after="120" w:line="240" w:lineRule="auto"/>
              <w:textAlignment w:val="baseline"/>
              <w:rPr>
                <w:rFonts w:eastAsia="宋体" w:cs="Times New Roman"/>
                <w:szCs w:val="20"/>
              </w:rPr>
            </w:pPr>
            <w:r w:rsidRPr="00765BE4">
              <w:rPr>
                <w:rFonts w:eastAsia="宋体" w:cs="Times New Roman"/>
                <w:szCs w:val="20"/>
              </w:rPr>
              <w:t>UEs under high-velocity shall identify and measure cells on both serving and  non-serving carriers</w:t>
            </w:r>
          </w:p>
          <w:p w:rsidR="00765BE4" w:rsidRPr="00765BE4" w:rsidRDefault="00765BE4" w:rsidP="00765BE4">
            <w:pPr>
              <w:numPr>
                <w:ilvl w:val="1"/>
                <w:numId w:val="22"/>
              </w:numPr>
              <w:overflowPunct w:val="0"/>
              <w:autoSpaceDE w:val="0"/>
              <w:autoSpaceDN w:val="0"/>
              <w:adjustRightInd w:val="0"/>
              <w:spacing w:before="120" w:after="120" w:line="240" w:lineRule="auto"/>
              <w:textAlignment w:val="baseline"/>
              <w:rPr>
                <w:rFonts w:eastAsia="宋体" w:cs="Times New Roman"/>
                <w:szCs w:val="20"/>
              </w:rPr>
            </w:pPr>
            <w:r w:rsidRPr="00765BE4">
              <w:rPr>
                <w:rFonts w:eastAsia="宋体" w:cs="Times New Roman"/>
                <w:szCs w:val="20"/>
              </w:rPr>
              <w:t>FFS optimization of gap sharing allocation for high velocity UE</w:t>
            </w:r>
          </w:p>
          <w:p w:rsidR="00765BE4" w:rsidRPr="00765BE4" w:rsidRDefault="00765BE4" w:rsidP="00765BE4">
            <w:pPr>
              <w:numPr>
                <w:ilvl w:val="0"/>
                <w:numId w:val="22"/>
              </w:numPr>
              <w:overflowPunct w:val="0"/>
              <w:autoSpaceDE w:val="0"/>
              <w:autoSpaceDN w:val="0"/>
              <w:adjustRightInd w:val="0"/>
              <w:spacing w:before="120" w:after="120" w:line="240" w:lineRule="auto"/>
              <w:textAlignment w:val="baseline"/>
              <w:rPr>
                <w:rFonts w:eastAsia="宋体" w:cs="Times New Roman"/>
                <w:szCs w:val="20"/>
              </w:rPr>
            </w:pPr>
            <w:r w:rsidRPr="00765BE4">
              <w:rPr>
                <w:rFonts w:eastAsia="宋体" w:cs="Times New Roman"/>
                <w:b/>
                <w:bCs/>
                <w:szCs w:val="20"/>
                <w:u w:val="single"/>
              </w:rPr>
              <w:t>Information about high velocity operation</w:t>
            </w:r>
          </w:p>
          <w:p w:rsidR="00765BE4" w:rsidRPr="00765BE4" w:rsidRDefault="00765BE4" w:rsidP="00765BE4">
            <w:pPr>
              <w:numPr>
                <w:ilvl w:val="1"/>
                <w:numId w:val="22"/>
              </w:numPr>
              <w:overflowPunct w:val="0"/>
              <w:autoSpaceDE w:val="0"/>
              <w:autoSpaceDN w:val="0"/>
              <w:adjustRightInd w:val="0"/>
              <w:spacing w:before="120" w:after="120" w:line="240" w:lineRule="auto"/>
              <w:textAlignment w:val="baseline"/>
              <w:rPr>
                <w:rFonts w:eastAsia="宋体" w:cs="Times New Roman"/>
                <w:szCs w:val="20"/>
              </w:rPr>
            </w:pPr>
            <w:r w:rsidRPr="00765BE4">
              <w:rPr>
                <w:rFonts w:eastAsia="宋体" w:cs="Times New Roman"/>
                <w:szCs w:val="20"/>
              </w:rPr>
              <w:t>FFS whether it beneficial to inform  UEs about high velocity operation in a cell.</w:t>
            </w:r>
          </w:p>
        </w:tc>
      </w:tr>
    </w:tbl>
    <w:p w:rsidR="0047193A" w:rsidRDefault="00765BE4" w:rsidP="00765BE4">
      <w:pPr>
        <w:spacing w:before="120" w:after="120"/>
        <w:rPr>
          <w:lang w:val="en-GB"/>
        </w:rPr>
      </w:pPr>
      <w:r>
        <w:t>In RAN4#86, some further agreements were reached.</w:t>
      </w:r>
      <w:r w:rsidR="0047193A" w:rsidRPr="00765BE4">
        <w:rPr>
          <w:lang w:val="en-GB"/>
        </w:rPr>
        <w:t xml:space="preserve"> </w:t>
      </w:r>
    </w:p>
    <w:tbl>
      <w:tblPr>
        <w:tblStyle w:val="TableGrid"/>
        <w:tblW w:w="0" w:type="auto"/>
        <w:tblLook w:val="04A0" w:firstRow="1" w:lastRow="0" w:firstColumn="1" w:lastColumn="0" w:noHBand="0" w:noVBand="1"/>
      </w:tblPr>
      <w:tblGrid>
        <w:gridCol w:w="9617"/>
      </w:tblGrid>
      <w:tr w:rsidR="00765BE4" w:rsidTr="00765BE4">
        <w:tc>
          <w:tcPr>
            <w:tcW w:w="9617" w:type="dxa"/>
          </w:tcPr>
          <w:p w:rsidR="00A63A41" w:rsidRPr="00765BE4" w:rsidRDefault="00571305" w:rsidP="00765BE4">
            <w:pPr>
              <w:numPr>
                <w:ilvl w:val="1"/>
                <w:numId w:val="23"/>
              </w:numPr>
              <w:spacing w:before="120" w:after="120"/>
            </w:pPr>
            <w:r w:rsidRPr="00765BE4">
              <w:t>On gap sharing and higher-velocity operation</w:t>
            </w:r>
          </w:p>
          <w:p w:rsidR="00A63A41" w:rsidRPr="00765BE4" w:rsidRDefault="00571305" w:rsidP="00765BE4">
            <w:pPr>
              <w:numPr>
                <w:ilvl w:val="2"/>
                <w:numId w:val="23"/>
              </w:numPr>
              <w:spacing w:before="120" w:after="120"/>
            </w:pPr>
            <w:r w:rsidRPr="00765BE4">
              <w:t>Introduce a new measurement gap sharing table for eFeMTC UEs operating under higher velocity, and the values of the table are FFS.</w:t>
            </w:r>
          </w:p>
          <w:p w:rsidR="00A63A41" w:rsidRPr="00765BE4" w:rsidRDefault="00571305" w:rsidP="00765BE4">
            <w:pPr>
              <w:numPr>
                <w:ilvl w:val="2"/>
                <w:numId w:val="23"/>
              </w:numPr>
              <w:spacing w:before="120" w:after="120"/>
            </w:pPr>
            <w:r w:rsidRPr="00765BE4">
              <w:t>Inter-frequency requirements under higher-velocity operation are FFS.</w:t>
            </w:r>
          </w:p>
          <w:p w:rsidR="00765BE4" w:rsidRPr="00765BE4" w:rsidRDefault="00571305" w:rsidP="00765BE4">
            <w:pPr>
              <w:numPr>
                <w:ilvl w:val="2"/>
                <w:numId w:val="23"/>
              </w:numPr>
              <w:spacing w:before="120" w:after="120"/>
            </w:pPr>
            <w:r w:rsidRPr="00765BE4">
              <w:t xml:space="preserve">If higher-velocity indication is received by the efeMTC UE, the UE shall use the measurement gap sharing table associated with higher-velocity. </w:t>
            </w:r>
          </w:p>
        </w:tc>
      </w:tr>
    </w:tbl>
    <w:p w:rsidR="00765BE4" w:rsidRDefault="00765BE4" w:rsidP="00765BE4">
      <w:pPr>
        <w:spacing w:before="120" w:after="120"/>
        <w:rPr>
          <w:lang w:val="en-GB"/>
        </w:rPr>
      </w:pPr>
      <w:r>
        <w:rPr>
          <w:lang w:val="en-GB"/>
        </w:rPr>
        <w:t xml:space="preserve">The remaining open issues for this objective are </w:t>
      </w:r>
    </w:p>
    <w:p w:rsidR="00765BE4" w:rsidRDefault="00765BE4" w:rsidP="00765BE4">
      <w:pPr>
        <w:pStyle w:val="ListParagraph"/>
        <w:numPr>
          <w:ilvl w:val="0"/>
          <w:numId w:val="24"/>
        </w:numPr>
        <w:spacing w:before="120" w:after="120"/>
        <w:rPr>
          <w:lang w:val="en-GB"/>
        </w:rPr>
      </w:pPr>
      <w:r>
        <w:rPr>
          <w:lang w:val="en-GB"/>
        </w:rPr>
        <w:t xml:space="preserve">New gap sharing table for high speed </w:t>
      </w:r>
    </w:p>
    <w:p w:rsidR="00765BE4" w:rsidRDefault="00765BE4" w:rsidP="00765BE4">
      <w:pPr>
        <w:pStyle w:val="ListParagraph"/>
        <w:numPr>
          <w:ilvl w:val="0"/>
          <w:numId w:val="24"/>
        </w:numPr>
        <w:spacing w:before="120" w:after="120"/>
        <w:rPr>
          <w:lang w:val="en-GB"/>
        </w:rPr>
      </w:pPr>
      <w:r>
        <w:rPr>
          <w:lang w:val="en-GB"/>
        </w:rPr>
        <w:t xml:space="preserve">Inter-frequency requirements </w:t>
      </w:r>
    </w:p>
    <w:p w:rsidR="00765BE4" w:rsidRPr="00765BE4" w:rsidRDefault="00765BE4" w:rsidP="00765BE4">
      <w:pPr>
        <w:pStyle w:val="ListParagraph"/>
        <w:numPr>
          <w:ilvl w:val="0"/>
          <w:numId w:val="24"/>
        </w:numPr>
        <w:spacing w:before="120" w:after="120"/>
        <w:rPr>
          <w:lang w:val="en-GB"/>
        </w:rPr>
      </w:pPr>
      <w:r>
        <w:rPr>
          <w:lang w:val="en-GB"/>
        </w:rPr>
        <w:t>High speed indication</w:t>
      </w:r>
    </w:p>
    <w:p w:rsidR="00B71526" w:rsidRPr="00E92C17" w:rsidRDefault="00765BE4" w:rsidP="00E92C17">
      <w:pPr>
        <w:spacing w:before="120" w:after="120"/>
      </w:pPr>
      <w:r w:rsidRPr="00765BE4">
        <w:rPr>
          <w:lang w:val="en-GB"/>
        </w:rPr>
        <w:t>In this paper, we will provide our views on remaining issues for high speed support in efeMTC.</w:t>
      </w:r>
    </w:p>
    <w:p w:rsidR="0008612A" w:rsidRDefault="003B659E" w:rsidP="00660508">
      <w:pPr>
        <w:pStyle w:val="RAN4H1"/>
      </w:pPr>
      <w:r>
        <w:t>2</w:t>
      </w:r>
      <w:r w:rsidRPr="00841BCD">
        <w:tab/>
      </w:r>
      <w:r>
        <w:t>Discussion</w:t>
      </w:r>
    </w:p>
    <w:p w:rsidR="00765BE4" w:rsidRDefault="00765BE4" w:rsidP="00A147DB">
      <w:pPr>
        <w:spacing w:before="120" w:after="120"/>
      </w:pPr>
      <w:r>
        <w:t>In RAN4#86 it is agreed to introduce a new gap sharing table for high speed. The motivation is that the current gap sharing table can allocate up to 60% of gaps for intra-frequency measurement, while this may not be enough in high speed scenario to maintain a good intra-frequency measurement performance. On the other hand, it is also desirable to keep inter-frequency measurement, so the new sharing table should be characterized by larger allocation for intra-frequency measurement than 60%.</w:t>
      </w:r>
    </w:p>
    <w:p w:rsidR="00765BE4" w:rsidRDefault="00765BE4" w:rsidP="00A147DB">
      <w:pPr>
        <w:spacing w:before="120" w:after="120"/>
      </w:pPr>
      <w:r>
        <w:t xml:space="preserve">On the other hand, allocating a small share of gaps for inter-frequency measurement may not be meaningful for high speed scenario. Therefore, some balanced allocation options are also needed for the new sharing table, which can be used when network wants to prioritize inter-frequency measurement. </w:t>
      </w:r>
    </w:p>
    <w:p w:rsidR="0047193A" w:rsidRDefault="00765BE4" w:rsidP="00A147DB">
      <w:pPr>
        <w:spacing w:before="120" w:after="120"/>
      </w:pPr>
      <w:r>
        <w:lastRenderedPageBreak/>
        <w:t xml:space="preserve">Based on above analysis, our suggestion for the </w:t>
      </w:r>
      <w:r w:rsidR="00853E73">
        <w:t xml:space="preserve">values in </w:t>
      </w:r>
      <w:r>
        <w:t xml:space="preserve">gap sharing table for high speed </w:t>
      </w:r>
      <w:r w:rsidR="00853E73">
        <w:t xml:space="preserve">is: ‘equal split’, 50%, 75% and 90%. </w:t>
      </w:r>
    </w:p>
    <w:p w:rsidR="00853E73" w:rsidRDefault="00853E73" w:rsidP="00853E73">
      <w:pPr>
        <w:pStyle w:val="RAN4proposal"/>
      </w:pPr>
      <w:bookmarkStart w:id="3" w:name="_Ref510833570"/>
      <w:r>
        <w:t>Values in gap sharing table for high speed are ‘</w:t>
      </w:r>
      <w:r w:rsidRPr="00853E73">
        <w:t>equal split</w:t>
      </w:r>
      <w:r>
        <w:t>’</w:t>
      </w:r>
      <w:r w:rsidRPr="00853E73">
        <w:t>, 50%, 75% and 90%</w:t>
      </w:r>
      <w:r>
        <w:t>.</w:t>
      </w:r>
      <w:bookmarkEnd w:id="3"/>
    </w:p>
    <w:p w:rsidR="0086276B" w:rsidRDefault="00853E73" w:rsidP="00A147DB">
      <w:pPr>
        <w:spacing w:before="120" w:after="120"/>
      </w:pPr>
      <w:r>
        <w:t xml:space="preserve">For the detailed inter-frequency requirements, we do not see the need to change, since RAN4 has agreed to re-use the same intra-frequency requirements for Cat-M defined in Rel-13 and extend them to high speed scenarios. Inter-frequency requirements for Cat-M defined in in Rel-14 is very similar to intra-frequency requirements except the gap sharing factor. If current intra-frequency is considered to be enough for high speed scenarios, the inter-frequency requirement should also work. </w:t>
      </w:r>
    </w:p>
    <w:p w:rsidR="00853E73" w:rsidRDefault="00853E73" w:rsidP="00853E73">
      <w:pPr>
        <w:pStyle w:val="RAN4proposal"/>
      </w:pPr>
      <w:bookmarkStart w:id="4" w:name="_Ref510833571"/>
      <w:r>
        <w:t>Inter-frequency RRM requirements for Cat-M are reused for high speed scenario (applied for up to 220Hz Doppler spread).</w:t>
      </w:r>
      <w:bookmarkEnd w:id="4"/>
      <w:r>
        <w:t xml:space="preserve"> </w:t>
      </w:r>
    </w:p>
    <w:p w:rsidR="00686FE1" w:rsidRDefault="00853E73" w:rsidP="00894533">
      <w:pPr>
        <w:spacing w:before="120" w:after="120"/>
      </w:pPr>
      <w:r>
        <w:t>The last issue is the indication of high speed scenario. In Rel-14 HST WI, a cell level high speed indicator is introduced, which is used to control whether UE applies the normal RRM requirements or the high speed enhanced requirements</w:t>
      </w:r>
      <w:r w:rsidR="00894533">
        <w:t>.</w:t>
      </w:r>
      <w:r w:rsidR="00686FE1">
        <w:t xml:space="preserve"> This indication could be used e.g. in a cell deployed along the railway track. </w:t>
      </w:r>
    </w:p>
    <w:p w:rsidR="00686FE1" w:rsidRDefault="00686FE1" w:rsidP="00894533">
      <w:pPr>
        <w:spacing w:before="120" w:after="120"/>
      </w:pPr>
      <w:r>
        <w:t xml:space="preserve">In our view, the same approach can be reused, since a cell level indication can help to save a lot of signaling overhead compared to UE dedicated indication, and the main scenario for the high speed support in efeMTC is the high way scenario, so a cell level control could be reasonable. </w:t>
      </w:r>
    </w:p>
    <w:p w:rsidR="00894533" w:rsidRDefault="00686FE1" w:rsidP="00894533">
      <w:pPr>
        <w:spacing w:before="120" w:after="120"/>
      </w:pPr>
      <w:r>
        <w:t xml:space="preserve">The next question is whether the same signaling from Rel-14 HST WI is re-used, or a new signaling for efeMTC UEs is introduced. In our view, a new signaling is better since the targeted use case and UEs are different. If same signaling is used, it could happen that some normal category UEs in normal speed may be required to apply the high speed requirements just because there are high speed efeMTC UEs. </w:t>
      </w:r>
    </w:p>
    <w:p w:rsidR="0047193A" w:rsidRDefault="00686FE1" w:rsidP="00894533">
      <w:pPr>
        <w:pStyle w:val="RAN4proposal"/>
      </w:pPr>
      <w:bookmarkStart w:id="5" w:name="_Ref510831736"/>
      <w:r>
        <w:t>A new cell level high speed indication is introduced to control which gap sharing table efeMTC UE should use</w:t>
      </w:r>
      <w:r w:rsidR="00894533">
        <w:t>.</w:t>
      </w:r>
      <w:bookmarkEnd w:id="5"/>
    </w:p>
    <w:p w:rsidR="00CD7492" w:rsidRDefault="00CD7492" w:rsidP="0008612A">
      <w:pPr>
        <w:pStyle w:val="RAN4H1"/>
      </w:pPr>
      <w:r>
        <w:t>3</w:t>
      </w:r>
      <w:r>
        <w:tab/>
        <w:t>Conclusion</w:t>
      </w:r>
    </w:p>
    <w:p w:rsidR="00516134" w:rsidRDefault="00516134" w:rsidP="00516134">
      <w:r w:rsidRPr="00516134">
        <w:t xml:space="preserve">In </w:t>
      </w:r>
      <w:r>
        <w:t xml:space="preserve">this paper we provided </w:t>
      </w:r>
      <w:r w:rsidR="000B0B3C">
        <w:t xml:space="preserve">our </w:t>
      </w:r>
      <w:r>
        <w:t xml:space="preserve">views on </w:t>
      </w:r>
      <w:r w:rsidR="00686FE1">
        <w:t>the high speed support for efeMTC</w:t>
      </w:r>
      <w:r w:rsidRPr="00516134">
        <w:t>.</w:t>
      </w:r>
    </w:p>
    <w:p w:rsidR="00686FE1" w:rsidRPr="00686FE1" w:rsidRDefault="00686FE1" w:rsidP="00516134">
      <w:pPr>
        <w:rPr>
          <w:b/>
        </w:rPr>
      </w:pPr>
      <w:r w:rsidRPr="00686FE1">
        <w:rPr>
          <w:b/>
        </w:rPr>
        <w:fldChar w:fldCharType="begin"/>
      </w:r>
      <w:r w:rsidRPr="00686FE1">
        <w:rPr>
          <w:b/>
        </w:rPr>
        <w:instrText xml:space="preserve"> REF _Ref510833570 \r \h </w:instrText>
      </w:r>
      <w:r>
        <w:rPr>
          <w:b/>
        </w:rPr>
        <w:instrText xml:space="preserve"> \* MERGEFORMAT </w:instrText>
      </w:r>
      <w:r w:rsidRPr="00686FE1">
        <w:rPr>
          <w:b/>
        </w:rPr>
      </w:r>
      <w:r w:rsidRPr="00686FE1">
        <w:rPr>
          <w:b/>
        </w:rPr>
        <w:fldChar w:fldCharType="separate"/>
      </w:r>
      <w:r w:rsidRPr="00686FE1">
        <w:rPr>
          <w:b/>
        </w:rPr>
        <w:t>Proposal 1:</w:t>
      </w:r>
      <w:r w:rsidRPr="00686FE1">
        <w:rPr>
          <w:b/>
        </w:rPr>
        <w:fldChar w:fldCharType="end"/>
      </w:r>
      <w:r w:rsidRPr="00686FE1">
        <w:rPr>
          <w:b/>
        </w:rPr>
        <w:t xml:space="preserve"> </w:t>
      </w:r>
      <w:r w:rsidRPr="00686FE1">
        <w:rPr>
          <w:b/>
        </w:rPr>
        <w:fldChar w:fldCharType="begin"/>
      </w:r>
      <w:r w:rsidRPr="00686FE1">
        <w:rPr>
          <w:b/>
        </w:rPr>
        <w:instrText xml:space="preserve"> REF _Ref510833570 \h </w:instrText>
      </w:r>
      <w:r>
        <w:rPr>
          <w:b/>
        </w:rPr>
        <w:instrText xml:space="preserve"> \* MERGEFORMAT </w:instrText>
      </w:r>
      <w:r w:rsidRPr="00686FE1">
        <w:rPr>
          <w:b/>
        </w:rPr>
      </w:r>
      <w:r w:rsidRPr="00686FE1">
        <w:rPr>
          <w:b/>
        </w:rPr>
        <w:fldChar w:fldCharType="separate"/>
      </w:r>
      <w:r w:rsidRPr="00686FE1">
        <w:rPr>
          <w:b/>
        </w:rPr>
        <w:t>Values in gap sharing table for high speed are ‘equal split’, 50%, 75% and 90%.</w:t>
      </w:r>
      <w:r w:rsidRPr="00686FE1">
        <w:rPr>
          <w:b/>
        </w:rPr>
        <w:fldChar w:fldCharType="end"/>
      </w:r>
    </w:p>
    <w:p w:rsidR="00686FE1" w:rsidRPr="00686FE1" w:rsidRDefault="00686FE1" w:rsidP="00516134">
      <w:pPr>
        <w:rPr>
          <w:b/>
        </w:rPr>
      </w:pPr>
      <w:r w:rsidRPr="00686FE1">
        <w:rPr>
          <w:b/>
        </w:rPr>
        <w:fldChar w:fldCharType="begin"/>
      </w:r>
      <w:r w:rsidRPr="00686FE1">
        <w:rPr>
          <w:b/>
        </w:rPr>
        <w:instrText xml:space="preserve"> REF _Ref510833571 \r \h </w:instrText>
      </w:r>
      <w:r>
        <w:rPr>
          <w:b/>
        </w:rPr>
        <w:instrText xml:space="preserve"> \* MERGEFORMAT </w:instrText>
      </w:r>
      <w:r w:rsidRPr="00686FE1">
        <w:rPr>
          <w:b/>
        </w:rPr>
      </w:r>
      <w:r w:rsidRPr="00686FE1">
        <w:rPr>
          <w:b/>
        </w:rPr>
        <w:fldChar w:fldCharType="separate"/>
      </w:r>
      <w:r w:rsidRPr="00686FE1">
        <w:rPr>
          <w:b/>
        </w:rPr>
        <w:t>Proposal 2:</w:t>
      </w:r>
      <w:r w:rsidRPr="00686FE1">
        <w:rPr>
          <w:b/>
        </w:rPr>
        <w:fldChar w:fldCharType="end"/>
      </w:r>
      <w:r w:rsidRPr="00686FE1">
        <w:rPr>
          <w:b/>
        </w:rPr>
        <w:t xml:space="preserve"> </w:t>
      </w:r>
      <w:r w:rsidRPr="00686FE1">
        <w:rPr>
          <w:b/>
        </w:rPr>
        <w:fldChar w:fldCharType="begin"/>
      </w:r>
      <w:r w:rsidRPr="00686FE1">
        <w:rPr>
          <w:b/>
        </w:rPr>
        <w:instrText xml:space="preserve"> REF _Ref510833571 \h </w:instrText>
      </w:r>
      <w:r>
        <w:rPr>
          <w:b/>
        </w:rPr>
        <w:instrText xml:space="preserve"> \* MERGEFORMAT </w:instrText>
      </w:r>
      <w:r w:rsidRPr="00686FE1">
        <w:rPr>
          <w:b/>
        </w:rPr>
      </w:r>
      <w:r w:rsidRPr="00686FE1">
        <w:rPr>
          <w:b/>
        </w:rPr>
        <w:fldChar w:fldCharType="separate"/>
      </w:r>
      <w:r w:rsidRPr="00686FE1">
        <w:rPr>
          <w:b/>
        </w:rPr>
        <w:t>Inter-frequency RRM requirements for Cat-M are reused for high speed scenario (applied for up to 220Hz Doppler spread).</w:t>
      </w:r>
      <w:r w:rsidRPr="00686FE1">
        <w:rPr>
          <w:b/>
        </w:rPr>
        <w:fldChar w:fldCharType="end"/>
      </w:r>
    </w:p>
    <w:p w:rsidR="00686FE1" w:rsidRPr="00686FE1" w:rsidRDefault="00686FE1" w:rsidP="00516134">
      <w:pPr>
        <w:rPr>
          <w:b/>
        </w:rPr>
      </w:pPr>
      <w:r w:rsidRPr="00686FE1">
        <w:rPr>
          <w:b/>
        </w:rPr>
        <w:fldChar w:fldCharType="begin"/>
      </w:r>
      <w:r w:rsidRPr="00686FE1">
        <w:rPr>
          <w:b/>
        </w:rPr>
        <w:instrText xml:space="preserve"> REF _Ref510831736 \r \h </w:instrText>
      </w:r>
      <w:r>
        <w:rPr>
          <w:b/>
        </w:rPr>
        <w:instrText xml:space="preserve"> \* MERGEFORMAT </w:instrText>
      </w:r>
      <w:r w:rsidRPr="00686FE1">
        <w:rPr>
          <w:b/>
        </w:rPr>
      </w:r>
      <w:r w:rsidRPr="00686FE1">
        <w:rPr>
          <w:b/>
        </w:rPr>
        <w:fldChar w:fldCharType="separate"/>
      </w:r>
      <w:r w:rsidRPr="00686FE1">
        <w:rPr>
          <w:b/>
        </w:rPr>
        <w:t>Proposal 3:</w:t>
      </w:r>
      <w:r w:rsidRPr="00686FE1">
        <w:rPr>
          <w:b/>
        </w:rPr>
        <w:fldChar w:fldCharType="end"/>
      </w:r>
      <w:r w:rsidRPr="00686FE1">
        <w:rPr>
          <w:b/>
        </w:rPr>
        <w:t xml:space="preserve"> </w:t>
      </w:r>
      <w:r w:rsidRPr="00686FE1">
        <w:rPr>
          <w:b/>
        </w:rPr>
        <w:fldChar w:fldCharType="begin"/>
      </w:r>
      <w:r w:rsidRPr="00686FE1">
        <w:rPr>
          <w:b/>
        </w:rPr>
        <w:instrText xml:space="preserve"> REF _Ref510831736 \h </w:instrText>
      </w:r>
      <w:r>
        <w:rPr>
          <w:b/>
        </w:rPr>
        <w:instrText xml:space="preserve"> \* MERGEFORMAT </w:instrText>
      </w:r>
      <w:r w:rsidRPr="00686FE1">
        <w:rPr>
          <w:b/>
        </w:rPr>
      </w:r>
      <w:r w:rsidRPr="00686FE1">
        <w:rPr>
          <w:b/>
        </w:rPr>
        <w:fldChar w:fldCharType="separate"/>
      </w:r>
      <w:r w:rsidRPr="00686FE1">
        <w:rPr>
          <w:b/>
        </w:rPr>
        <w:t>A new cell level high speed indication is introduced to control which gap sharing table efeMTC UE should use.</w:t>
      </w:r>
      <w:r w:rsidRPr="00686FE1">
        <w:rPr>
          <w:b/>
        </w:rPr>
        <w:fldChar w:fldCharType="end"/>
      </w:r>
    </w:p>
    <w:p w:rsidR="00504EE9" w:rsidRPr="00863688" w:rsidRDefault="003B659E" w:rsidP="00863688">
      <w:pPr>
        <w:pStyle w:val="RAN4H1"/>
      </w:pPr>
      <w:r w:rsidRPr="0095295C">
        <w:t>References</w:t>
      </w:r>
    </w:p>
    <w:p w:rsidR="00687FA0" w:rsidRPr="009773C2" w:rsidRDefault="009773C2" w:rsidP="009773C2">
      <w:pPr>
        <w:numPr>
          <w:ilvl w:val="0"/>
          <w:numId w:val="1"/>
        </w:numPr>
        <w:overflowPunct w:val="0"/>
        <w:autoSpaceDE w:val="0"/>
        <w:autoSpaceDN w:val="0"/>
        <w:adjustRightInd w:val="0"/>
        <w:spacing w:after="120"/>
        <w:ind w:right="-22"/>
        <w:jc w:val="both"/>
      </w:pPr>
      <w:r w:rsidRPr="009773C2">
        <w:rPr>
          <w:lang w:val="sv-SE"/>
        </w:rPr>
        <w:t>R4-1803487</w:t>
      </w:r>
      <w:r>
        <w:rPr>
          <w:lang w:val="sv-SE"/>
        </w:rPr>
        <w:t xml:space="preserve">, </w:t>
      </w:r>
      <w:r w:rsidRPr="009773C2">
        <w:rPr>
          <w:lang w:val="sv-SE"/>
        </w:rPr>
        <w:t xml:space="preserve">Way forward </w:t>
      </w:r>
      <w:r w:rsidRPr="009773C2">
        <w:t>on higher velocity UE RRM requirements</w:t>
      </w:r>
      <w:r>
        <w:t xml:space="preserve">, </w:t>
      </w:r>
      <w:r w:rsidRPr="009773C2">
        <w:t>Huawei, HiSilicon, Ericsson, Nokia, Nokia Shanghai Bell</w:t>
      </w:r>
      <w:bookmarkStart w:id="6" w:name="_GoBack"/>
      <w:bookmarkEnd w:id="6"/>
    </w:p>
    <w:sectPr w:rsidR="00687FA0" w:rsidRPr="009773C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4FFB" w:rsidRDefault="003E4FFB" w:rsidP="00001C9B">
      <w:pPr>
        <w:spacing w:after="0" w:line="240" w:lineRule="auto"/>
      </w:pPr>
      <w:r>
        <w:separator/>
      </w:r>
    </w:p>
  </w:endnote>
  <w:endnote w:type="continuationSeparator" w:id="0">
    <w:p w:rsidR="003E4FFB" w:rsidRDefault="003E4FF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4FFB" w:rsidRDefault="003E4FFB" w:rsidP="00001C9B">
      <w:pPr>
        <w:spacing w:after="0" w:line="240" w:lineRule="auto"/>
      </w:pPr>
      <w:r>
        <w:separator/>
      </w:r>
    </w:p>
  </w:footnote>
  <w:footnote w:type="continuationSeparator" w:id="0">
    <w:p w:rsidR="003E4FFB" w:rsidRDefault="003E4FF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E77FE"/>
    <w:multiLevelType w:val="hybridMultilevel"/>
    <w:tmpl w:val="4C8E60B2"/>
    <w:lvl w:ilvl="0" w:tplc="4A949A5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FB4"/>
    <w:multiLevelType w:val="hybridMultilevel"/>
    <w:tmpl w:val="87C8778A"/>
    <w:lvl w:ilvl="0" w:tplc="4EFA28BC">
      <w:start w:val="1"/>
      <w:numFmt w:val="bullet"/>
      <w:lvlText w:val="•"/>
      <w:lvlJc w:val="left"/>
      <w:pPr>
        <w:tabs>
          <w:tab w:val="num" w:pos="720"/>
        </w:tabs>
        <w:ind w:left="720" w:hanging="360"/>
      </w:pPr>
      <w:rPr>
        <w:rFonts w:ascii="Arial" w:hAnsi="Arial" w:hint="default"/>
      </w:rPr>
    </w:lvl>
    <w:lvl w:ilvl="1" w:tplc="0D4A49EC" w:tentative="1">
      <w:start w:val="1"/>
      <w:numFmt w:val="bullet"/>
      <w:lvlText w:val="•"/>
      <w:lvlJc w:val="left"/>
      <w:pPr>
        <w:tabs>
          <w:tab w:val="num" w:pos="1440"/>
        </w:tabs>
        <w:ind w:left="1440" w:hanging="360"/>
      </w:pPr>
      <w:rPr>
        <w:rFonts w:ascii="Arial" w:hAnsi="Arial" w:hint="default"/>
      </w:rPr>
    </w:lvl>
    <w:lvl w:ilvl="2" w:tplc="55668FBA" w:tentative="1">
      <w:start w:val="1"/>
      <w:numFmt w:val="bullet"/>
      <w:lvlText w:val="•"/>
      <w:lvlJc w:val="left"/>
      <w:pPr>
        <w:tabs>
          <w:tab w:val="num" w:pos="2160"/>
        </w:tabs>
        <w:ind w:left="2160" w:hanging="360"/>
      </w:pPr>
      <w:rPr>
        <w:rFonts w:ascii="Arial" w:hAnsi="Arial" w:hint="default"/>
      </w:rPr>
    </w:lvl>
    <w:lvl w:ilvl="3" w:tplc="724E9F26" w:tentative="1">
      <w:start w:val="1"/>
      <w:numFmt w:val="bullet"/>
      <w:lvlText w:val="•"/>
      <w:lvlJc w:val="left"/>
      <w:pPr>
        <w:tabs>
          <w:tab w:val="num" w:pos="2880"/>
        </w:tabs>
        <w:ind w:left="2880" w:hanging="360"/>
      </w:pPr>
      <w:rPr>
        <w:rFonts w:ascii="Arial" w:hAnsi="Arial" w:hint="default"/>
      </w:rPr>
    </w:lvl>
    <w:lvl w:ilvl="4" w:tplc="03DC5EA4" w:tentative="1">
      <w:start w:val="1"/>
      <w:numFmt w:val="bullet"/>
      <w:lvlText w:val="•"/>
      <w:lvlJc w:val="left"/>
      <w:pPr>
        <w:tabs>
          <w:tab w:val="num" w:pos="3600"/>
        </w:tabs>
        <w:ind w:left="3600" w:hanging="360"/>
      </w:pPr>
      <w:rPr>
        <w:rFonts w:ascii="Arial" w:hAnsi="Arial" w:hint="default"/>
      </w:rPr>
    </w:lvl>
    <w:lvl w:ilvl="5" w:tplc="445C03A2" w:tentative="1">
      <w:start w:val="1"/>
      <w:numFmt w:val="bullet"/>
      <w:lvlText w:val="•"/>
      <w:lvlJc w:val="left"/>
      <w:pPr>
        <w:tabs>
          <w:tab w:val="num" w:pos="4320"/>
        </w:tabs>
        <w:ind w:left="4320" w:hanging="360"/>
      </w:pPr>
      <w:rPr>
        <w:rFonts w:ascii="Arial" w:hAnsi="Arial" w:hint="default"/>
      </w:rPr>
    </w:lvl>
    <w:lvl w:ilvl="6" w:tplc="D430BCFE" w:tentative="1">
      <w:start w:val="1"/>
      <w:numFmt w:val="bullet"/>
      <w:lvlText w:val="•"/>
      <w:lvlJc w:val="left"/>
      <w:pPr>
        <w:tabs>
          <w:tab w:val="num" w:pos="5040"/>
        </w:tabs>
        <w:ind w:left="5040" w:hanging="360"/>
      </w:pPr>
      <w:rPr>
        <w:rFonts w:ascii="Arial" w:hAnsi="Arial" w:hint="default"/>
      </w:rPr>
    </w:lvl>
    <w:lvl w:ilvl="7" w:tplc="07221A96" w:tentative="1">
      <w:start w:val="1"/>
      <w:numFmt w:val="bullet"/>
      <w:lvlText w:val="•"/>
      <w:lvlJc w:val="left"/>
      <w:pPr>
        <w:tabs>
          <w:tab w:val="num" w:pos="5760"/>
        </w:tabs>
        <w:ind w:left="5760" w:hanging="360"/>
      </w:pPr>
      <w:rPr>
        <w:rFonts w:ascii="Arial" w:hAnsi="Arial" w:hint="default"/>
      </w:rPr>
    </w:lvl>
    <w:lvl w:ilvl="8" w:tplc="4118C6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D61FCE"/>
    <w:multiLevelType w:val="hybridMultilevel"/>
    <w:tmpl w:val="AE4ADA84"/>
    <w:lvl w:ilvl="0" w:tplc="869A60B6">
      <w:start w:val="1"/>
      <w:numFmt w:val="bullet"/>
      <w:lvlText w:val="•"/>
      <w:lvlJc w:val="left"/>
      <w:pPr>
        <w:tabs>
          <w:tab w:val="num" w:pos="720"/>
        </w:tabs>
        <w:ind w:left="720" w:hanging="360"/>
      </w:pPr>
      <w:rPr>
        <w:rFonts w:ascii="Arial" w:hAnsi="Arial" w:hint="default"/>
      </w:rPr>
    </w:lvl>
    <w:lvl w:ilvl="1" w:tplc="AD52AF82">
      <w:numFmt w:val="bullet"/>
      <w:lvlText w:val="–"/>
      <w:lvlJc w:val="left"/>
      <w:pPr>
        <w:tabs>
          <w:tab w:val="num" w:pos="1440"/>
        </w:tabs>
        <w:ind w:left="1440" w:hanging="360"/>
      </w:pPr>
      <w:rPr>
        <w:rFonts w:ascii="Arial" w:hAnsi="Arial" w:hint="default"/>
      </w:rPr>
    </w:lvl>
    <w:lvl w:ilvl="2" w:tplc="A2D451EC">
      <w:numFmt w:val="bullet"/>
      <w:lvlText w:val="•"/>
      <w:lvlJc w:val="left"/>
      <w:pPr>
        <w:tabs>
          <w:tab w:val="num" w:pos="2160"/>
        </w:tabs>
        <w:ind w:left="2160" w:hanging="360"/>
      </w:pPr>
      <w:rPr>
        <w:rFonts w:ascii="Arial" w:hAnsi="Arial" w:hint="default"/>
      </w:rPr>
    </w:lvl>
    <w:lvl w:ilvl="3" w:tplc="50B0F5EC" w:tentative="1">
      <w:start w:val="1"/>
      <w:numFmt w:val="bullet"/>
      <w:lvlText w:val="•"/>
      <w:lvlJc w:val="left"/>
      <w:pPr>
        <w:tabs>
          <w:tab w:val="num" w:pos="2880"/>
        </w:tabs>
        <w:ind w:left="2880" w:hanging="360"/>
      </w:pPr>
      <w:rPr>
        <w:rFonts w:ascii="Arial" w:hAnsi="Arial" w:hint="default"/>
      </w:rPr>
    </w:lvl>
    <w:lvl w:ilvl="4" w:tplc="E4D2E328" w:tentative="1">
      <w:start w:val="1"/>
      <w:numFmt w:val="bullet"/>
      <w:lvlText w:val="•"/>
      <w:lvlJc w:val="left"/>
      <w:pPr>
        <w:tabs>
          <w:tab w:val="num" w:pos="3600"/>
        </w:tabs>
        <w:ind w:left="3600" w:hanging="360"/>
      </w:pPr>
      <w:rPr>
        <w:rFonts w:ascii="Arial" w:hAnsi="Arial" w:hint="default"/>
      </w:rPr>
    </w:lvl>
    <w:lvl w:ilvl="5" w:tplc="FDCAB7DE" w:tentative="1">
      <w:start w:val="1"/>
      <w:numFmt w:val="bullet"/>
      <w:lvlText w:val="•"/>
      <w:lvlJc w:val="left"/>
      <w:pPr>
        <w:tabs>
          <w:tab w:val="num" w:pos="4320"/>
        </w:tabs>
        <w:ind w:left="4320" w:hanging="360"/>
      </w:pPr>
      <w:rPr>
        <w:rFonts w:ascii="Arial" w:hAnsi="Arial" w:hint="default"/>
      </w:rPr>
    </w:lvl>
    <w:lvl w:ilvl="6" w:tplc="4F8E5A7E" w:tentative="1">
      <w:start w:val="1"/>
      <w:numFmt w:val="bullet"/>
      <w:lvlText w:val="•"/>
      <w:lvlJc w:val="left"/>
      <w:pPr>
        <w:tabs>
          <w:tab w:val="num" w:pos="5040"/>
        </w:tabs>
        <w:ind w:left="5040" w:hanging="360"/>
      </w:pPr>
      <w:rPr>
        <w:rFonts w:ascii="Arial" w:hAnsi="Arial" w:hint="default"/>
      </w:rPr>
    </w:lvl>
    <w:lvl w:ilvl="7" w:tplc="E532710E" w:tentative="1">
      <w:start w:val="1"/>
      <w:numFmt w:val="bullet"/>
      <w:lvlText w:val="•"/>
      <w:lvlJc w:val="left"/>
      <w:pPr>
        <w:tabs>
          <w:tab w:val="num" w:pos="5760"/>
        </w:tabs>
        <w:ind w:left="5760" w:hanging="360"/>
      </w:pPr>
      <w:rPr>
        <w:rFonts w:ascii="Arial" w:hAnsi="Arial" w:hint="default"/>
      </w:rPr>
    </w:lvl>
    <w:lvl w:ilvl="8" w:tplc="C88C3DE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E66BE6"/>
    <w:multiLevelType w:val="hybridMultilevel"/>
    <w:tmpl w:val="5A665D62"/>
    <w:lvl w:ilvl="0" w:tplc="01D6D56A">
      <w:start w:val="1"/>
      <w:numFmt w:val="bullet"/>
      <w:lvlText w:val=""/>
      <w:lvlJc w:val="left"/>
      <w:pPr>
        <w:tabs>
          <w:tab w:val="num" w:pos="720"/>
        </w:tabs>
        <w:ind w:left="720" w:hanging="360"/>
      </w:pPr>
      <w:rPr>
        <w:rFonts w:ascii="Wingdings" w:hAnsi="Wingdings" w:hint="default"/>
      </w:rPr>
    </w:lvl>
    <w:lvl w:ilvl="1" w:tplc="F2BCDC3E">
      <w:start w:val="1"/>
      <w:numFmt w:val="bullet"/>
      <w:lvlText w:val=""/>
      <w:lvlJc w:val="left"/>
      <w:pPr>
        <w:tabs>
          <w:tab w:val="num" w:pos="1440"/>
        </w:tabs>
        <w:ind w:left="1440" w:hanging="360"/>
      </w:pPr>
      <w:rPr>
        <w:rFonts w:ascii="Wingdings" w:hAnsi="Wingdings" w:hint="default"/>
      </w:rPr>
    </w:lvl>
    <w:lvl w:ilvl="2" w:tplc="F036042A" w:tentative="1">
      <w:start w:val="1"/>
      <w:numFmt w:val="bullet"/>
      <w:lvlText w:val=""/>
      <w:lvlJc w:val="left"/>
      <w:pPr>
        <w:tabs>
          <w:tab w:val="num" w:pos="2160"/>
        </w:tabs>
        <w:ind w:left="2160" w:hanging="360"/>
      </w:pPr>
      <w:rPr>
        <w:rFonts w:ascii="Wingdings" w:hAnsi="Wingdings" w:hint="default"/>
      </w:rPr>
    </w:lvl>
    <w:lvl w:ilvl="3" w:tplc="2732F93C" w:tentative="1">
      <w:start w:val="1"/>
      <w:numFmt w:val="bullet"/>
      <w:lvlText w:val=""/>
      <w:lvlJc w:val="left"/>
      <w:pPr>
        <w:tabs>
          <w:tab w:val="num" w:pos="2880"/>
        </w:tabs>
        <w:ind w:left="2880" w:hanging="360"/>
      </w:pPr>
      <w:rPr>
        <w:rFonts w:ascii="Wingdings" w:hAnsi="Wingdings" w:hint="default"/>
      </w:rPr>
    </w:lvl>
    <w:lvl w:ilvl="4" w:tplc="3B00E4F8" w:tentative="1">
      <w:start w:val="1"/>
      <w:numFmt w:val="bullet"/>
      <w:lvlText w:val=""/>
      <w:lvlJc w:val="left"/>
      <w:pPr>
        <w:tabs>
          <w:tab w:val="num" w:pos="3600"/>
        </w:tabs>
        <w:ind w:left="3600" w:hanging="360"/>
      </w:pPr>
      <w:rPr>
        <w:rFonts w:ascii="Wingdings" w:hAnsi="Wingdings" w:hint="default"/>
      </w:rPr>
    </w:lvl>
    <w:lvl w:ilvl="5" w:tplc="B79436C0" w:tentative="1">
      <w:start w:val="1"/>
      <w:numFmt w:val="bullet"/>
      <w:lvlText w:val=""/>
      <w:lvlJc w:val="left"/>
      <w:pPr>
        <w:tabs>
          <w:tab w:val="num" w:pos="4320"/>
        </w:tabs>
        <w:ind w:left="4320" w:hanging="360"/>
      </w:pPr>
      <w:rPr>
        <w:rFonts w:ascii="Wingdings" w:hAnsi="Wingdings" w:hint="default"/>
      </w:rPr>
    </w:lvl>
    <w:lvl w:ilvl="6" w:tplc="CF688048" w:tentative="1">
      <w:start w:val="1"/>
      <w:numFmt w:val="bullet"/>
      <w:lvlText w:val=""/>
      <w:lvlJc w:val="left"/>
      <w:pPr>
        <w:tabs>
          <w:tab w:val="num" w:pos="5040"/>
        </w:tabs>
        <w:ind w:left="5040" w:hanging="360"/>
      </w:pPr>
      <w:rPr>
        <w:rFonts w:ascii="Wingdings" w:hAnsi="Wingdings" w:hint="default"/>
      </w:rPr>
    </w:lvl>
    <w:lvl w:ilvl="7" w:tplc="B0821D60" w:tentative="1">
      <w:start w:val="1"/>
      <w:numFmt w:val="bullet"/>
      <w:lvlText w:val=""/>
      <w:lvlJc w:val="left"/>
      <w:pPr>
        <w:tabs>
          <w:tab w:val="num" w:pos="5760"/>
        </w:tabs>
        <w:ind w:left="5760" w:hanging="360"/>
      </w:pPr>
      <w:rPr>
        <w:rFonts w:ascii="Wingdings" w:hAnsi="Wingdings" w:hint="default"/>
      </w:rPr>
    </w:lvl>
    <w:lvl w:ilvl="8" w:tplc="4484FD6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97658D"/>
    <w:multiLevelType w:val="hybridMultilevel"/>
    <w:tmpl w:val="E00E0774"/>
    <w:lvl w:ilvl="0" w:tplc="0820FEC2">
      <w:start w:val="175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6B43B9D"/>
    <w:multiLevelType w:val="hybridMultilevel"/>
    <w:tmpl w:val="15B63212"/>
    <w:lvl w:ilvl="0" w:tplc="CFB4D77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C525A9"/>
    <w:multiLevelType w:val="hybridMultilevel"/>
    <w:tmpl w:val="09BCF352"/>
    <w:lvl w:ilvl="0" w:tplc="43268952">
      <w:start w:val="1"/>
      <w:numFmt w:val="bullet"/>
      <w:lvlText w:val="–"/>
      <w:lvlJc w:val="left"/>
      <w:pPr>
        <w:tabs>
          <w:tab w:val="num" w:pos="720"/>
        </w:tabs>
        <w:ind w:left="720" w:hanging="360"/>
      </w:pPr>
      <w:rPr>
        <w:rFonts w:ascii="Arial" w:hAnsi="Arial" w:hint="default"/>
      </w:rPr>
    </w:lvl>
    <w:lvl w:ilvl="1" w:tplc="B6B49626">
      <w:start w:val="1"/>
      <w:numFmt w:val="bullet"/>
      <w:lvlText w:val="–"/>
      <w:lvlJc w:val="left"/>
      <w:pPr>
        <w:tabs>
          <w:tab w:val="num" w:pos="1440"/>
        </w:tabs>
        <w:ind w:left="1440" w:hanging="360"/>
      </w:pPr>
      <w:rPr>
        <w:rFonts w:ascii="Arial" w:hAnsi="Arial" w:hint="default"/>
      </w:rPr>
    </w:lvl>
    <w:lvl w:ilvl="2" w:tplc="C9E86778">
      <w:numFmt w:val="bullet"/>
      <w:lvlText w:val="•"/>
      <w:lvlJc w:val="left"/>
      <w:pPr>
        <w:tabs>
          <w:tab w:val="num" w:pos="2160"/>
        </w:tabs>
        <w:ind w:left="2160" w:hanging="360"/>
      </w:pPr>
      <w:rPr>
        <w:rFonts w:ascii="Arial" w:hAnsi="Arial" w:hint="default"/>
      </w:rPr>
    </w:lvl>
    <w:lvl w:ilvl="3" w:tplc="E23809DA" w:tentative="1">
      <w:start w:val="1"/>
      <w:numFmt w:val="bullet"/>
      <w:lvlText w:val="–"/>
      <w:lvlJc w:val="left"/>
      <w:pPr>
        <w:tabs>
          <w:tab w:val="num" w:pos="2880"/>
        </w:tabs>
        <w:ind w:left="2880" w:hanging="360"/>
      </w:pPr>
      <w:rPr>
        <w:rFonts w:ascii="Arial" w:hAnsi="Arial" w:hint="default"/>
      </w:rPr>
    </w:lvl>
    <w:lvl w:ilvl="4" w:tplc="346EE00A" w:tentative="1">
      <w:start w:val="1"/>
      <w:numFmt w:val="bullet"/>
      <w:lvlText w:val="–"/>
      <w:lvlJc w:val="left"/>
      <w:pPr>
        <w:tabs>
          <w:tab w:val="num" w:pos="3600"/>
        </w:tabs>
        <w:ind w:left="3600" w:hanging="360"/>
      </w:pPr>
      <w:rPr>
        <w:rFonts w:ascii="Arial" w:hAnsi="Arial" w:hint="default"/>
      </w:rPr>
    </w:lvl>
    <w:lvl w:ilvl="5" w:tplc="7F12654A" w:tentative="1">
      <w:start w:val="1"/>
      <w:numFmt w:val="bullet"/>
      <w:lvlText w:val="–"/>
      <w:lvlJc w:val="left"/>
      <w:pPr>
        <w:tabs>
          <w:tab w:val="num" w:pos="4320"/>
        </w:tabs>
        <w:ind w:left="4320" w:hanging="360"/>
      </w:pPr>
      <w:rPr>
        <w:rFonts w:ascii="Arial" w:hAnsi="Arial" w:hint="default"/>
      </w:rPr>
    </w:lvl>
    <w:lvl w:ilvl="6" w:tplc="247641EC" w:tentative="1">
      <w:start w:val="1"/>
      <w:numFmt w:val="bullet"/>
      <w:lvlText w:val="–"/>
      <w:lvlJc w:val="left"/>
      <w:pPr>
        <w:tabs>
          <w:tab w:val="num" w:pos="5040"/>
        </w:tabs>
        <w:ind w:left="5040" w:hanging="360"/>
      </w:pPr>
      <w:rPr>
        <w:rFonts w:ascii="Arial" w:hAnsi="Arial" w:hint="default"/>
      </w:rPr>
    </w:lvl>
    <w:lvl w:ilvl="7" w:tplc="82E6419A" w:tentative="1">
      <w:start w:val="1"/>
      <w:numFmt w:val="bullet"/>
      <w:lvlText w:val="–"/>
      <w:lvlJc w:val="left"/>
      <w:pPr>
        <w:tabs>
          <w:tab w:val="num" w:pos="5760"/>
        </w:tabs>
        <w:ind w:left="5760" w:hanging="360"/>
      </w:pPr>
      <w:rPr>
        <w:rFonts w:ascii="Arial" w:hAnsi="Arial" w:hint="default"/>
      </w:rPr>
    </w:lvl>
    <w:lvl w:ilvl="8" w:tplc="3C2CD8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8AC2B7F"/>
    <w:multiLevelType w:val="hybridMultilevel"/>
    <w:tmpl w:val="D4B849C6"/>
    <w:lvl w:ilvl="0" w:tplc="872AF0FC">
      <w:start w:val="1"/>
      <w:numFmt w:val="bullet"/>
      <w:lvlText w:val="•"/>
      <w:lvlJc w:val="left"/>
      <w:pPr>
        <w:tabs>
          <w:tab w:val="num" w:pos="720"/>
        </w:tabs>
        <w:ind w:left="720" w:hanging="360"/>
      </w:pPr>
      <w:rPr>
        <w:rFonts w:ascii="Arial" w:hAnsi="Arial" w:hint="default"/>
      </w:rPr>
    </w:lvl>
    <w:lvl w:ilvl="1" w:tplc="B61240E4">
      <w:start w:val="1"/>
      <w:numFmt w:val="bullet"/>
      <w:lvlText w:val="•"/>
      <w:lvlJc w:val="left"/>
      <w:pPr>
        <w:tabs>
          <w:tab w:val="num" w:pos="1440"/>
        </w:tabs>
        <w:ind w:left="1440" w:hanging="360"/>
      </w:pPr>
      <w:rPr>
        <w:rFonts w:ascii="Arial" w:hAnsi="Arial" w:hint="default"/>
      </w:rPr>
    </w:lvl>
    <w:lvl w:ilvl="2" w:tplc="C846CB46">
      <w:numFmt w:val="bullet"/>
      <w:lvlText w:val=""/>
      <w:lvlJc w:val="left"/>
      <w:pPr>
        <w:tabs>
          <w:tab w:val="num" w:pos="2160"/>
        </w:tabs>
        <w:ind w:left="2160" w:hanging="360"/>
      </w:pPr>
      <w:rPr>
        <w:rFonts w:ascii="Wingdings" w:hAnsi="Wingdings" w:hint="default"/>
      </w:rPr>
    </w:lvl>
    <w:lvl w:ilvl="3" w:tplc="DAFCB9BA">
      <w:numFmt w:val="bullet"/>
      <w:lvlText w:val="•"/>
      <w:lvlJc w:val="left"/>
      <w:pPr>
        <w:tabs>
          <w:tab w:val="num" w:pos="2880"/>
        </w:tabs>
        <w:ind w:left="2880" w:hanging="360"/>
      </w:pPr>
      <w:rPr>
        <w:rFonts w:ascii="Arial" w:hAnsi="Arial" w:hint="default"/>
      </w:rPr>
    </w:lvl>
    <w:lvl w:ilvl="4" w:tplc="962EF5EA" w:tentative="1">
      <w:start w:val="1"/>
      <w:numFmt w:val="bullet"/>
      <w:lvlText w:val="•"/>
      <w:lvlJc w:val="left"/>
      <w:pPr>
        <w:tabs>
          <w:tab w:val="num" w:pos="3600"/>
        </w:tabs>
        <w:ind w:left="3600" w:hanging="360"/>
      </w:pPr>
      <w:rPr>
        <w:rFonts w:ascii="Arial" w:hAnsi="Arial" w:hint="default"/>
      </w:rPr>
    </w:lvl>
    <w:lvl w:ilvl="5" w:tplc="BCFE12AA" w:tentative="1">
      <w:start w:val="1"/>
      <w:numFmt w:val="bullet"/>
      <w:lvlText w:val="•"/>
      <w:lvlJc w:val="left"/>
      <w:pPr>
        <w:tabs>
          <w:tab w:val="num" w:pos="4320"/>
        </w:tabs>
        <w:ind w:left="4320" w:hanging="360"/>
      </w:pPr>
      <w:rPr>
        <w:rFonts w:ascii="Arial" w:hAnsi="Arial" w:hint="default"/>
      </w:rPr>
    </w:lvl>
    <w:lvl w:ilvl="6" w:tplc="68C00FB8" w:tentative="1">
      <w:start w:val="1"/>
      <w:numFmt w:val="bullet"/>
      <w:lvlText w:val="•"/>
      <w:lvlJc w:val="left"/>
      <w:pPr>
        <w:tabs>
          <w:tab w:val="num" w:pos="5040"/>
        </w:tabs>
        <w:ind w:left="5040" w:hanging="360"/>
      </w:pPr>
      <w:rPr>
        <w:rFonts w:ascii="Arial" w:hAnsi="Arial" w:hint="default"/>
      </w:rPr>
    </w:lvl>
    <w:lvl w:ilvl="7" w:tplc="442CD1A6" w:tentative="1">
      <w:start w:val="1"/>
      <w:numFmt w:val="bullet"/>
      <w:lvlText w:val="•"/>
      <w:lvlJc w:val="left"/>
      <w:pPr>
        <w:tabs>
          <w:tab w:val="num" w:pos="5760"/>
        </w:tabs>
        <w:ind w:left="5760" w:hanging="360"/>
      </w:pPr>
      <w:rPr>
        <w:rFonts w:ascii="Arial" w:hAnsi="Arial" w:hint="default"/>
      </w:rPr>
    </w:lvl>
    <w:lvl w:ilvl="8" w:tplc="87BC9B6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1528C6"/>
    <w:multiLevelType w:val="hybridMultilevel"/>
    <w:tmpl w:val="10DAE7C8"/>
    <w:lvl w:ilvl="0" w:tplc="72B883A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385597"/>
    <w:multiLevelType w:val="hybridMultilevel"/>
    <w:tmpl w:val="8CECDB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5"/>
  </w:num>
  <w:num w:numId="3">
    <w:abstractNumId w:val="14"/>
  </w:num>
  <w:num w:numId="4">
    <w:abstractNumId w:val="4"/>
  </w:num>
  <w:num w:numId="5">
    <w:abstractNumId w:val="16"/>
  </w:num>
  <w:num w:numId="6">
    <w:abstractNumId w:val="9"/>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9"/>
    <w:lvlOverride w:ilvl="0">
      <w:startOverride w:val="1"/>
    </w:lvlOverride>
  </w:num>
  <w:num w:numId="12">
    <w:abstractNumId w:val="13"/>
    <w:lvlOverride w:ilvl="0">
      <w:startOverride w:val="1"/>
    </w:lvlOverride>
  </w:num>
  <w:num w:numId="13">
    <w:abstractNumId w:val="9"/>
    <w:lvlOverride w:ilvl="0">
      <w:startOverride w:val="1"/>
    </w:lvlOverride>
  </w:num>
  <w:num w:numId="14">
    <w:abstractNumId w:val="13"/>
    <w:lvlOverride w:ilvl="0">
      <w:startOverride w:val="1"/>
    </w:lvlOverride>
  </w:num>
  <w:num w:numId="15">
    <w:abstractNumId w:val="8"/>
  </w:num>
  <w:num w:numId="16">
    <w:abstractNumId w:val="7"/>
  </w:num>
  <w:num w:numId="17">
    <w:abstractNumId w:val="2"/>
  </w:num>
  <w:num w:numId="18">
    <w:abstractNumId w:val="15"/>
  </w:num>
  <w:num w:numId="19">
    <w:abstractNumId w:val="1"/>
  </w:num>
  <w:num w:numId="20">
    <w:abstractNumId w:val="11"/>
  </w:num>
  <w:num w:numId="21">
    <w:abstractNumId w:val="6"/>
  </w:num>
  <w:num w:numId="22">
    <w:abstractNumId w:val="3"/>
  </w:num>
  <w:num w:numId="23">
    <w:abstractNumId w:val="10"/>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638FC"/>
    <w:rsid w:val="0008612A"/>
    <w:rsid w:val="000B0B3C"/>
    <w:rsid w:val="000B5D48"/>
    <w:rsid w:val="00111007"/>
    <w:rsid w:val="00126209"/>
    <w:rsid w:val="00126F92"/>
    <w:rsid w:val="001838CF"/>
    <w:rsid w:val="001A3E86"/>
    <w:rsid w:val="001E1E57"/>
    <w:rsid w:val="001E30F6"/>
    <w:rsid w:val="002069C4"/>
    <w:rsid w:val="0020767F"/>
    <w:rsid w:val="00217F42"/>
    <w:rsid w:val="00235F5C"/>
    <w:rsid w:val="0026143C"/>
    <w:rsid w:val="00264ED1"/>
    <w:rsid w:val="002743D8"/>
    <w:rsid w:val="00276566"/>
    <w:rsid w:val="002B4922"/>
    <w:rsid w:val="002C2D19"/>
    <w:rsid w:val="002C5B1F"/>
    <w:rsid w:val="002D10FA"/>
    <w:rsid w:val="002D197A"/>
    <w:rsid w:val="002D4C55"/>
    <w:rsid w:val="002E1E7D"/>
    <w:rsid w:val="003047CD"/>
    <w:rsid w:val="0031665B"/>
    <w:rsid w:val="00382B57"/>
    <w:rsid w:val="00393801"/>
    <w:rsid w:val="003B659E"/>
    <w:rsid w:val="003D7537"/>
    <w:rsid w:val="003E4FFB"/>
    <w:rsid w:val="0043750A"/>
    <w:rsid w:val="0044294F"/>
    <w:rsid w:val="004429BB"/>
    <w:rsid w:val="00453032"/>
    <w:rsid w:val="0047193A"/>
    <w:rsid w:val="004931BC"/>
    <w:rsid w:val="004A69FC"/>
    <w:rsid w:val="004C2AAA"/>
    <w:rsid w:val="004E4010"/>
    <w:rsid w:val="004E5E66"/>
    <w:rsid w:val="004F6F44"/>
    <w:rsid w:val="00503B4D"/>
    <w:rsid w:val="00504EE9"/>
    <w:rsid w:val="0050650D"/>
    <w:rsid w:val="00516134"/>
    <w:rsid w:val="0054442C"/>
    <w:rsid w:val="00550285"/>
    <w:rsid w:val="00571305"/>
    <w:rsid w:val="005836F8"/>
    <w:rsid w:val="005D1BB6"/>
    <w:rsid w:val="005E61A8"/>
    <w:rsid w:val="005F6419"/>
    <w:rsid w:val="00617400"/>
    <w:rsid w:val="00660508"/>
    <w:rsid w:val="00664950"/>
    <w:rsid w:val="00683220"/>
    <w:rsid w:val="00686FE1"/>
    <w:rsid w:val="00687FA0"/>
    <w:rsid w:val="006B7010"/>
    <w:rsid w:val="006C185F"/>
    <w:rsid w:val="007145FF"/>
    <w:rsid w:val="00751515"/>
    <w:rsid w:val="00751843"/>
    <w:rsid w:val="00754806"/>
    <w:rsid w:val="00760B82"/>
    <w:rsid w:val="00764018"/>
    <w:rsid w:val="00765BE4"/>
    <w:rsid w:val="00785232"/>
    <w:rsid w:val="00794085"/>
    <w:rsid w:val="00795858"/>
    <w:rsid w:val="007A025E"/>
    <w:rsid w:val="007B1F78"/>
    <w:rsid w:val="007C3ED0"/>
    <w:rsid w:val="00806A76"/>
    <w:rsid w:val="00810DF1"/>
    <w:rsid w:val="00811C9D"/>
    <w:rsid w:val="00816C80"/>
    <w:rsid w:val="00824B92"/>
    <w:rsid w:val="00841BCD"/>
    <w:rsid w:val="00853E73"/>
    <w:rsid w:val="0086276B"/>
    <w:rsid w:val="00863688"/>
    <w:rsid w:val="008650F3"/>
    <w:rsid w:val="008803DD"/>
    <w:rsid w:val="00881DDF"/>
    <w:rsid w:val="008826C1"/>
    <w:rsid w:val="00894533"/>
    <w:rsid w:val="008E7FE2"/>
    <w:rsid w:val="009042BD"/>
    <w:rsid w:val="00911751"/>
    <w:rsid w:val="009167B7"/>
    <w:rsid w:val="00942F2D"/>
    <w:rsid w:val="00966D3C"/>
    <w:rsid w:val="009773C2"/>
    <w:rsid w:val="00977E1D"/>
    <w:rsid w:val="00990EBB"/>
    <w:rsid w:val="00996CD4"/>
    <w:rsid w:val="009C7A4B"/>
    <w:rsid w:val="009E13F7"/>
    <w:rsid w:val="00A147DB"/>
    <w:rsid w:val="00A22B78"/>
    <w:rsid w:val="00A25AE5"/>
    <w:rsid w:val="00A31A22"/>
    <w:rsid w:val="00A36853"/>
    <w:rsid w:val="00A63A41"/>
    <w:rsid w:val="00AA1B0E"/>
    <w:rsid w:val="00AA7844"/>
    <w:rsid w:val="00AC5CA7"/>
    <w:rsid w:val="00AD5F1A"/>
    <w:rsid w:val="00B25C3E"/>
    <w:rsid w:val="00B32E4D"/>
    <w:rsid w:val="00B71526"/>
    <w:rsid w:val="00B854C5"/>
    <w:rsid w:val="00B8632F"/>
    <w:rsid w:val="00B8745E"/>
    <w:rsid w:val="00BA6E48"/>
    <w:rsid w:val="00BB7D4E"/>
    <w:rsid w:val="00BF2218"/>
    <w:rsid w:val="00C86ACA"/>
    <w:rsid w:val="00CA3CAC"/>
    <w:rsid w:val="00CD7492"/>
    <w:rsid w:val="00CE3A6B"/>
    <w:rsid w:val="00CF0F1C"/>
    <w:rsid w:val="00CF2076"/>
    <w:rsid w:val="00D00211"/>
    <w:rsid w:val="00D05142"/>
    <w:rsid w:val="00D06309"/>
    <w:rsid w:val="00D14F6E"/>
    <w:rsid w:val="00D351EA"/>
    <w:rsid w:val="00D43403"/>
    <w:rsid w:val="00D45A9D"/>
    <w:rsid w:val="00D46252"/>
    <w:rsid w:val="00D61A3A"/>
    <w:rsid w:val="00D62E71"/>
    <w:rsid w:val="00D719C8"/>
    <w:rsid w:val="00D740CA"/>
    <w:rsid w:val="00D85728"/>
    <w:rsid w:val="00D869EB"/>
    <w:rsid w:val="00D9178E"/>
    <w:rsid w:val="00DD269C"/>
    <w:rsid w:val="00DE205F"/>
    <w:rsid w:val="00DE59B9"/>
    <w:rsid w:val="00DF2997"/>
    <w:rsid w:val="00E01E0D"/>
    <w:rsid w:val="00E01E55"/>
    <w:rsid w:val="00E13AB4"/>
    <w:rsid w:val="00E44A36"/>
    <w:rsid w:val="00E57EFE"/>
    <w:rsid w:val="00E92C17"/>
    <w:rsid w:val="00E962F8"/>
    <w:rsid w:val="00EB7CA9"/>
    <w:rsid w:val="00EC4487"/>
    <w:rsid w:val="00EC7BC3"/>
    <w:rsid w:val="00ED7600"/>
    <w:rsid w:val="00F1362C"/>
    <w:rsid w:val="00F462D4"/>
    <w:rsid w:val="00F824F5"/>
    <w:rsid w:val="00FC29B9"/>
    <w:rsid w:val="00FC6FD3"/>
    <w:rsid w:val="00FD4375"/>
    <w:rsid w:val="00FD65EC"/>
    <w:rsid w:val="00FD6A04"/>
    <w:rsid w:val="00FF7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BA912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0F1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61A3A"/>
    <w:pPr>
      <w:keepNext/>
      <w:keepLines/>
      <w:spacing w:before="40" w:after="0"/>
      <w:outlineLvl w:val="2"/>
    </w:pPr>
    <w:rPr>
      <w:rFonts w:ascii="Arial" w:eastAsiaTheme="majorEastAsia" w:hAnsi="Arial" w:cstheme="majorBidi"/>
      <w:sz w:val="28"/>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393801"/>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39380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TAH">
    <w:name w:val="TAH"/>
    <w:basedOn w:val="TAC"/>
    <w:link w:val="TAHCar"/>
    <w:rsid w:val="002743D8"/>
    <w:rPr>
      <w:b/>
    </w:rPr>
  </w:style>
  <w:style w:type="paragraph" w:customStyle="1" w:styleId="TAC">
    <w:name w:val="TAC"/>
    <w:basedOn w:val="Normal"/>
    <w:link w:val="TACChar"/>
    <w:rsid w:val="002743D8"/>
    <w:pPr>
      <w:keepNext/>
      <w:keepLines/>
      <w:spacing w:after="0" w:line="240" w:lineRule="auto"/>
      <w:jc w:val="center"/>
    </w:pPr>
    <w:rPr>
      <w:rFonts w:ascii="Arial" w:eastAsia="Times New Roman" w:hAnsi="Arial" w:cs="Times New Roman"/>
      <w:sz w:val="18"/>
      <w:szCs w:val="20"/>
      <w:lang w:val="en-GB" w:eastAsia="x-none"/>
    </w:rPr>
  </w:style>
  <w:style w:type="character" w:customStyle="1" w:styleId="TACChar">
    <w:name w:val="TAC Char"/>
    <w:link w:val="TAC"/>
    <w:rsid w:val="002743D8"/>
    <w:rPr>
      <w:rFonts w:ascii="Arial" w:eastAsia="Times New Roman" w:hAnsi="Arial" w:cs="Times New Roman"/>
      <w:sz w:val="18"/>
      <w:szCs w:val="20"/>
      <w:lang w:val="en-GB" w:eastAsia="x-none"/>
    </w:rPr>
  </w:style>
  <w:style w:type="character" w:customStyle="1" w:styleId="TAHCar">
    <w:name w:val="TAH Car"/>
    <w:link w:val="TAH"/>
    <w:rsid w:val="002743D8"/>
    <w:rPr>
      <w:rFonts w:ascii="Arial" w:eastAsia="Times New Roman" w:hAnsi="Arial" w:cs="Times New Roman"/>
      <w:b/>
      <w:sz w:val="18"/>
      <w:szCs w:val="20"/>
      <w:lang w:val="en-GB" w:eastAsia="x-none"/>
    </w:rPr>
  </w:style>
  <w:style w:type="character" w:customStyle="1" w:styleId="Heading3Char">
    <w:name w:val="Heading 3 Char"/>
    <w:basedOn w:val="DefaultParagraphFont"/>
    <w:link w:val="Heading3"/>
    <w:uiPriority w:val="9"/>
    <w:rsid w:val="00D61A3A"/>
    <w:rPr>
      <w:rFonts w:ascii="Arial" w:eastAsiaTheme="majorEastAsia" w:hAnsi="Arial" w:cstheme="majorBidi"/>
      <w:sz w:val="28"/>
      <w:szCs w:val="24"/>
    </w:rPr>
  </w:style>
  <w:style w:type="paragraph" w:styleId="Header">
    <w:name w:val="header"/>
    <w:basedOn w:val="Normal"/>
    <w:link w:val="HeaderChar"/>
    <w:semiHidden/>
    <w:rsid w:val="001A3E86"/>
    <w:pPr>
      <w:tabs>
        <w:tab w:val="center" w:pos="4153"/>
        <w:tab w:val="right" w:pos="8306"/>
      </w:tabs>
      <w:spacing w:after="0" w:line="240" w:lineRule="auto"/>
    </w:pPr>
    <w:rPr>
      <w:rFonts w:eastAsiaTheme="minorEastAsia" w:cs="Times New Roman"/>
      <w:szCs w:val="20"/>
      <w:lang w:val="en-GB"/>
    </w:rPr>
  </w:style>
  <w:style w:type="character" w:customStyle="1" w:styleId="HeaderChar">
    <w:name w:val="Header Char"/>
    <w:basedOn w:val="DefaultParagraphFont"/>
    <w:link w:val="Header"/>
    <w:semiHidden/>
    <w:rsid w:val="001A3E86"/>
    <w:rPr>
      <w:rFonts w:ascii="Times New Roman" w:eastAsiaTheme="minorEastAsia" w:hAnsi="Times New Roman" w:cs="Times New Roman"/>
      <w:sz w:val="20"/>
      <w:szCs w:val="20"/>
      <w:lang w:val="en-GB"/>
    </w:rPr>
  </w:style>
  <w:style w:type="paragraph" w:styleId="NormalWeb">
    <w:name w:val="Normal (Web)"/>
    <w:basedOn w:val="Normal"/>
    <w:uiPriority w:val="99"/>
    <w:semiHidden/>
    <w:unhideWhenUsed/>
    <w:rsid w:val="009773C2"/>
    <w:pPr>
      <w:spacing w:before="100" w:beforeAutospacing="1" w:after="100" w:afterAutospacing="1" w:line="240" w:lineRule="auto"/>
    </w:pPr>
    <w:rPr>
      <w:rFonts w:eastAsia="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84283">
      <w:bodyDiv w:val="1"/>
      <w:marLeft w:val="0"/>
      <w:marRight w:val="0"/>
      <w:marTop w:val="0"/>
      <w:marBottom w:val="0"/>
      <w:divBdr>
        <w:top w:val="none" w:sz="0" w:space="0" w:color="auto"/>
        <w:left w:val="none" w:sz="0" w:space="0" w:color="auto"/>
        <w:bottom w:val="none" w:sz="0" w:space="0" w:color="auto"/>
        <w:right w:val="none" w:sz="0" w:space="0" w:color="auto"/>
      </w:divBdr>
      <w:divsChild>
        <w:div w:id="350765110">
          <w:marLeft w:val="0"/>
          <w:marRight w:val="0"/>
          <w:marTop w:val="0"/>
          <w:marBottom w:val="0"/>
          <w:divBdr>
            <w:top w:val="none" w:sz="0" w:space="0" w:color="auto"/>
            <w:left w:val="none" w:sz="0" w:space="0" w:color="auto"/>
            <w:bottom w:val="none" w:sz="0" w:space="0" w:color="auto"/>
            <w:right w:val="none" w:sz="0" w:space="0" w:color="auto"/>
          </w:divBdr>
        </w:div>
      </w:divsChild>
    </w:div>
    <w:div w:id="414790174">
      <w:bodyDiv w:val="1"/>
      <w:marLeft w:val="0"/>
      <w:marRight w:val="0"/>
      <w:marTop w:val="0"/>
      <w:marBottom w:val="0"/>
      <w:divBdr>
        <w:top w:val="none" w:sz="0" w:space="0" w:color="auto"/>
        <w:left w:val="none" w:sz="0" w:space="0" w:color="auto"/>
        <w:bottom w:val="none" w:sz="0" w:space="0" w:color="auto"/>
        <w:right w:val="none" w:sz="0" w:space="0" w:color="auto"/>
      </w:divBdr>
      <w:divsChild>
        <w:div w:id="125777394">
          <w:marLeft w:val="547"/>
          <w:marRight w:val="0"/>
          <w:marTop w:val="0"/>
          <w:marBottom w:val="0"/>
          <w:divBdr>
            <w:top w:val="none" w:sz="0" w:space="0" w:color="auto"/>
            <w:left w:val="none" w:sz="0" w:space="0" w:color="auto"/>
            <w:bottom w:val="none" w:sz="0" w:space="0" w:color="auto"/>
            <w:right w:val="none" w:sz="0" w:space="0" w:color="auto"/>
          </w:divBdr>
        </w:div>
      </w:divsChild>
    </w:div>
    <w:div w:id="598296059">
      <w:bodyDiv w:val="1"/>
      <w:marLeft w:val="0"/>
      <w:marRight w:val="0"/>
      <w:marTop w:val="0"/>
      <w:marBottom w:val="0"/>
      <w:divBdr>
        <w:top w:val="none" w:sz="0" w:space="0" w:color="auto"/>
        <w:left w:val="none" w:sz="0" w:space="0" w:color="auto"/>
        <w:bottom w:val="none" w:sz="0" w:space="0" w:color="auto"/>
        <w:right w:val="none" w:sz="0" w:space="0" w:color="auto"/>
      </w:divBdr>
      <w:divsChild>
        <w:div w:id="1525047687">
          <w:marLeft w:val="547"/>
          <w:marRight w:val="0"/>
          <w:marTop w:val="0"/>
          <w:marBottom w:val="0"/>
          <w:divBdr>
            <w:top w:val="none" w:sz="0" w:space="0" w:color="auto"/>
            <w:left w:val="none" w:sz="0" w:space="0" w:color="auto"/>
            <w:bottom w:val="none" w:sz="0" w:space="0" w:color="auto"/>
            <w:right w:val="none" w:sz="0" w:space="0" w:color="auto"/>
          </w:divBdr>
        </w:div>
      </w:divsChild>
    </w:div>
    <w:div w:id="712651701">
      <w:bodyDiv w:val="1"/>
      <w:marLeft w:val="0"/>
      <w:marRight w:val="0"/>
      <w:marTop w:val="0"/>
      <w:marBottom w:val="0"/>
      <w:divBdr>
        <w:top w:val="none" w:sz="0" w:space="0" w:color="auto"/>
        <w:left w:val="none" w:sz="0" w:space="0" w:color="auto"/>
        <w:bottom w:val="none" w:sz="0" w:space="0" w:color="auto"/>
        <w:right w:val="none" w:sz="0" w:space="0" w:color="auto"/>
      </w:divBdr>
    </w:div>
    <w:div w:id="936520276">
      <w:bodyDiv w:val="1"/>
      <w:marLeft w:val="0"/>
      <w:marRight w:val="0"/>
      <w:marTop w:val="0"/>
      <w:marBottom w:val="0"/>
      <w:divBdr>
        <w:top w:val="none" w:sz="0" w:space="0" w:color="auto"/>
        <w:left w:val="none" w:sz="0" w:space="0" w:color="auto"/>
        <w:bottom w:val="none" w:sz="0" w:space="0" w:color="auto"/>
        <w:right w:val="none" w:sz="0" w:space="0" w:color="auto"/>
      </w:divBdr>
      <w:divsChild>
        <w:div w:id="1977561633">
          <w:marLeft w:val="446"/>
          <w:marRight w:val="0"/>
          <w:marTop w:val="0"/>
          <w:marBottom w:val="0"/>
          <w:divBdr>
            <w:top w:val="none" w:sz="0" w:space="0" w:color="auto"/>
            <w:left w:val="none" w:sz="0" w:space="0" w:color="auto"/>
            <w:bottom w:val="none" w:sz="0" w:space="0" w:color="auto"/>
            <w:right w:val="none" w:sz="0" w:space="0" w:color="auto"/>
          </w:divBdr>
        </w:div>
      </w:divsChild>
    </w:div>
    <w:div w:id="1929268166">
      <w:bodyDiv w:val="1"/>
      <w:marLeft w:val="0"/>
      <w:marRight w:val="0"/>
      <w:marTop w:val="0"/>
      <w:marBottom w:val="0"/>
      <w:divBdr>
        <w:top w:val="none" w:sz="0" w:space="0" w:color="auto"/>
        <w:left w:val="none" w:sz="0" w:space="0" w:color="auto"/>
        <w:bottom w:val="none" w:sz="0" w:space="0" w:color="auto"/>
        <w:right w:val="none" w:sz="0" w:space="0" w:color="auto"/>
      </w:divBdr>
      <w:divsChild>
        <w:div w:id="981957199">
          <w:marLeft w:val="1166"/>
          <w:marRight w:val="0"/>
          <w:marTop w:val="134"/>
          <w:marBottom w:val="0"/>
          <w:divBdr>
            <w:top w:val="none" w:sz="0" w:space="0" w:color="auto"/>
            <w:left w:val="none" w:sz="0" w:space="0" w:color="auto"/>
            <w:bottom w:val="none" w:sz="0" w:space="0" w:color="auto"/>
            <w:right w:val="none" w:sz="0" w:space="0" w:color="auto"/>
          </w:divBdr>
        </w:div>
        <w:div w:id="990906467">
          <w:marLeft w:val="1800"/>
          <w:marRight w:val="0"/>
          <w:marTop w:val="115"/>
          <w:marBottom w:val="0"/>
          <w:divBdr>
            <w:top w:val="none" w:sz="0" w:space="0" w:color="auto"/>
            <w:left w:val="none" w:sz="0" w:space="0" w:color="auto"/>
            <w:bottom w:val="none" w:sz="0" w:space="0" w:color="auto"/>
            <w:right w:val="none" w:sz="0" w:space="0" w:color="auto"/>
          </w:divBdr>
        </w:div>
        <w:div w:id="1514220004">
          <w:marLeft w:val="1800"/>
          <w:marRight w:val="0"/>
          <w:marTop w:val="115"/>
          <w:marBottom w:val="0"/>
          <w:divBdr>
            <w:top w:val="none" w:sz="0" w:space="0" w:color="auto"/>
            <w:left w:val="none" w:sz="0" w:space="0" w:color="auto"/>
            <w:bottom w:val="none" w:sz="0" w:space="0" w:color="auto"/>
            <w:right w:val="none" w:sz="0" w:space="0" w:color="auto"/>
          </w:divBdr>
        </w:div>
        <w:div w:id="1005204009">
          <w:marLeft w:val="1800"/>
          <w:marRight w:val="0"/>
          <w:marTop w:val="115"/>
          <w:marBottom w:val="0"/>
          <w:divBdr>
            <w:top w:val="none" w:sz="0" w:space="0" w:color="auto"/>
            <w:left w:val="none" w:sz="0" w:space="0" w:color="auto"/>
            <w:bottom w:val="none" w:sz="0" w:space="0" w:color="auto"/>
            <w:right w:val="none" w:sz="0" w:space="0" w:color="auto"/>
          </w:divBdr>
        </w:div>
      </w:divsChild>
    </w:div>
    <w:div w:id="1975720155">
      <w:bodyDiv w:val="1"/>
      <w:marLeft w:val="0"/>
      <w:marRight w:val="0"/>
      <w:marTop w:val="0"/>
      <w:marBottom w:val="0"/>
      <w:divBdr>
        <w:top w:val="none" w:sz="0" w:space="0" w:color="auto"/>
        <w:left w:val="none" w:sz="0" w:space="0" w:color="auto"/>
        <w:bottom w:val="none" w:sz="0" w:space="0" w:color="auto"/>
        <w:right w:val="none" w:sz="0" w:space="0" w:color="auto"/>
      </w:divBdr>
      <w:divsChild>
        <w:div w:id="715355683">
          <w:marLeft w:val="446"/>
          <w:marRight w:val="0"/>
          <w:marTop w:val="0"/>
          <w:marBottom w:val="0"/>
          <w:divBdr>
            <w:top w:val="none" w:sz="0" w:space="0" w:color="auto"/>
            <w:left w:val="none" w:sz="0" w:space="0" w:color="auto"/>
            <w:bottom w:val="none" w:sz="0" w:space="0" w:color="auto"/>
            <w:right w:val="none" w:sz="0" w:space="0" w:color="auto"/>
          </w:divBdr>
        </w:div>
        <w:div w:id="885410270">
          <w:marLeft w:val="1166"/>
          <w:marRight w:val="0"/>
          <w:marTop w:val="0"/>
          <w:marBottom w:val="0"/>
          <w:divBdr>
            <w:top w:val="none" w:sz="0" w:space="0" w:color="auto"/>
            <w:left w:val="none" w:sz="0" w:space="0" w:color="auto"/>
            <w:bottom w:val="none" w:sz="0" w:space="0" w:color="auto"/>
            <w:right w:val="none" w:sz="0" w:space="0" w:color="auto"/>
          </w:divBdr>
        </w:div>
        <w:div w:id="1761220287">
          <w:marLeft w:val="1886"/>
          <w:marRight w:val="0"/>
          <w:marTop w:val="0"/>
          <w:marBottom w:val="0"/>
          <w:divBdr>
            <w:top w:val="none" w:sz="0" w:space="0" w:color="auto"/>
            <w:left w:val="none" w:sz="0" w:space="0" w:color="auto"/>
            <w:bottom w:val="none" w:sz="0" w:space="0" w:color="auto"/>
            <w:right w:val="none" w:sz="0" w:space="0" w:color="auto"/>
          </w:divBdr>
        </w:div>
        <w:div w:id="920329049">
          <w:marLeft w:val="1886"/>
          <w:marRight w:val="0"/>
          <w:marTop w:val="0"/>
          <w:marBottom w:val="0"/>
          <w:divBdr>
            <w:top w:val="none" w:sz="0" w:space="0" w:color="auto"/>
            <w:left w:val="none" w:sz="0" w:space="0" w:color="auto"/>
            <w:bottom w:val="none" w:sz="0" w:space="0" w:color="auto"/>
            <w:right w:val="none" w:sz="0" w:space="0" w:color="auto"/>
          </w:divBdr>
        </w:div>
        <w:div w:id="2124306047">
          <w:marLeft w:val="1886"/>
          <w:marRight w:val="0"/>
          <w:marTop w:val="0"/>
          <w:marBottom w:val="0"/>
          <w:divBdr>
            <w:top w:val="none" w:sz="0" w:space="0" w:color="auto"/>
            <w:left w:val="none" w:sz="0" w:space="0" w:color="auto"/>
            <w:bottom w:val="none" w:sz="0" w:space="0" w:color="auto"/>
            <w:right w:val="none" w:sz="0" w:space="0" w:color="auto"/>
          </w:divBdr>
        </w:div>
        <w:div w:id="1259750098">
          <w:marLeft w:val="1166"/>
          <w:marRight w:val="0"/>
          <w:marTop w:val="0"/>
          <w:marBottom w:val="0"/>
          <w:divBdr>
            <w:top w:val="none" w:sz="0" w:space="0" w:color="auto"/>
            <w:left w:val="none" w:sz="0" w:space="0" w:color="auto"/>
            <w:bottom w:val="none" w:sz="0" w:space="0" w:color="auto"/>
            <w:right w:val="none" w:sz="0" w:space="0" w:color="auto"/>
          </w:divBdr>
        </w:div>
        <w:div w:id="698359485">
          <w:marLeft w:val="1886"/>
          <w:marRight w:val="0"/>
          <w:marTop w:val="0"/>
          <w:marBottom w:val="0"/>
          <w:divBdr>
            <w:top w:val="none" w:sz="0" w:space="0" w:color="auto"/>
            <w:left w:val="none" w:sz="0" w:space="0" w:color="auto"/>
            <w:bottom w:val="none" w:sz="0" w:space="0" w:color="auto"/>
            <w:right w:val="none" w:sz="0" w:space="0" w:color="auto"/>
          </w:divBdr>
        </w:div>
        <w:div w:id="887378278">
          <w:marLeft w:val="1886"/>
          <w:marRight w:val="0"/>
          <w:marTop w:val="0"/>
          <w:marBottom w:val="0"/>
          <w:divBdr>
            <w:top w:val="none" w:sz="0" w:space="0" w:color="auto"/>
            <w:left w:val="none" w:sz="0" w:space="0" w:color="auto"/>
            <w:bottom w:val="none" w:sz="0" w:space="0" w:color="auto"/>
            <w:right w:val="none" w:sz="0" w:space="0" w:color="auto"/>
          </w:divBdr>
        </w:div>
        <w:div w:id="1384211124">
          <w:marLeft w:val="1886"/>
          <w:marRight w:val="0"/>
          <w:marTop w:val="0"/>
          <w:marBottom w:val="0"/>
          <w:divBdr>
            <w:top w:val="none" w:sz="0" w:space="0" w:color="auto"/>
            <w:left w:val="none" w:sz="0" w:space="0" w:color="auto"/>
            <w:bottom w:val="none" w:sz="0" w:space="0" w:color="auto"/>
            <w:right w:val="none" w:sz="0" w:space="0" w:color="auto"/>
          </w:divBdr>
        </w:div>
        <w:div w:id="507251197">
          <w:marLeft w:val="1166"/>
          <w:marRight w:val="0"/>
          <w:marTop w:val="0"/>
          <w:marBottom w:val="0"/>
          <w:divBdr>
            <w:top w:val="none" w:sz="0" w:space="0" w:color="auto"/>
            <w:left w:val="none" w:sz="0" w:space="0" w:color="auto"/>
            <w:bottom w:val="none" w:sz="0" w:space="0" w:color="auto"/>
            <w:right w:val="none" w:sz="0" w:space="0" w:color="auto"/>
          </w:divBdr>
        </w:div>
        <w:div w:id="1270546667">
          <w:marLeft w:val="1886"/>
          <w:marRight w:val="0"/>
          <w:marTop w:val="0"/>
          <w:marBottom w:val="0"/>
          <w:divBdr>
            <w:top w:val="none" w:sz="0" w:space="0" w:color="auto"/>
            <w:left w:val="none" w:sz="0" w:space="0" w:color="auto"/>
            <w:bottom w:val="none" w:sz="0" w:space="0" w:color="auto"/>
            <w:right w:val="none" w:sz="0" w:space="0" w:color="auto"/>
          </w:divBdr>
        </w:div>
        <w:div w:id="35275443">
          <w:marLeft w:val="1886"/>
          <w:marRight w:val="0"/>
          <w:marTop w:val="0"/>
          <w:marBottom w:val="0"/>
          <w:divBdr>
            <w:top w:val="none" w:sz="0" w:space="0" w:color="auto"/>
            <w:left w:val="none" w:sz="0" w:space="0" w:color="auto"/>
            <w:bottom w:val="none" w:sz="0" w:space="0" w:color="auto"/>
            <w:right w:val="none" w:sz="0" w:space="0" w:color="auto"/>
          </w:divBdr>
        </w:div>
        <w:div w:id="657922329">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3649E-282A-41C2-807E-374E63C48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3031</TotalTime>
  <Pages>2</Pages>
  <Words>794</Words>
  <Characters>4531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27</cp:revision>
  <dcterms:created xsi:type="dcterms:W3CDTF">2018-03-26T10:33:00Z</dcterms:created>
  <dcterms:modified xsi:type="dcterms:W3CDTF">2018-04-06T19:16:00Z</dcterms:modified>
</cp:coreProperties>
</file>