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2A00A68C"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0130E">
        <w:rPr>
          <w:noProof w:val="0"/>
          <w:sz w:val="24"/>
        </w:rPr>
        <w:t>6</w:t>
      </w:r>
      <w:r w:rsidRPr="008E491B">
        <w:rPr>
          <w:noProof w:val="0"/>
          <w:sz w:val="24"/>
        </w:rPr>
        <w:tab/>
        <w:t>R4-</w:t>
      </w:r>
      <w:r w:rsidR="00630239" w:rsidRPr="008E491B">
        <w:rPr>
          <w:noProof w:val="0"/>
          <w:sz w:val="24"/>
        </w:rPr>
        <w:t>1</w:t>
      </w:r>
      <w:r w:rsidR="0010130E">
        <w:rPr>
          <w:noProof w:val="0"/>
          <w:sz w:val="24"/>
        </w:rPr>
        <w:t>8</w:t>
      </w:r>
      <w:r w:rsidR="00C41961">
        <w:rPr>
          <w:noProof w:val="0"/>
          <w:sz w:val="24"/>
        </w:rPr>
        <w:t>02157</w:t>
      </w:r>
    </w:p>
    <w:p w14:paraId="66F50065" w14:textId="272DF492" w:rsidR="008F3F8D" w:rsidRPr="008E491B" w:rsidRDefault="0010130E" w:rsidP="008F3F8D">
      <w:pPr>
        <w:pStyle w:val="Header"/>
        <w:tabs>
          <w:tab w:val="right" w:pos="9639"/>
        </w:tabs>
        <w:rPr>
          <w:noProof w:val="0"/>
          <w:sz w:val="24"/>
        </w:rPr>
      </w:pPr>
      <w:r>
        <w:rPr>
          <w:noProof w:val="0"/>
          <w:sz w:val="24"/>
        </w:rPr>
        <w:t>Athens</w:t>
      </w:r>
      <w:r w:rsidR="008F3F8D" w:rsidRPr="008E491B">
        <w:rPr>
          <w:rFonts w:hint="eastAsia"/>
          <w:noProof w:val="0"/>
          <w:sz w:val="24"/>
        </w:rPr>
        <w:t xml:space="preserve">, </w:t>
      </w:r>
      <w:r>
        <w:rPr>
          <w:noProof w:val="0"/>
          <w:sz w:val="24"/>
        </w:rPr>
        <w:t>Greece</w:t>
      </w:r>
      <w:r w:rsidR="004874FB">
        <w:rPr>
          <w:noProof w:val="0"/>
          <w:sz w:val="24"/>
        </w:rPr>
        <w:t xml:space="preserve">, </w:t>
      </w:r>
      <w:r>
        <w:rPr>
          <w:noProof w:val="0"/>
          <w:sz w:val="24"/>
        </w:rPr>
        <w:t>26 Feb</w:t>
      </w:r>
      <w:r w:rsidR="008F3F8D" w:rsidRPr="008E491B">
        <w:rPr>
          <w:noProof w:val="0"/>
          <w:sz w:val="24"/>
        </w:rPr>
        <w:t xml:space="preserve"> </w:t>
      </w:r>
      <w:r w:rsidR="008F3F8D" w:rsidRPr="008E491B">
        <w:rPr>
          <w:rFonts w:hint="eastAsia"/>
          <w:noProof w:val="0"/>
          <w:sz w:val="24"/>
        </w:rPr>
        <w:t xml:space="preserve">- </w:t>
      </w:r>
      <w:r>
        <w:rPr>
          <w:noProof w:val="0"/>
          <w:sz w:val="24"/>
        </w:rPr>
        <w:t>2</w:t>
      </w:r>
      <w:r w:rsidR="008F3F8D" w:rsidRPr="008E491B">
        <w:rPr>
          <w:noProof w:val="0"/>
          <w:sz w:val="24"/>
        </w:rPr>
        <w:t xml:space="preserve"> </w:t>
      </w:r>
      <w:r>
        <w:rPr>
          <w:noProof w:val="0"/>
          <w:sz w:val="24"/>
        </w:rPr>
        <w:t>Mar,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01C62D3"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82557A">
        <w:rPr>
          <w:rFonts w:cs="Arial"/>
          <w:b/>
          <w:bCs/>
          <w:sz w:val="24"/>
        </w:rPr>
        <w:t>7.3.1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668F3E3"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8453D1">
        <w:rPr>
          <w:rFonts w:ascii="Arial" w:hAnsi="Arial" w:cs="Arial"/>
          <w:b/>
          <w:bCs/>
          <w:sz w:val="24"/>
        </w:rPr>
        <w:t>Discussion on bandwidths</w:t>
      </w:r>
      <w:r w:rsidR="00C9690A">
        <w:rPr>
          <w:rFonts w:ascii="Arial" w:hAnsi="Arial" w:cs="Arial"/>
          <w:b/>
          <w:bCs/>
          <w:sz w:val="24"/>
        </w:rPr>
        <w:t xml:space="preserve"> for FR1</w:t>
      </w:r>
    </w:p>
    <w:p w14:paraId="7B8488AC" w14:textId="2054DF40"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9624B1">
        <w:rPr>
          <w:rFonts w:ascii="Arial" w:hAnsi="Arial" w:cs="Arial"/>
          <w:b/>
          <w:bCs/>
          <w:sz w:val="24"/>
        </w:rPr>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836B829" w:rsidR="005711AE" w:rsidRPr="008A4B4F" w:rsidRDefault="0010130E" w:rsidP="00171463">
      <w:pPr>
        <w:spacing w:after="0"/>
        <w:rPr>
          <w:bCs/>
        </w:rPr>
      </w:pPr>
      <w:r>
        <w:rPr>
          <w:lang w:val="en-US"/>
        </w:rPr>
        <w:t xml:space="preserve">This contribution </w:t>
      </w:r>
      <w:r w:rsidR="00D07CA9">
        <w:rPr>
          <w:lang w:val="en-US"/>
        </w:rPr>
        <w:t>aims to raise discussion on if &gt;20MHz single CC bandwidth or intra-band contiguous CA is more beneficial</w:t>
      </w:r>
      <w:r w:rsidR="009921A4">
        <w:rPr>
          <w:lang w:val="en-US"/>
        </w:rPr>
        <w:t xml:space="preserve"> for FR1</w:t>
      </w:r>
      <w:r w:rsidR="00D07CA9">
        <w:rPr>
          <w:lang w:val="en-US"/>
        </w:rPr>
        <w:t>.</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7B5BC042" w14:textId="10EDAAC9" w:rsidR="009624B1" w:rsidRDefault="00D07CA9" w:rsidP="009624B1">
      <w:pPr>
        <w:spacing w:after="0"/>
        <w:rPr>
          <w:bCs/>
        </w:rPr>
      </w:pPr>
      <w:r>
        <w:rPr>
          <w:bCs/>
        </w:rPr>
        <w:t xml:space="preserve">In LTE, intra-band CA was easily justified because operators have &gt;20MHz contiguous spectrum and the maximum single CC bandwidth is 20MHz. </w:t>
      </w:r>
      <w:r w:rsidR="00C9690A">
        <w:rPr>
          <w:bCs/>
        </w:rPr>
        <w:t xml:space="preserve">In NR the situation is different; the </w:t>
      </w:r>
      <w:r w:rsidR="00AB7003">
        <w:rPr>
          <w:bCs/>
        </w:rPr>
        <w:t>maximum single CC bandwidth is 100MHz wh</w:t>
      </w:r>
      <w:r w:rsidR="005D06C4">
        <w:rPr>
          <w:bCs/>
        </w:rPr>
        <w:t>ich in practice poses no limits</w:t>
      </w:r>
      <w:r w:rsidR="00F12489">
        <w:rPr>
          <w:bCs/>
        </w:rPr>
        <w:t xml:space="preserve"> </w:t>
      </w:r>
      <w:r w:rsidR="00AB7003">
        <w:rPr>
          <w:bCs/>
        </w:rPr>
        <w:t>for LTE re-</w:t>
      </w:r>
      <w:r w:rsidR="00F12489">
        <w:rPr>
          <w:bCs/>
        </w:rPr>
        <w:t>farming spectrum usage</w:t>
      </w:r>
      <w:r w:rsidR="00AB7003">
        <w:rPr>
          <w:bCs/>
        </w:rPr>
        <w:t>.</w:t>
      </w:r>
    </w:p>
    <w:p w14:paraId="07E07E13" w14:textId="4A515C0B" w:rsidR="00F12489" w:rsidRDefault="00F12489" w:rsidP="009624B1">
      <w:pPr>
        <w:spacing w:after="0"/>
        <w:rPr>
          <w:bCs/>
        </w:rPr>
      </w:pPr>
    </w:p>
    <w:p w14:paraId="2E44F43A" w14:textId="3672CAC2" w:rsidR="00F12489" w:rsidRDefault="00E31475" w:rsidP="009624B1">
      <w:pPr>
        <w:spacing w:after="0"/>
        <w:rPr>
          <w:bCs/>
        </w:rPr>
      </w:pPr>
      <w:r>
        <w:rPr>
          <w:bCs/>
        </w:rPr>
        <w:t xml:space="preserve">This contribution discusses if it </w:t>
      </w:r>
      <w:r w:rsidR="00316A6A">
        <w:rPr>
          <w:bCs/>
        </w:rPr>
        <w:t>were</w:t>
      </w:r>
      <w:r>
        <w:rPr>
          <w:bCs/>
        </w:rPr>
        <w:t xml:space="preserve"> more beneficial to define </w:t>
      </w:r>
      <w:r w:rsidR="0073087B">
        <w:rPr>
          <w:bCs/>
        </w:rPr>
        <w:t xml:space="preserve">NR </w:t>
      </w:r>
      <w:r>
        <w:rPr>
          <w:bCs/>
        </w:rPr>
        <w:t xml:space="preserve">single CC bandwidths </w:t>
      </w:r>
      <w:r w:rsidR="0073087B">
        <w:rPr>
          <w:bCs/>
        </w:rPr>
        <w:t>up to</w:t>
      </w:r>
      <w:r>
        <w:rPr>
          <w:bCs/>
        </w:rPr>
        <w:t xml:space="preserve"> </w:t>
      </w:r>
      <w:r w:rsidR="0073087B">
        <w:rPr>
          <w:bCs/>
        </w:rPr>
        <w:t>40</w:t>
      </w:r>
      <w:r>
        <w:rPr>
          <w:bCs/>
        </w:rPr>
        <w:t xml:space="preserve">MHz with </w:t>
      </w:r>
      <w:r w:rsidR="003C3707">
        <w:rPr>
          <w:bCs/>
        </w:rPr>
        <w:t>band specific</w:t>
      </w:r>
      <w:r>
        <w:rPr>
          <w:bCs/>
        </w:rPr>
        <w:t xml:space="preserve"> granularity</w:t>
      </w:r>
      <w:r w:rsidR="0073087B">
        <w:rPr>
          <w:bCs/>
        </w:rPr>
        <w:t xml:space="preserve"> </w:t>
      </w:r>
      <w:r w:rsidR="003D3C03">
        <w:rPr>
          <w:bCs/>
        </w:rPr>
        <w:t xml:space="preserve">for the </w:t>
      </w:r>
      <w:r w:rsidR="002677E0">
        <w:rPr>
          <w:bCs/>
        </w:rPr>
        <w:t xml:space="preserve">LTE re-farming </w:t>
      </w:r>
      <w:r w:rsidR="003D3C03">
        <w:rPr>
          <w:bCs/>
        </w:rPr>
        <w:t xml:space="preserve">bands which would otherwise use intra-band contiguous CA to implement </w:t>
      </w:r>
      <w:r w:rsidR="008C1630">
        <w:rPr>
          <w:bCs/>
        </w:rPr>
        <w:t xml:space="preserve">up to </w:t>
      </w:r>
      <w:r w:rsidR="003D3C03">
        <w:rPr>
          <w:bCs/>
        </w:rPr>
        <w:t xml:space="preserve">40MHz </w:t>
      </w:r>
      <w:r w:rsidR="008C1630">
        <w:rPr>
          <w:bCs/>
        </w:rPr>
        <w:t xml:space="preserve">aggregated </w:t>
      </w:r>
      <w:r w:rsidR="003D3C03">
        <w:rPr>
          <w:bCs/>
        </w:rPr>
        <w:t>bandwidth.</w:t>
      </w:r>
      <w:r w:rsidR="00A63034">
        <w:rPr>
          <w:bCs/>
        </w:rPr>
        <w:t xml:space="preserve"> </w:t>
      </w:r>
      <w:r w:rsidR="00AE326E">
        <w:rPr>
          <w:bCs/>
        </w:rPr>
        <w:t>There are &gt;10 bands in LTE for which CA class C is defined.</w:t>
      </w:r>
    </w:p>
    <w:p w14:paraId="70A56135" w14:textId="00E41847" w:rsidR="00316A6A" w:rsidRDefault="00316A6A" w:rsidP="009624B1">
      <w:pPr>
        <w:spacing w:after="0"/>
        <w:rPr>
          <w:bCs/>
        </w:rPr>
      </w:pPr>
    </w:p>
    <w:p w14:paraId="49841FAE" w14:textId="4DA4A3A2" w:rsidR="00316A6A" w:rsidRDefault="00316A6A" w:rsidP="009624B1">
      <w:pPr>
        <w:spacing w:after="0"/>
        <w:rPr>
          <w:bCs/>
        </w:rPr>
      </w:pPr>
      <w:r>
        <w:rPr>
          <w:bCs/>
        </w:rPr>
        <w:t xml:space="preserve">Let’s </w:t>
      </w:r>
      <w:r w:rsidR="007C7ABA">
        <w:rPr>
          <w:bCs/>
        </w:rPr>
        <w:t>use band B1 as an example. B1</w:t>
      </w:r>
      <w:r>
        <w:rPr>
          <w:bCs/>
        </w:rPr>
        <w:t xml:space="preserve"> has 5/10/15/20 MHz bandwidth</w:t>
      </w:r>
      <w:r w:rsidR="00F010FB">
        <w:rPr>
          <w:bCs/>
        </w:rPr>
        <w:t>s</w:t>
      </w:r>
      <w:r>
        <w:rPr>
          <w:bCs/>
        </w:rPr>
        <w:t>.</w:t>
      </w:r>
      <w:r w:rsidR="00F010FB">
        <w:rPr>
          <w:bCs/>
        </w:rPr>
        <w:t xml:space="preserve"> It has</w:t>
      </w:r>
      <w:r>
        <w:rPr>
          <w:bCs/>
        </w:rPr>
        <w:t xml:space="preserve"> intra-band contiguous CA </w:t>
      </w:r>
      <w:r w:rsidR="00B118AF">
        <w:rPr>
          <w:bCs/>
        </w:rPr>
        <w:t>defined with 25/30/35/40MHz aggregated bandwidths</w:t>
      </w:r>
      <w:r>
        <w:rPr>
          <w:bCs/>
        </w:rPr>
        <w:t>.</w:t>
      </w:r>
      <w:r w:rsidR="00B44A20">
        <w:rPr>
          <w:bCs/>
        </w:rPr>
        <w:t xml:space="preserve"> In LTE re-farming</w:t>
      </w:r>
      <w:r>
        <w:rPr>
          <w:bCs/>
        </w:rPr>
        <w:t xml:space="preserve">, it has been used as a baseline that at least the </w:t>
      </w:r>
      <w:r w:rsidR="00B44A20">
        <w:rPr>
          <w:bCs/>
        </w:rPr>
        <w:t xml:space="preserve">same bandwidths equal or above 5MHz are supported in NR. </w:t>
      </w:r>
      <w:r w:rsidR="00B118AF">
        <w:rPr>
          <w:bCs/>
        </w:rPr>
        <w:t>Hence n1 bandwidths</w:t>
      </w:r>
      <w:r w:rsidR="00F010FB">
        <w:rPr>
          <w:bCs/>
        </w:rPr>
        <w:t xml:space="preserve"> are</w:t>
      </w:r>
      <w:r w:rsidR="00B118AF">
        <w:rPr>
          <w:bCs/>
        </w:rPr>
        <w:t xml:space="preserve"> currently</w:t>
      </w:r>
      <w:r w:rsidR="00F010FB">
        <w:rPr>
          <w:bCs/>
        </w:rPr>
        <w:t xml:space="preserve"> 5/10/15/20MHz. </w:t>
      </w:r>
      <w:r w:rsidR="00B44A20">
        <w:rPr>
          <w:bCs/>
        </w:rPr>
        <w:t xml:space="preserve">In current specifications, </w:t>
      </w:r>
      <w:r w:rsidR="00E33950">
        <w:rPr>
          <w:bCs/>
        </w:rPr>
        <w:t xml:space="preserve">some </w:t>
      </w:r>
      <w:r w:rsidR="00B44A20">
        <w:rPr>
          <w:bCs/>
        </w:rPr>
        <w:t>new bandwidths &gt;20Mhz have been added for some LTE re-farming bands</w:t>
      </w:r>
      <w:r w:rsidR="00E33950">
        <w:rPr>
          <w:bCs/>
        </w:rPr>
        <w:t>.</w:t>
      </w:r>
    </w:p>
    <w:p w14:paraId="14EBAAC8" w14:textId="3003874F" w:rsidR="00B44A20" w:rsidRDefault="00B44A20" w:rsidP="009624B1">
      <w:pPr>
        <w:spacing w:after="0"/>
        <w:rPr>
          <w:bCs/>
        </w:rPr>
      </w:pPr>
    </w:p>
    <w:p w14:paraId="2243351E" w14:textId="3CC9D734" w:rsidR="00980503" w:rsidRDefault="007C7ABA" w:rsidP="009624B1">
      <w:pPr>
        <w:spacing w:after="0"/>
        <w:rPr>
          <w:bCs/>
        </w:rPr>
      </w:pPr>
      <w:r>
        <w:rPr>
          <w:bCs/>
        </w:rPr>
        <w:t xml:space="preserve">NR </w:t>
      </w:r>
      <w:r w:rsidR="00F010FB">
        <w:rPr>
          <w:bCs/>
        </w:rPr>
        <w:t xml:space="preserve">2CC </w:t>
      </w:r>
      <w:r>
        <w:rPr>
          <w:bCs/>
        </w:rPr>
        <w:t>intra-band contig</w:t>
      </w:r>
      <w:r w:rsidR="00A162AF">
        <w:rPr>
          <w:bCs/>
        </w:rPr>
        <w:t>uous CA for band n1 would</w:t>
      </w:r>
      <w:r w:rsidR="00F010FB">
        <w:rPr>
          <w:bCs/>
        </w:rPr>
        <w:t xml:space="preserve"> be defined </w:t>
      </w:r>
      <w:r w:rsidR="00A162AF">
        <w:rPr>
          <w:bCs/>
        </w:rPr>
        <w:t xml:space="preserve">according to n1 operator specific requests, possibly leading into </w:t>
      </w:r>
      <w:r w:rsidR="00F010FB">
        <w:rPr>
          <w:bCs/>
        </w:rPr>
        <w:t>25/30/35/40MHz</w:t>
      </w:r>
      <w:r w:rsidR="00A162AF">
        <w:rPr>
          <w:bCs/>
        </w:rPr>
        <w:t xml:space="preserve"> aggregated bandwidth granularity</w:t>
      </w:r>
      <w:r w:rsidR="00F010FB">
        <w:rPr>
          <w:bCs/>
        </w:rPr>
        <w:t xml:space="preserve">. The question we would like </w:t>
      </w:r>
      <w:r w:rsidR="00BA1272">
        <w:rPr>
          <w:bCs/>
        </w:rPr>
        <w:t xml:space="preserve">RAN4 </w:t>
      </w:r>
      <w:r w:rsidR="00F010FB">
        <w:rPr>
          <w:bCs/>
        </w:rPr>
        <w:t xml:space="preserve">to discuss is whether it would be </w:t>
      </w:r>
      <w:r w:rsidR="004B5E73">
        <w:rPr>
          <w:bCs/>
        </w:rPr>
        <w:t>more attractive</w:t>
      </w:r>
      <w:r w:rsidR="004F7FD7">
        <w:rPr>
          <w:bCs/>
        </w:rPr>
        <w:t xml:space="preserve"> to</w:t>
      </w:r>
      <w:r w:rsidR="00980503">
        <w:rPr>
          <w:bCs/>
        </w:rPr>
        <w:t xml:space="preserve"> define new single CC bandwidths for LTE re-farming bands instead of using intra-band contiguous CA from day one? If </w:t>
      </w:r>
      <w:r w:rsidR="00D57C86">
        <w:rPr>
          <w:bCs/>
        </w:rPr>
        <w:t>band specific</w:t>
      </w:r>
      <w:r w:rsidR="00147751">
        <w:rPr>
          <w:bCs/>
        </w:rPr>
        <w:t xml:space="preserve"> &lt;20MHz </w:t>
      </w:r>
      <w:r w:rsidR="00980503">
        <w:rPr>
          <w:bCs/>
        </w:rPr>
        <w:t xml:space="preserve">single CC bandwidths </w:t>
      </w:r>
      <w:r w:rsidR="00147751">
        <w:rPr>
          <w:bCs/>
        </w:rPr>
        <w:t>up to 40MHz were defined</w:t>
      </w:r>
      <w:r w:rsidR="00980503">
        <w:rPr>
          <w:bCs/>
        </w:rPr>
        <w:t xml:space="preserve">, then there would be no need for intra-band contiguous CA for aggregated bandwidths </w:t>
      </w:r>
      <w:r w:rsidR="00980503">
        <w:rPr>
          <w:bCs/>
        </w:rPr>
        <w:sym w:font="Symbol" w:char="F0A3"/>
      </w:r>
      <w:r w:rsidR="00980503">
        <w:rPr>
          <w:bCs/>
        </w:rPr>
        <w:t>40MHz.</w:t>
      </w:r>
    </w:p>
    <w:p w14:paraId="5CB783D3" w14:textId="07491497" w:rsidR="00BA1272" w:rsidRDefault="00BA1272" w:rsidP="009624B1">
      <w:pPr>
        <w:spacing w:after="0"/>
        <w:rPr>
          <w:bCs/>
        </w:rPr>
      </w:pPr>
    </w:p>
    <w:p w14:paraId="3BE5C626" w14:textId="4FFD9CCC" w:rsidR="00E25A91" w:rsidRPr="00B6121A" w:rsidRDefault="00E25A91" w:rsidP="00E25A91">
      <w:pPr>
        <w:spacing w:after="0"/>
        <w:rPr>
          <w:b/>
          <w:bCs/>
        </w:rPr>
      </w:pPr>
      <w:r w:rsidRPr="00BA1272">
        <w:rPr>
          <w:b/>
          <w:bCs/>
        </w:rPr>
        <w:t xml:space="preserve">Question: Should RAN4 define </w:t>
      </w:r>
      <w:r w:rsidR="00D57C86">
        <w:rPr>
          <w:b/>
          <w:bCs/>
        </w:rPr>
        <w:t>band specific</w:t>
      </w:r>
      <w:r w:rsidR="00572389">
        <w:rPr>
          <w:b/>
          <w:bCs/>
        </w:rPr>
        <w:t xml:space="preserve"> &gt;20MHz </w:t>
      </w:r>
      <w:r w:rsidRPr="00BA1272">
        <w:rPr>
          <w:b/>
          <w:bCs/>
        </w:rPr>
        <w:t>sing</w:t>
      </w:r>
      <w:r>
        <w:rPr>
          <w:b/>
          <w:bCs/>
        </w:rPr>
        <w:t xml:space="preserve">le CC bandwidths </w:t>
      </w:r>
      <w:r w:rsidR="00572389">
        <w:rPr>
          <w:b/>
          <w:bCs/>
        </w:rPr>
        <w:t>up to 40MHz</w:t>
      </w:r>
      <w:r w:rsidR="0047281F">
        <w:rPr>
          <w:b/>
          <w:bCs/>
        </w:rPr>
        <w:t xml:space="preserve"> </w:t>
      </w:r>
      <w:r>
        <w:rPr>
          <w:b/>
          <w:bCs/>
        </w:rPr>
        <w:t>for</w:t>
      </w:r>
      <w:r w:rsidRPr="00BA1272">
        <w:rPr>
          <w:b/>
          <w:bCs/>
        </w:rPr>
        <w:t xml:space="preserve"> LTE re-</w:t>
      </w:r>
      <w:r>
        <w:rPr>
          <w:b/>
          <w:bCs/>
        </w:rPr>
        <w:t>farming bands instead of defining “LTE BW class C” type intra-band contiguous</w:t>
      </w:r>
      <w:r w:rsidRPr="00BA1272">
        <w:rPr>
          <w:b/>
          <w:bCs/>
        </w:rPr>
        <w:t xml:space="preserve"> CA</w:t>
      </w:r>
      <w:r w:rsidR="0047281F">
        <w:rPr>
          <w:b/>
          <w:bCs/>
        </w:rPr>
        <w:t xml:space="preserve"> for these bands</w:t>
      </w:r>
      <w:r w:rsidRPr="00BA1272">
        <w:rPr>
          <w:b/>
          <w:bCs/>
        </w:rPr>
        <w:t>?</w:t>
      </w:r>
    </w:p>
    <w:p w14:paraId="12F01EE5" w14:textId="11B2956F" w:rsidR="00980503" w:rsidRDefault="00980503" w:rsidP="009624B1">
      <w:pPr>
        <w:spacing w:after="0"/>
        <w:rPr>
          <w:bCs/>
        </w:rPr>
      </w:pPr>
    </w:p>
    <w:p w14:paraId="6DE25A8D" w14:textId="730A4829" w:rsidR="00CE7184" w:rsidRDefault="00703791" w:rsidP="009624B1">
      <w:pPr>
        <w:spacing w:after="0"/>
        <w:rPr>
          <w:bCs/>
        </w:rPr>
      </w:pPr>
      <w:r>
        <w:rPr>
          <w:bCs/>
        </w:rPr>
        <w:t>There are several aspects that need to be accounted</w:t>
      </w:r>
      <w:r w:rsidR="00B25E75">
        <w:rPr>
          <w:bCs/>
        </w:rPr>
        <w:t xml:space="preserve"> for</w:t>
      </w:r>
      <w:r>
        <w:rPr>
          <w:bCs/>
        </w:rPr>
        <w:t xml:space="preserve">. We mention a couple of them just to initiate discussion. </w:t>
      </w:r>
    </w:p>
    <w:p w14:paraId="3F300078" w14:textId="77777777" w:rsidR="00F8708D" w:rsidRDefault="00F8708D" w:rsidP="009624B1">
      <w:pPr>
        <w:spacing w:after="0"/>
        <w:rPr>
          <w:bCs/>
        </w:rPr>
      </w:pPr>
    </w:p>
    <w:p w14:paraId="2DD49C34" w14:textId="340589AD" w:rsidR="00E25A91" w:rsidRPr="00E25A91" w:rsidRDefault="00E25A91" w:rsidP="00F8708D">
      <w:pPr>
        <w:pStyle w:val="ListParagraph"/>
        <w:numPr>
          <w:ilvl w:val="0"/>
          <w:numId w:val="6"/>
        </w:numPr>
        <w:rPr>
          <w:bCs/>
          <w:sz w:val="20"/>
          <w:szCs w:val="20"/>
          <w:lang w:val="en-US"/>
        </w:rPr>
      </w:pPr>
      <w:r w:rsidRPr="00E25A91">
        <w:rPr>
          <w:bCs/>
          <w:sz w:val="20"/>
          <w:szCs w:val="20"/>
          <w:lang w:val="en-US"/>
        </w:rPr>
        <w:t xml:space="preserve">New single CC bandwidths would bring more complexity at least in single CC specifications </w:t>
      </w:r>
      <w:r w:rsidR="0034626F">
        <w:rPr>
          <w:bCs/>
          <w:sz w:val="20"/>
          <w:szCs w:val="20"/>
          <w:lang w:val="en-US"/>
        </w:rPr>
        <w:t xml:space="preserve">because of potential introduction of 25/30/35/40MHz bandwidths </w:t>
      </w:r>
      <w:r w:rsidRPr="00E25A91">
        <w:rPr>
          <w:bCs/>
          <w:sz w:val="20"/>
          <w:szCs w:val="20"/>
          <w:lang w:val="en-US"/>
        </w:rPr>
        <w:t xml:space="preserve">and would need to be considered in conformance testing; however not introducing 2CC intra-band CA for these bands would reduce the complexity and likely, reduce overall conformance testing. </w:t>
      </w:r>
    </w:p>
    <w:p w14:paraId="3C3F497E" w14:textId="78915604" w:rsidR="00CE7184" w:rsidRPr="00F8708D" w:rsidRDefault="00703791" w:rsidP="00F8708D">
      <w:pPr>
        <w:pStyle w:val="ListParagraph"/>
        <w:numPr>
          <w:ilvl w:val="0"/>
          <w:numId w:val="6"/>
        </w:numPr>
        <w:rPr>
          <w:bCs/>
          <w:sz w:val="20"/>
          <w:szCs w:val="20"/>
          <w:lang w:val="en-US"/>
        </w:rPr>
      </w:pPr>
      <w:r w:rsidRPr="00F8708D">
        <w:rPr>
          <w:bCs/>
          <w:sz w:val="20"/>
          <w:szCs w:val="20"/>
          <w:lang w:val="en-US"/>
        </w:rPr>
        <w:t xml:space="preserve">Another aspect is whether it is more practical from both network and UE perspective to have wider single CC bandwidths as the </w:t>
      </w:r>
      <w:r w:rsidR="00C31B2C" w:rsidRPr="00F8708D">
        <w:rPr>
          <w:bCs/>
          <w:sz w:val="20"/>
          <w:szCs w:val="20"/>
          <w:lang w:val="en-US"/>
        </w:rPr>
        <w:t xml:space="preserve">SCELL </w:t>
      </w:r>
      <w:r w:rsidRPr="00F8708D">
        <w:rPr>
          <w:bCs/>
          <w:sz w:val="20"/>
          <w:szCs w:val="20"/>
          <w:lang w:val="en-US"/>
        </w:rPr>
        <w:t>configuration/reconfiguration t</w:t>
      </w:r>
      <w:r w:rsidR="00C31B2C" w:rsidRPr="00F8708D">
        <w:rPr>
          <w:bCs/>
          <w:sz w:val="20"/>
          <w:szCs w:val="20"/>
          <w:lang w:val="en-US"/>
        </w:rPr>
        <w:t xml:space="preserve">ime </w:t>
      </w:r>
      <w:r w:rsidR="00E25A91">
        <w:rPr>
          <w:bCs/>
          <w:sz w:val="20"/>
          <w:szCs w:val="20"/>
          <w:lang w:val="en-US"/>
        </w:rPr>
        <w:t xml:space="preserve">is </w:t>
      </w:r>
      <w:r w:rsidR="00C31B2C" w:rsidRPr="00F8708D">
        <w:rPr>
          <w:bCs/>
          <w:sz w:val="20"/>
          <w:szCs w:val="20"/>
          <w:lang w:val="en-US"/>
        </w:rPr>
        <w:t>quite short.</w:t>
      </w:r>
      <w:r w:rsidR="00846729" w:rsidRPr="00F8708D">
        <w:rPr>
          <w:bCs/>
          <w:sz w:val="20"/>
          <w:szCs w:val="20"/>
          <w:lang w:val="en-US"/>
        </w:rPr>
        <w:t xml:space="preserve"> </w:t>
      </w:r>
    </w:p>
    <w:p w14:paraId="50FF1049" w14:textId="2E9700FD" w:rsidR="00CE7184" w:rsidRPr="00F8708D" w:rsidRDefault="00846729" w:rsidP="00F8708D">
      <w:pPr>
        <w:pStyle w:val="ListParagraph"/>
        <w:numPr>
          <w:ilvl w:val="0"/>
          <w:numId w:val="6"/>
        </w:numPr>
        <w:rPr>
          <w:bCs/>
          <w:sz w:val="20"/>
          <w:szCs w:val="20"/>
          <w:lang w:val="en-US"/>
        </w:rPr>
      </w:pPr>
      <w:r w:rsidRPr="00F8708D">
        <w:rPr>
          <w:bCs/>
          <w:sz w:val="20"/>
          <w:szCs w:val="20"/>
          <w:lang w:val="en-US"/>
        </w:rPr>
        <w:t>Third aspect is UE</w:t>
      </w:r>
      <w:r w:rsidR="003E4F32">
        <w:rPr>
          <w:bCs/>
          <w:sz w:val="20"/>
          <w:szCs w:val="20"/>
          <w:lang w:val="en-US"/>
        </w:rPr>
        <w:t xml:space="preserve"> baseband</w:t>
      </w:r>
      <w:r w:rsidRPr="00F8708D">
        <w:rPr>
          <w:bCs/>
          <w:sz w:val="20"/>
          <w:szCs w:val="20"/>
          <w:lang w:val="en-US"/>
        </w:rPr>
        <w:t xml:space="preserve"> impact, where different FFT’s could be used for CA compared with a single FFT for single CC.</w:t>
      </w:r>
    </w:p>
    <w:p w14:paraId="48C43BF6" w14:textId="4E17139D" w:rsidR="00E3786C" w:rsidRPr="007C4ECF" w:rsidRDefault="00E3786C" w:rsidP="00F8708D">
      <w:pPr>
        <w:pStyle w:val="ListParagraph"/>
        <w:numPr>
          <w:ilvl w:val="0"/>
          <w:numId w:val="6"/>
        </w:numPr>
        <w:rPr>
          <w:bCs/>
          <w:lang w:val="en-US"/>
        </w:rPr>
      </w:pPr>
      <w:r w:rsidRPr="00F8708D">
        <w:rPr>
          <w:bCs/>
          <w:sz w:val="20"/>
          <w:szCs w:val="20"/>
          <w:lang w:val="en-US"/>
        </w:rPr>
        <w:t>Fourt</w:t>
      </w:r>
      <w:r w:rsidR="00CE7184" w:rsidRPr="00F8708D">
        <w:rPr>
          <w:bCs/>
          <w:sz w:val="20"/>
          <w:szCs w:val="20"/>
          <w:lang w:val="en-US"/>
        </w:rPr>
        <w:t>h aspect relates to aggregated bandwidths with current NR bands</w:t>
      </w:r>
      <w:r w:rsidR="001E7FFE" w:rsidRPr="00F8708D">
        <w:rPr>
          <w:bCs/>
          <w:sz w:val="20"/>
          <w:szCs w:val="20"/>
          <w:lang w:val="en-US"/>
        </w:rPr>
        <w:t xml:space="preserve"> where </w:t>
      </w:r>
      <w:r w:rsidR="00675F95" w:rsidRPr="00F8708D">
        <w:rPr>
          <w:bCs/>
          <w:sz w:val="20"/>
          <w:szCs w:val="20"/>
          <w:lang w:val="en-US"/>
        </w:rPr>
        <w:t>some wider bandwidths are added</w:t>
      </w:r>
      <w:r w:rsidR="00CE7184" w:rsidRPr="00F8708D">
        <w:rPr>
          <w:bCs/>
          <w:sz w:val="20"/>
          <w:szCs w:val="20"/>
          <w:lang w:val="en-US"/>
        </w:rPr>
        <w:t xml:space="preserve">. </w:t>
      </w:r>
      <w:r w:rsidR="00CE7184" w:rsidRPr="00DA5730">
        <w:rPr>
          <w:bCs/>
          <w:sz w:val="20"/>
          <w:szCs w:val="20"/>
          <w:lang w:val="en-US"/>
        </w:rPr>
        <w:t>For instance</w:t>
      </w:r>
      <w:r w:rsidR="007B630A" w:rsidRPr="00DA5730">
        <w:rPr>
          <w:bCs/>
          <w:sz w:val="20"/>
          <w:szCs w:val="20"/>
          <w:lang w:val="en-US"/>
        </w:rPr>
        <w:t>,</w:t>
      </w:r>
      <w:r w:rsidR="00CE7184" w:rsidRPr="00DA5730">
        <w:rPr>
          <w:bCs/>
          <w:sz w:val="20"/>
          <w:szCs w:val="20"/>
          <w:lang w:val="en-US"/>
        </w:rPr>
        <w:t xml:space="preserve"> </w:t>
      </w:r>
      <w:r w:rsidR="00DA5730" w:rsidRPr="00DA5730">
        <w:rPr>
          <w:bCs/>
          <w:sz w:val="20"/>
          <w:szCs w:val="20"/>
          <w:lang w:val="en-US"/>
        </w:rPr>
        <w:t xml:space="preserve">n66 has single </w:t>
      </w:r>
      <w:r w:rsidR="007C4ECF">
        <w:rPr>
          <w:bCs/>
          <w:sz w:val="20"/>
          <w:szCs w:val="20"/>
          <w:lang w:val="en-US"/>
        </w:rPr>
        <w:t xml:space="preserve">CC bandwidths 5/10/15/20/40. Hence </w:t>
      </w:r>
      <w:r w:rsidR="00CE7184" w:rsidRPr="00DA5730">
        <w:rPr>
          <w:bCs/>
          <w:sz w:val="20"/>
          <w:szCs w:val="20"/>
          <w:lang w:val="en-US"/>
        </w:rPr>
        <w:t>CA_n66C would result as aggregated bandwidths 25/30/35/</w:t>
      </w:r>
      <w:r w:rsidR="00E87084" w:rsidRPr="00DA5730">
        <w:rPr>
          <w:bCs/>
          <w:sz w:val="20"/>
          <w:szCs w:val="20"/>
          <w:lang w:val="en-US"/>
        </w:rPr>
        <w:t xml:space="preserve">45/50/55/60/80. </w:t>
      </w:r>
      <w:r w:rsidR="00E87084" w:rsidRPr="007C4ECF">
        <w:rPr>
          <w:bCs/>
          <w:sz w:val="20"/>
          <w:szCs w:val="20"/>
          <w:lang w:val="en-US"/>
        </w:rPr>
        <w:t>Does RAN4 see any issues with having some aggregated bandwidths (25/30/35) being smaller than maxim</w:t>
      </w:r>
      <w:r w:rsidR="007C4ECF">
        <w:rPr>
          <w:bCs/>
          <w:sz w:val="20"/>
          <w:szCs w:val="20"/>
          <w:lang w:val="en-US"/>
        </w:rPr>
        <w:t>um single carrier bandwidth</w:t>
      </w:r>
      <w:r w:rsidR="00E87084" w:rsidRPr="007C4ECF">
        <w:rPr>
          <w:bCs/>
          <w:sz w:val="20"/>
          <w:szCs w:val="20"/>
          <w:lang w:val="en-US"/>
        </w:rPr>
        <w:t>?</w:t>
      </w:r>
    </w:p>
    <w:p w14:paraId="665F54DC" w14:textId="77777777" w:rsidR="00E3786C" w:rsidRDefault="00E3786C" w:rsidP="009624B1">
      <w:pPr>
        <w:spacing w:after="0"/>
        <w:rPr>
          <w:bCs/>
        </w:rPr>
      </w:pPr>
    </w:p>
    <w:p w14:paraId="0D530F40" w14:textId="2B3D3678" w:rsidR="00703791" w:rsidRDefault="00846729" w:rsidP="009624B1">
      <w:pPr>
        <w:spacing w:after="0"/>
        <w:rPr>
          <w:bCs/>
        </w:rPr>
      </w:pPr>
      <w:r>
        <w:rPr>
          <w:bCs/>
        </w:rPr>
        <w:lastRenderedPageBreak/>
        <w:t>All in all, it is not obvious which approach is better in the long run.</w:t>
      </w:r>
    </w:p>
    <w:p w14:paraId="2334C5F4" w14:textId="77777777" w:rsidR="00703791" w:rsidRDefault="00703791" w:rsidP="009624B1">
      <w:pPr>
        <w:spacing w:after="0"/>
        <w:rPr>
          <w:bCs/>
        </w:rPr>
      </w:pPr>
    </w:p>
    <w:p w14:paraId="126AB493" w14:textId="13CBD17E" w:rsidR="00B44A20" w:rsidRPr="00D31352" w:rsidRDefault="00BA1272" w:rsidP="009624B1">
      <w:pPr>
        <w:spacing w:after="0"/>
        <w:rPr>
          <w:bCs/>
        </w:rPr>
      </w:pPr>
      <w:r>
        <w:rPr>
          <w:bCs/>
        </w:rPr>
        <w:t xml:space="preserve">This question is important, because at least we initially think that </w:t>
      </w:r>
      <w:r w:rsidR="00D31352">
        <w:rPr>
          <w:bCs/>
        </w:rPr>
        <w:t>if RAN4 concludes adding wide</w:t>
      </w:r>
      <w:r w:rsidR="007052DE">
        <w:rPr>
          <w:bCs/>
        </w:rPr>
        <w:t>r single CC bandwidths is more beneficial</w:t>
      </w:r>
      <w:r w:rsidR="00D31352">
        <w:rPr>
          <w:bCs/>
        </w:rPr>
        <w:t xml:space="preserve"> </w:t>
      </w:r>
      <w:r w:rsidR="00791263">
        <w:rPr>
          <w:bCs/>
        </w:rPr>
        <w:t>than</w:t>
      </w:r>
      <w:r w:rsidR="00D31352">
        <w:rPr>
          <w:bCs/>
        </w:rPr>
        <w:t xml:space="preserve"> defining intra-band CA, the additions should be done </w:t>
      </w:r>
      <w:r w:rsidR="00EA1521">
        <w:rPr>
          <w:bCs/>
        </w:rPr>
        <w:t xml:space="preserve">early, </w:t>
      </w:r>
      <w:r w:rsidR="00216590">
        <w:rPr>
          <w:bCs/>
        </w:rPr>
        <w:t>preferably</w:t>
      </w:r>
      <w:r w:rsidR="00D31352">
        <w:rPr>
          <w:bCs/>
        </w:rPr>
        <w:t xml:space="preserve"> </w:t>
      </w:r>
      <w:r>
        <w:rPr>
          <w:bCs/>
        </w:rPr>
        <w:t>during release 15</w:t>
      </w:r>
      <w:r w:rsidR="000B2DCB">
        <w:rPr>
          <w:bCs/>
        </w:rPr>
        <w:t>.</w:t>
      </w:r>
      <w:r w:rsidR="00216590">
        <w:rPr>
          <w:bCs/>
        </w:rPr>
        <w:t xml:space="preserve"> </w:t>
      </w:r>
      <w:r w:rsidR="00D31352">
        <w:rPr>
          <w:bCs/>
        </w:rPr>
        <w:t xml:space="preserve">This is because it would likely not be </w:t>
      </w:r>
      <w:r w:rsidR="00216590">
        <w:rPr>
          <w:bCs/>
        </w:rPr>
        <w:t>practical</w:t>
      </w:r>
      <w:r w:rsidR="00D31352">
        <w:rPr>
          <w:bCs/>
        </w:rPr>
        <w:t xml:space="preserve"> to define intra-band contiguous CA first and then in later releases define wider bandwidths which </w:t>
      </w:r>
      <w:r w:rsidR="00292DD8">
        <w:rPr>
          <w:bCs/>
        </w:rPr>
        <w:t xml:space="preserve">would </w:t>
      </w:r>
      <w:r w:rsidR="00D31352">
        <w:rPr>
          <w:bCs/>
        </w:rPr>
        <w:t xml:space="preserve">make CA defined in earlier releases redundant. </w:t>
      </w:r>
      <w:r w:rsidR="007C7ABA">
        <w:rPr>
          <w:bCs/>
        </w:rPr>
        <w:t xml:space="preserve"> </w:t>
      </w:r>
    </w:p>
    <w:p w14:paraId="24509F54" w14:textId="5B0120DE" w:rsidR="00CD4C7B" w:rsidRDefault="00961E72" w:rsidP="00CD4C7B">
      <w:pPr>
        <w:pStyle w:val="Heading1"/>
      </w:pPr>
      <w:r>
        <w:t>3</w:t>
      </w:r>
      <w:r>
        <w:tab/>
      </w:r>
      <w:r w:rsidR="0010130E">
        <w:t>Conclusions</w:t>
      </w:r>
    </w:p>
    <w:p w14:paraId="3914E3A6" w14:textId="348D97BA" w:rsidR="00FE3894" w:rsidRDefault="00B6121A" w:rsidP="009624B1">
      <w:pPr>
        <w:rPr>
          <w:lang w:eastAsia="ja-JP"/>
        </w:rPr>
      </w:pPr>
      <w:r>
        <w:rPr>
          <w:lang w:eastAsia="ja-JP"/>
        </w:rPr>
        <w:t>Whether intra-band contiguous class C CA or defining additional bandwidths for LTE re-farming bands is more beneficial was discussed. We hope RAN4 would discuss the following question.</w:t>
      </w:r>
    </w:p>
    <w:p w14:paraId="56AC2283" w14:textId="77777777" w:rsidR="0091710B" w:rsidRPr="00B6121A" w:rsidRDefault="0091710B" w:rsidP="0091710B">
      <w:pPr>
        <w:spacing w:after="0"/>
        <w:rPr>
          <w:b/>
          <w:bCs/>
        </w:rPr>
      </w:pPr>
      <w:r w:rsidRPr="00BA1272">
        <w:rPr>
          <w:b/>
          <w:bCs/>
        </w:rPr>
        <w:t xml:space="preserve">Question: Should RAN4 define </w:t>
      </w:r>
      <w:r>
        <w:rPr>
          <w:b/>
          <w:bCs/>
        </w:rPr>
        <w:t xml:space="preserve">band specific &gt;20MHz </w:t>
      </w:r>
      <w:r w:rsidRPr="00BA1272">
        <w:rPr>
          <w:b/>
          <w:bCs/>
        </w:rPr>
        <w:t>sing</w:t>
      </w:r>
      <w:r>
        <w:rPr>
          <w:b/>
          <w:bCs/>
        </w:rPr>
        <w:t>le CC bandwidths up to 40MHz for</w:t>
      </w:r>
      <w:r w:rsidRPr="00BA1272">
        <w:rPr>
          <w:b/>
          <w:bCs/>
        </w:rPr>
        <w:t xml:space="preserve"> LTE re-</w:t>
      </w:r>
      <w:r>
        <w:rPr>
          <w:b/>
          <w:bCs/>
        </w:rPr>
        <w:t>farming bands instead of defining “LTE BW class C” type intra-band contiguous</w:t>
      </w:r>
      <w:r w:rsidRPr="00BA1272">
        <w:rPr>
          <w:b/>
          <w:bCs/>
        </w:rPr>
        <w:t xml:space="preserve"> CA</w:t>
      </w:r>
      <w:r>
        <w:rPr>
          <w:b/>
          <w:bCs/>
        </w:rPr>
        <w:t xml:space="preserve"> for these bands</w:t>
      </w:r>
      <w:r w:rsidRPr="00BA1272">
        <w:rPr>
          <w:b/>
          <w:bCs/>
        </w:rPr>
        <w:t>?</w:t>
      </w:r>
    </w:p>
    <w:p w14:paraId="32C425CB" w14:textId="77777777" w:rsidR="008C6DD7" w:rsidRPr="00E25A91" w:rsidRDefault="008C6DD7" w:rsidP="00FC6218">
      <w:pPr>
        <w:spacing w:after="0"/>
        <w:rPr>
          <w:b/>
          <w:sz w:val="18"/>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FF5036" w:rsidRDefault="00080512" w:rsidP="00961E72">
      <w:pPr>
        <w:overflowPunct w:val="0"/>
        <w:autoSpaceDE w:val="0"/>
        <w:autoSpaceDN w:val="0"/>
        <w:adjustRightInd w:val="0"/>
        <w:textAlignment w:val="baseline"/>
        <w:rPr>
          <w:sz w:val="18"/>
          <w:lang w:val="en-US" w:eastAsia="zh-CN"/>
        </w:rPr>
      </w:pPr>
      <w:bookmarkStart w:id="0" w:name="_GoBack"/>
      <w:bookmarkEnd w:id="0"/>
    </w:p>
    <w:sectPr w:rsidR="00080512" w:rsidRPr="00FF50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E76C2" w14:textId="77777777" w:rsidR="004C49B6" w:rsidRDefault="004C49B6">
      <w:r>
        <w:separator/>
      </w:r>
    </w:p>
  </w:endnote>
  <w:endnote w:type="continuationSeparator" w:id="0">
    <w:p w14:paraId="4DBBDCFE" w14:textId="77777777" w:rsidR="004C49B6" w:rsidRDefault="004C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FED67" w14:textId="77777777" w:rsidR="004C49B6" w:rsidRDefault="004C49B6">
      <w:r>
        <w:separator/>
      </w:r>
    </w:p>
  </w:footnote>
  <w:footnote w:type="continuationSeparator" w:id="0">
    <w:p w14:paraId="17C7B72B" w14:textId="77777777" w:rsidR="004C49B6" w:rsidRDefault="004C4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4F90"/>
    <w:rsid w:val="000951B9"/>
    <w:rsid w:val="00096076"/>
    <w:rsid w:val="00097704"/>
    <w:rsid w:val="000A1A7C"/>
    <w:rsid w:val="000A1E59"/>
    <w:rsid w:val="000A35FE"/>
    <w:rsid w:val="000A4929"/>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20C2B"/>
    <w:rsid w:val="0012407E"/>
    <w:rsid w:val="00131E28"/>
    <w:rsid w:val="001338CF"/>
    <w:rsid w:val="00135404"/>
    <w:rsid w:val="00141C5A"/>
    <w:rsid w:val="001424ED"/>
    <w:rsid w:val="0014380C"/>
    <w:rsid w:val="00144D27"/>
    <w:rsid w:val="001455DB"/>
    <w:rsid w:val="00147751"/>
    <w:rsid w:val="00147B64"/>
    <w:rsid w:val="001509A1"/>
    <w:rsid w:val="00150B43"/>
    <w:rsid w:val="001559A7"/>
    <w:rsid w:val="001565C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2A06"/>
    <w:rsid w:val="001A4F33"/>
    <w:rsid w:val="001B0809"/>
    <w:rsid w:val="001B1143"/>
    <w:rsid w:val="001B20C0"/>
    <w:rsid w:val="001B49C9"/>
    <w:rsid w:val="001B53E9"/>
    <w:rsid w:val="001B5463"/>
    <w:rsid w:val="001B7DA9"/>
    <w:rsid w:val="001C3C05"/>
    <w:rsid w:val="001C4D2A"/>
    <w:rsid w:val="001C5CCF"/>
    <w:rsid w:val="001C75B0"/>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475B"/>
    <w:rsid w:val="00216590"/>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49B1"/>
    <w:rsid w:val="002A4432"/>
    <w:rsid w:val="002B5DDB"/>
    <w:rsid w:val="002C1E0D"/>
    <w:rsid w:val="002C52AF"/>
    <w:rsid w:val="002C5FA8"/>
    <w:rsid w:val="002C614A"/>
    <w:rsid w:val="002C7FDB"/>
    <w:rsid w:val="002D3588"/>
    <w:rsid w:val="002E0FB4"/>
    <w:rsid w:val="002E331E"/>
    <w:rsid w:val="002F0779"/>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6A8"/>
    <w:rsid w:val="00322FA8"/>
    <w:rsid w:val="00324460"/>
    <w:rsid w:val="00325B90"/>
    <w:rsid w:val="00326069"/>
    <w:rsid w:val="0032658E"/>
    <w:rsid w:val="00326746"/>
    <w:rsid w:val="00326A5C"/>
    <w:rsid w:val="00326F85"/>
    <w:rsid w:val="00330F1F"/>
    <w:rsid w:val="00334429"/>
    <w:rsid w:val="00336B28"/>
    <w:rsid w:val="0034053B"/>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4F32"/>
    <w:rsid w:val="004175F1"/>
    <w:rsid w:val="0042092F"/>
    <w:rsid w:val="004220F2"/>
    <w:rsid w:val="0043021C"/>
    <w:rsid w:val="004320A7"/>
    <w:rsid w:val="00432EA4"/>
    <w:rsid w:val="004333E6"/>
    <w:rsid w:val="004337BD"/>
    <w:rsid w:val="00433D2A"/>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281F"/>
    <w:rsid w:val="00476542"/>
    <w:rsid w:val="00477455"/>
    <w:rsid w:val="00481014"/>
    <w:rsid w:val="004813D0"/>
    <w:rsid w:val="004819E2"/>
    <w:rsid w:val="00482066"/>
    <w:rsid w:val="004820E3"/>
    <w:rsid w:val="0048229C"/>
    <w:rsid w:val="004833DE"/>
    <w:rsid w:val="00486BF2"/>
    <w:rsid w:val="004871BD"/>
    <w:rsid w:val="004874FB"/>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533"/>
    <w:rsid w:val="004C49B6"/>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9000D"/>
    <w:rsid w:val="00590282"/>
    <w:rsid w:val="005916D6"/>
    <w:rsid w:val="005916E6"/>
    <w:rsid w:val="0059294C"/>
    <w:rsid w:val="005929E7"/>
    <w:rsid w:val="00592A31"/>
    <w:rsid w:val="005935C6"/>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06C4"/>
    <w:rsid w:val="005D343C"/>
    <w:rsid w:val="005D4960"/>
    <w:rsid w:val="005D7E55"/>
    <w:rsid w:val="005E36B0"/>
    <w:rsid w:val="005E5F83"/>
    <w:rsid w:val="005E7638"/>
    <w:rsid w:val="005F4717"/>
    <w:rsid w:val="005F5C79"/>
    <w:rsid w:val="00600984"/>
    <w:rsid w:val="006028B1"/>
    <w:rsid w:val="00602ADE"/>
    <w:rsid w:val="00603B49"/>
    <w:rsid w:val="00611352"/>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B043F"/>
    <w:rsid w:val="006B1823"/>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84E"/>
    <w:rsid w:val="0075694F"/>
    <w:rsid w:val="00757D40"/>
    <w:rsid w:val="00760C98"/>
    <w:rsid w:val="00762BD1"/>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63A4"/>
    <w:rsid w:val="0078727C"/>
    <w:rsid w:val="007900D8"/>
    <w:rsid w:val="00791263"/>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53F5"/>
    <w:rsid w:val="007B5E5E"/>
    <w:rsid w:val="007B630A"/>
    <w:rsid w:val="007C095F"/>
    <w:rsid w:val="007C20EA"/>
    <w:rsid w:val="007C25F4"/>
    <w:rsid w:val="007C27FA"/>
    <w:rsid w:val="007C367C"/>
    <w:rsid w:val="007C4ECF"/>
    <w:rsid w:val="007C7ABA"/>
    <w:rsid w:val="007C7F8A"/>
    <w:rsid w:val="007D0B55"/>
    <w:rsid w:val="007D4B8E"/>
    <w:rsid w:val="007D5ABF"/>
    <w:rsid w:val="007D5C06"/>
    <w:rsid w:val="007E0E7C"/>
    <w:rsid w:val="007E2C59"/>
    <w:rsid w:val="007E3F64"/>
    <w:rsid w:val="007E5ACF"/>
    <w:rsid w:val="007E6304"/>
    <w:rsid w:val="007F1977"/>
    <w:rsid w:val="007F3BC4"/>
    <w:rsid w:val="007F4834"/>
    <w:rsid w:val="00801BFD"/>
    <w:rsid w:val="00801EAD"/>
    <w:rsid w:val="008028A4"/>
    <w:rsid w:val="00803572"/>
    <w:rsid w:val="008068B6"/>
    <w:rsid w:val="00806CC4"/>
    <w:rsid w:val="00810F5A"/>
    <w:rsid w:val="00814B79"/>
    <w:rsid w:val="00816D4D"/>
    <w:rsid w:val="008201D0"/>
    <w:rsid w:val="0082090C"/>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E1E"/>
    <w:rsid w:val="00897816"/>
    <w:rsid w:val="008A068E"/>
    <w:rsid w:val="008A15F9"/>
    <w:rsid w:val="008A1F7A"/>
    <w:rsid w:val="008A28E3"/>
    <w:rsid w:val="008A4B4F"/>
    <w:rsid w:val="008A7413"/>
    <w:rsid w:val="008B0648"/>
    <w:rsid w:val="008B2259"/>
    <w:rsid w:val="008B5129"/>
    <w:rsid w:val="008B59AA"/>
    <w:rsid w:val="008B7A6D"/>
    <w:rsid w:val="008C1630"/>
    <w:rsid w:val="008C3221"/>
    <w:rsid w:val="008C68E6"/>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10B"/>
    <w:rsid w:val="009175D3"/>
    <w:rsid w:val="009214F0"/>
    <w:rsid w:val="00921AE5"/>
    <w:rsid w:val="00921B9C"/>
    <w:rsid w:val="0092298B"/>
    <w:rsid w:val="0092486C"/>
    <w:rsid w:val="00925C6D"/>
    <w:rsid w:val="00931061"/>
    <w:rsid w:val="009331D8"/>
    <w:rsid w:val="00933DF8"/>
    <w:rsid w:val="00933E02"/>
    <w:rsid w:val="0093665F"/>
    <w:rsid w:val="009368F7"/>
    <w:rsid w:val="00937869"/>
    <w:rsid w:val="00937E12"/>
    <w:rsid w:val="00940423"/>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2B9E"/>
    <w:rsid w:val="00974BB0"/>
    <w:rsid w:val="00977040"/>
    <w:rsid w:val="009771D0"/>
    <w:rsid w:val="0097768B"/>
    <w:rsid w:val="009802BA"/>
    <w:rsid w:val="00980503"/>
    <w:rsid w:val="00980D60"/>
    <w:rsid w:val="00983994"/>
    <w:rsid w:val="00985EF3"/>
    <w:rsid w:val="00987003"/>
    <w:rsid w:val="009905B5"/>
    <w:rsid w:val="00990BDE"/>
    <w:rsid w:val="0099108A"/>
    <w:rsid w:val="009921A4"/>
    <w:rsid w:val="0099231F"/>
    <w:rsid w:val="00994F8E"/>
    <w:rsid w:val="009957D3"/>
    <w:rsid w:val="0099715B"/>
    <w:rsid w:val="00997F3F"/>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59F8"/>
    <w:rsid w:val="00A7637D"/>
    <w:rsid w:val="00A76C91"/>
    <w:rsid w:val="00A80D61"/>
    <w:rsid w:val="00A82346"/>
    <w:rsid w:val="00A84BE4"/>
    <w:rsid w:val="00A84E1A"/>
    <w:rsid w:val="00A87097"/>
    <w:rsid w:val="00A94B07"/>
    <w:rsid w:val="00A9671C"/>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3011"/>
    <w:rsid w:val="00AC3159"/>
    <w:rsid w:val="00AC4BFF"/>
    <w:rsid w:val="00AD0ACD"/>
    <w:rsid w:val="00AD1B77"/>
    <w:rsid w:val="00AD2AA9"/>
    <w:rsid w:val="00AE040B"/>
    <w:rsid w:val="00AE1560"/>
    <w:rsid w:val="00AE326E"/>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18AF"/>
    <w:rsid w:val="00B151BE"/>
    <w:rsid w:val="00B15449"/>
    <w:rsid w:val="00B1576F"/>
    <w:rsid w:val="00B16E39"/>
    <w:rsid w:val="00B21FDB"/>
    <w:rsid w:val="00B22A1E"/>
    <w:rsid w:val="00B23C6D"/>
    <w:rsid w:val="00B2597D"/>
    <w:rsid w:val="00B25E75"/>
    <w:rsid w:val="00B3203F"/>
    <w:rsid w:val="00B35A7C"/>
    <w:rsid w:val="00B3671D"/>
    <w:rsid w:val="00B36A57"/>
    <w:rsid w:val="00B37D83"/>
    <w:rsid w:val="00B403B3"/>
    <w:rsid w:val="00B407B7"/>
    <w:rsid w:val="00B411F9"/>
    <w:rsid w:val="00B419A4"/>
    <w:rsid w:val="00B41E66"/>
    <w:rsid w:val="00B421F2"/>
    <w:rsid w:val="00B43351"/>
    <w:rsid w:val="00B44A20"/>
    <w:rsid w:val="00B47333"/>
    <w:rsid w:val="00B47FD1"/>
    <w:rsid w:val="00B504AD"/>
    <w:rsid w:val="00B50A82"/>
    <w:rsid w:val="00B52126"/>
    <w:rsid w:val="00B55E03"/>
    <w:rsid w:val="00B6121A"/>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1B2C"/>
    <w:rsid w:val="00C33045"/>
    <w:rsid w:val="00C33079"/>
    <w:rsid w:val="00C3520B"/>
    <w:rsid w:val="00C3799A"/>
    <w:rsid w:val="00C41961"/>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0AB7"/>
    <w:rsid w:val="00C826E1"/>
    <w:rsid w:val="00C83A13"/>
    <w:rsid w:val="00C87FD8"/>
    <w:rsid w:val="00C905FB"/>
    <w:rsid w:val="00C91888"/>
    <w:rsid w:val="00C92144"/>
    <w:rsid w:val="00C92312"/>
    <w:rsid w:val="00C938C1"/>
    <w:rsid w:val="00C9690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3697"/>
    <w:rsid w:val="00CC559E"/>
    <w:rsid w:val="00CD0236"/>
    <w:rsid w:val="00CD0344"/>
    <w:rsid w:val="00CD4C7B"/>
    <w:rsid w:val="00CD5B6D"/>
    <w:rsid w:val="00CD6153"/>
    <w:rsid w:val="00CD7510"/>
    <w:rsid w:val="00CE0A31"/>
    <w:rsid w:val="00CE1DFE"/>
    <w:rsid w:val="00CE2626"/>
    <w:rsid w:val="00CE4AA6"/>
    <w:rsid w:val="00CE58A8"/>
    <w:rsid w:val="00CE7184"/>
    <w:rsid w:val="00CE7864"/>
    <w:rsid w:val="00CF00CC"/>
    <w:rsid w:val="00CF14BD"/>
    <w:rsid w:val="00CF18E5"/>
    <w:rsid w:val="00CF3F24"/>
    <w:rsid w:val="00CF5589"/>
    <w:rsid w:val="00CF5AE0"/>
    <w:rsid w:val="00CF6031"/>
    <w:rsid w:val="00D0150E"/>
    <w:rsid w:val="00D01C09"/>
    <w:rsid w:val="00D04056"/>
    <w:rsid w:val="00D07A80"/>
    <w:rsid w:val="00D07CA9"/>
    <w:rsid w:val="00D13351"/>
    <w:rsid w:val="00D1629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5297"/>
    <w:rsid w:val="00D473A8"/>
    <w:rsid w:val="00D50815"/>
    <w:rsid w:val="00D50C17"/>
    <w:rsid w:val="00D52D09"/>
    <w:rsid w:val="00D5329B"/>
    <w:rsid w:val="00D55064"/>
    <w:rsid w:val="00D56B9A"/>
    <w:rsid w:val="00D57C86"/>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D11"/>
    <w:rsid w:val="00D97702"/>
    <w:rsid w:val="00DA16AB"/>
    <w:rsid w:val="00DA1E0A"/>
    <w:rsid w:val="00DA3EDB"/>
    <w:rsid w:val="00DA4750"/>
    <w:rsid w:val="00DA5730"/>
    <w:rsid w:val="00DA7A03"/>
    <w:rsid w:val="00DB00C4"/>
    <w:rsid w:val="00DB0D47"/>
    <w:rsid w:val="00DB1818"/>
    <w:rsid w:val="00DB2C8F"/>
    <w:rsid w:val="00DB5C8B"/>
    <w:rsid w:val="00DC1D94"/>
    <w:rsid w:val="00DC286F"/>
    <w:rsid w:val="00DC309B"/>
    <w:rsid w:val="00DC313D"/>
    <w:rsid w:val="00DC4DA2"/>
    <w:rsid w:val="00DC63E2"/>
    <w:rsid w:val="00DD650B"/>
    <w:rsid w:val="00DD6514"/>
    <w:rsid w:val="00DF3144"/>
    <w:rsid w:val="00DF416E"/>
    <w:rsid w:val="00DF59E1"/>
    <w:rsid w:val="00DF739E"/>
    <w:rsid w:val="00DF7DD5"/>
    <w:rsid w:val="00E001D3"/>
    <w:rsid w:val="00E013D4"/>
    <w:rsid w:val="00E013E9"/>
    <w:rsid w:val="00E03893"/>
    <w:rsid w:val="00E068E1"/>
    <w:rsid w:val="00E06A11"/>
    <w:rsid w:val="00E1575F"/>
    <w:rsid w:val="00E15B37"/>
    <w:rsid w:val="00E16739"/>
    <w:rsid w:val="00E17B8D"/>
    <w:rsid w:val="00E223B2"/>
    <w:rsid w:val="00E245FD"/>
    <w:rsid w:val="00E25A91"/>
    <w:rsid w:val="00E275A4"/>
    <w:rsid w:val="00E3044D"/>
    <w:rsid w:val="00E30CA7"/>
    <w:rsid w:val="00E31475"/>
    <w:rsid w:val="00E31797"/>
    <w:rsid w:val="00E33458"/>
    <w:rsid w:val="00E33950"/>
    <w:rsid w:val="00E3786C"/>
    <w:rsid w:val="00E4003A"/>
    <w:rsid w:val="00E4045F"/>
    <w:rsid w:val="00E43A7B"/>
    <w:rsid w:val="00E45AFE"/>
    <w:rsid w:val="00E47140"/>
    <w:rsid w:val="00E50EF6"/>
    <w:rsid w:val="00E53962"/>
    <w:rsid w:val="00E5474E"/>
    <w:rsid w:val="00E547A8"/>
    <w:rsid w:val="00E5681B"/>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5A1"/>
    <w:rsid w:val="00E77645"/>
    <w:rsid w:val="00E779F0"/>
    <w:rsid w:val="00E77E70"/>
    <w:rsid w:val="00E80362"/>
    <w:rsid w:val="00E80B82"/>
    <w:rsid w:val="00E811ED"/>
    <w:rsid w:val="00E82A65"/>
    <w:rsid w:val="00E830D4"/>
    <w:rsid w:val="00E8352B"/>
    <w:rsid w:val="00E83C1F"/>
    <w:rsid w:val="00E85882"/>
    <w:rsid w:val="00E87084"/>
    <w:rsid w:val="00E873D7"/>
    <w:rsid w:val="00E915F0"/>
    <w:rsid w:val="00E92666"/>
    <w:rsid w:val="00E9290D"/>
    <w:rsid w:val="00E92AC9"/>
    <w:rsid w:val="00E92D7E"/>
    <w:rsid w:val="00E938C2"/>
    <w:rsid w:val="00E93DCB"/>
    <w:rsid w:val="00E9454B"/>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CB"/>
    <w:rsid w:val="00EC4267"/>
    <w:rsid w:val="00EC4A25"/>
    <w:rsid w:val="00ED0BF1"/>
    <w:rsid w:val="00ED2291"/>
    <w:rsid w:val="00ED2AC2"/>
    <w:rsid w:val="00ED5488"/>
    <w:rsid w:val="00ED6583"/>
    <w:rsid w:val="00EE092F"/>
    <w:rsid w:val="00EE0F99"/>
    <w:rsid w:val="00EE4C68"/>
    <w:rsid w:val="00EE4D8F"/>
    <w:rsid w:val="00EE4EB4"/>
    <w:rsid w:val="00EE5764"/>
    <w:rsid w:val="00EE61A4"/>
    <w:rsid w:val="00EF1D58"/>
    <w:rsid w:val="00EF6B50"/>
    <w:rsid w:val="00F010FB"/>
    <w:rsid w:val="00F01491"/>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4976"/>
    <w:rsid w:val="00FD4B91"/>
    <w:rsid w:val="00FD5C27"/>
    <w:rsid w:val="00FD5DB4"/>
    <w:rsid w:val="00FD7712"/>
    <w:rsid w:val="00FE2651"/>
    <w:rsid w:val="00FE3894"/>
    <w:rsid w:val="00FE4362"/>
    <w:rsid w:val="00FE4560"/>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23519-1970-BB42-9121-DB0D2022A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457</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2018-02-19T06:51:00Z</dcterms:created>
  <dcterms:modified xsi:type="dcterms:W3CDTF">2018-02-19T11:17:00Z</dcterms:modified>
  <cp:category/>
</cp:coreProperties>
</file>