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w:t>
      </w:r>
      <w:r w:rsidR="00745AC8">
        <w:rPr>
          <w:rFonts w:ascii="Arial" w:hAnsi="Arial" w:cs="Arial"/>
          <w:sz w:val="28"/>
        </w:rPr>
        <w:t>5</w:t>
      </w:r>
      <w:r w:rsidRPr="00E77857">
        <w:rPr>
          <w:rFonts w:ascii="Arial" w:hAnsi="Arial" w:cs="Arial"/>
          <w:sz w:val="28"/>
        </w:rPr>
        <w:tab/>
        <w:t>R4-17</w:t>
      </w:r>
      <w:r>
        <w:rPr>
          <w:rFonts w:ascii="Arial" w:hAnsi="Arial" w:cs="Arial"/>
          <w:sz w:val="28"/>
        </w:rPr>
        <w:t>1</w:t>
      </w:r>
      <w:r w:rsidR="00A21FAA">
        <w:rPr>
          <w:rFonts w:ascii="Arial" w:hAnsi="Arial" w:cs="Arial"/>
          <w:sz w:val="28"/>
        </w:rPr>
        <w:t>2682</w:t>
      </w:r>
    </w:p>
    <w:p w:rsidR="00E42B4F" w:rsidRPr="00E77857" w:rsidRDefault="00745AC8" w:rsidP="00E42B4F">
      <w:pPr>
        <w:tabs>
          <w:tab w:val="right" w:pos="9781"/>
        </w:tabs>
        <w:rPr>
          <w:rFonts w:ascii="Arial" w:hAnsi="Arial" w:cs="Arial"/>
          <w:sz w:val="28"/>
        </w:rPr>
      </w:pPr>
      <w:r w:rsidRPr="00745AC8">
        <w:rPr>
          <w:rFonts w:ascii="Arial" w:hAnsi="Arial" w:cs="Arial"/>
          <w:sz w:val="28"/>
        </w:rPr>
        <w:t>Reno, Nevada, USA, 27 November – 1 December 2017</w:t>
      </w:r>
      <w:bookmarkStart w:id="0" w:name="_GoBack"/>
      <w:bookmarkEnd w:id="0"/>
    </w:p>
    <w:p w:rsidR="00E42B4F" w:rsidRPr="00E77857" w:rsidRDefault="00E42B4F" w:rsidP="00E42B4F">
      <w:pPr>
        <w:tabs>
          <w:tab w:val="left" w:pos="1985"/>
        </w:tabs>
        <w:rPr>
          <w:rFonts w:ascii="Arial" w:hAnsi="Arial"/>
          <w: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8</w:t>
      </w:r>
      <w:r w:rsidR="00E42B4F">
        <w:rPr>
          <w:rFonts w:ascii="Arial" w:hAnsi="Arial"/>
          <w:b/>
          <w:lang w:val="en-GB"/>
        </w:rPr>
        <w:t>.</w:t>
      </w:r>
      <w:r w:rsidR="003831B2">
        <w:rPr>
          <w:rFonts w:ascii="Arial" w:hAnsi="Arial"/>
          <w:b/>
          <w:lang w:val="en-GB"/>
        </w:rPr>
        <w:t>14</w:t>
      </w:r>
      <w:r w:rsidR="00EC6BEB">
        <w:rPr>
          <w:rFonts w:ascii="Arial" w:hAnsi="Arial"/>
          <w:b/>
          <w:lang w:val="en-G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E629AE">
        <w:rPr>
          <w:rFonts w:ascii="Arial" w:hAnsi="Arial" w:cs="Arial"/>
          <w:b/>
        </w:rPr>
        <w:t>Urban Macro D</w:t>
      </w:r>
      <w:r w:rsidR="003831B2">
        <w:rPr>
          <w:rFonts w:ascii="Arial" w:hAnsi="Arial" w:cs="Arial"/>
          <w:b/>
        </w:rPr>
        <w:t xml:space="preserve">ownlink 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for Extended-Band12</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14CF8">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C26B48" w:rsidP="001664E6">
      <w:pPr>
        <w:pStyle w:val="BodyText"/>
        <w:snapToGrid w:val="0"/>
        <w:rPr>
          <w:color w:val="000000"/>
          <w:szCs w:val="20"/>
        </w:rPr>
      </w:pPr>
      <w:r>
        <w:rPr>
          <w:color w:val="000000"/>
          <w:szCs w:val="20"/>
        </w:rPr>
        <w:t xml:space="preserve">The new work item on </w:t>
      </w:r>
      <w:r w:rsidRPr="00277283">
        <w:t>Extended-Band12 new E-UTRA Band</w:t>
      </w:r>
      <w:r w:rsidR="00B14CF8">
        <w:rPr>
          <w:color w:val="000000"/>
          <w:szCs w:val="20"/>
        </w:rPr>
        <w:t xml:space="preserve"> </w:t>
      </w:r>
      <w:r w:rsidR="00D87152" w:rsidRPr="00440EC2">
        <w:rPr>
          <w:color w:val="000000"/>
          <w:szCs w:val="20"/>
        </w:rPr>
        <w:t>w</w:t>
      </w:r>
      <w:r w:rsidR="00B14CF8">
        <w:rPr>
          <w:color w:val="000000"/>
          <w:szCs w:val="20"/>
        </w:rPr>
        <w:t>as</w:t>
      </w:r>
      <w:r w:rsidR="009647FE">
        <w:rPr>
          <w:color w:val="000000"/>
          <w:szCs w:val="20"/>
        </w:rPr>
        <w:t xml:space="preserve"> </w:t>
      </w:r>
      <w:r>
        <w:rPr>
          <w:color w:val="000000"/>
          <w:szCs w:val="20"/>
        </w:rPr>
        <w:t>approv</w:t>
      </w:r>
      <w:r w:rsidR="001D0753" w:rsidRPr="00440EC2">
        <w:rPr>
          <w:color w:val="000000"/>
          <w:szCs w:val="20"/>
        </w:rPr>
        <w:t xml:space="preserve">ed in </w:t>
      </w:r>
      <w:r>
        <w:rPr>
          <w:color w:val="000000"/>
          <w:szCs w:val="20"/>
        </w:rPr>
        <w:t xml:space="preserve">RAN#77 [1], where </w:t>
      </w:r>
      <w:r w:rsidRPr="00837B9A">
        <w:rPr>
          <w:bCs/>
        </w:rPr>
        <w:t>a study phase</w:t>
      </w:r>
      <w:r>
        <w:rPr>
          <w:bCs/>
        </w:rPr>
        <w:t xml:space="preserve"> was agreed </w:t>
      </w:r>
      <w:r w:rsidRPr="00837B9A">
        <w:rPr>
          <w:bCs/>
        </w:rPr>
        <w:t>to look at the co-existence impact</w:t>
      </w:r>
      <w:r>
        <w:rPr>
          <w:bCs/>
        </w:rPr>
        <w:t xml:space="preserve"> </w:t>
      </w:r>
      <w:r w:rsidRPr="00837B9A">
        <w:t>of interference on E Block performance from increased carriers in the A block in various deployment scenarios</w:t>
      </w:r>
      <w:r>
        <w:t>, c</w:t>
      </w:r>
      <w:r w:rsidRPr="00837B9A">
        <w:t>ompare the performance impact with and without the 1 MHz guard band</w:t>
      </w:r>
      <w:r>
        <w:t xml:space="preserve">. The </w:t>
      </w:r>
      <w:r w:rsidR="00397C16">
        <w:t>3</w:t>
      </w:r>
      <w:r>
        <w:t xml:space="preserve"> deployment scenarios </w:t>
      </w:r>
      <w:r w:rsidR="00397C16">
        <w:t xml:space="preserve">to be studied </w:t>
      </w:r>
      <w:r>
        <w:t>were approved in</w:t>
      </w:r>
      <w:r w:rsidRPr="00440EC2">
        <w:rPr>
          <w:color w:val="000000"/>
          <w:szCs w:val="20"/>
        </w:rPr>
        <w:t xml:space="preserve"> </w:t>
      </w:r>
      <w:r w:rsidR="001D0753" w:rsidRPr="00440EC2">
        <w:rPr>
          <w:color w:val="000000"/>
          <w:szCs w:val="20"/>
        </w:rPr>
        <w:t>RAN4</w:t>
      </w:r>
      <w:r w:rsidR="00D87152" w:rsidRPr="00440EC2">
        <w:rPr>
          <w:color w:val="000000"/>
          <w:szCs w:val="20"/>
        </w:rPr>
        <w:t>#</w:t>
      </w:r>
      <w:r w:rsidR="00B14CF8">
        <w:rPr>
          <w:color w:val="000000"/>
          <w:szCs w:val="20"/>
        </w:rPr>
        <w:t>84</w:t>
      </w:r>
      <w:r w:rsidR="00D83E69">
        <w:rPr>
          <w:color w:val="000000"/>
          <w:szCs w:val="20"/>
        </w:rPr>
        <w:t>Bis</w:t>
      </w:r>
      <w:r>
        <w:rPr>
          <w:color w:val="000000"/>
          <w:szCs w:val="20"/>
        </w:rPr>
        <w:t xml:space="preserve"> </w:t>
      </w:r>
      <w:r w:rsidR="00C51DC0" w:rsidRPr="00440EC2">
        <w:rPr>
          <w:color w:val="000000"/>
          <w:szCs w:val="20"/>
        </w:rPr>
        <w:t>[</w:t>
      </w:r>
      <w:r>
        <w:rPr>
          <w:color w:val="000000"/>
          <w:szCs w:val="20"/>
        </w:rPr>
        <w:t>2</w:t>
      </w:r>
      <w:r w:rsidR="00D83E69">
        <w:rPr>
          <w:color w:val="000000"/>
          <w:szCs w:val="20"/>
        </w:rPr>
        <w:t>].</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6162E9">
        <w:rPr>
          <w:rFonts w:eastAsia="宋体"/>
          <w:szCs w:val="20"/>
          <w:lang w:eastAsia="zh-CN"/>
        </w:rPr>
        <w:t xml:space="preserve">the </w:t>
      </w:r>
      <w:r w:rsidR="00E629AE">
        <w:rPr>
          <w:rFonts w:eastAsia="宋体"/>
          <w:szCs w:val="20"/>
          <w:lang w:eastAsia="zh-CN"/>
        </w:rPr>
        <w:t xml:space="preserve">urban macro </w:t>
      </w:r>
      <w:r w:rsidR="00C26B48">
        <w:rPr>
          <w:rFonts w:eastAsia="宋体"/>
          <w:szCs w:val="20"/>
          <w:lang w:eastAsia="zh-CN"/>
        </w:rPr>
        <w:t>downlink coexistence</w:t>
      </w:r>
      <w:r w:rsidR="00B14CF8" w:rsidRPr="00B14CF8">
        <w:rPr>
          <w:rFonts w:eastAsia="宋体"/>
          <w:szCs w:val="20"/>
          <w:lang w:eastAsia="zh-CN"/>
        </w:rPr>
        <w:t xml:space="preserve"> </w:t>
      </w:r>
      <w:r w:rsidR="00B14CF8">
        <w:rPr>
          <w:rFonts w:eastAsia="宋体"/>
          <w:szCs w:val="20"/>
          <w:lang w:eastAsia="zh-CN"/>
        </w:rPr>
        <w:t>s</w:t>
      </w:r>
      <w:r w:rsidR="00B14CF8" w:rsidRPr="00B14CF8">
        <w:rPr>
          <w:rFonts w:eastAsia="宋体"/>
          <w:szCs w:val="20"/>
          <w:lang w:eastAsia="zh-CN"/>
        </w:rPr>
        <w:t xml:space="preserve">imulation </w:t>
      </w:r>
      <w:r w:rsidR="00B14CF8">
        <w:rPr>
          <w:rFonts w:eastAsia="宋体"/>
          <w:szCs w:val="20"/>
          <w:lang w:eastAsia="zh-CN"/>
        </w:rPr>
        <w:t>r</w:t>
      </w:r>
      <w:r w:rsidR="00B14CF8" w:rsidRPr="00B14CF8">
        <w:rPr>
          <w:rFonts w:eastAsia="宋体"/>
          <w:szCs w:val="20"/>
          <w:lang w:eastAsia="zh-CN"/>
        </w:rPr>
        <w:t xml:space="preserve">esults </w:t>
      </w:r>
      <w:r w:rsidR="00C26B48">
        <w:rPr>
          <w:rFonts w:eastAsia="宋体"/>
          <w:szCs w:val="20"/>
          <w:lang w:eastAsia="zh-CN"/>
        </w:rPr>
        <w:t xml:space="preserve">using </w:t>
      </w:r>
      <w:r w:rsidR="00B14CF8">
        <w:rPr>
          <w:rFonts w:eastAsia="宋体"/>
          <w:szCs w:val="20"/>
          <w:lang w:eastAsia="zh-CN"/>
        </w:rPr>
        <w:t xml:space="preserve">the simulation </w:t>
      </w:r>
      <w:r w:rsidR="00C26B48">
        <w:rPr>
          <w:rFonts w:eastAsia="宋体"/>
          <w:szCs w:val="20"/>
          <w:lang w:eastAsia="zh-CN"/>
        </w:rPr>
        <w:t xml:space="preserve">assumptions and </w:t>
      </w:r>
      <w:r w:rsidR="00B14CF8">
        <w:rPr>
          <w:rFonts w:eastAsia="宋体"/>
          <w:szCs w:val="20"/>
          <w:lang w:eastAsia="zh-CN"/>
        </w:rPr>
        <w:t xml:space="preserve">parameters </w:t>
      </w:r>
      <w:r w:rsidR="00C26B48">
        <w:rPr>
          <w:rFonts w:eastAsia="宋体"/>
          <w:szCs w:val="20"/>
          <w:lang w:eastAsia="zh-CN"/>
        </w:rPr>
        <w:t>for E-UTRA and NB-IoT coe</w:t>
      </w:r>
      <w:r w:rsidR="00471C2F">
        <w:rPr>
          <w:rFonts w:eastAsia="宋体"/>
          <w:szCs w:val="20"/>
          <w:lang w:eastAsia="zh-CN"/>
        </w:rPr>
        <w:t xml:space="preserve">xistence studies </w:t>
      </w:r>
      <w:r w:rsidR="00397C16">
        <w:rPr>
          <w:rFonts w:eastAsia="宋体"/>
          <w:szCs w:val="20"/>
          <w:lang w:eastAsia="zh-CN"/>
        </w:rPr>
        <w:t xml:space="preserve">recorded </w:t>
      </w:r>
      <w:r w:rsidR="00B14CF8">
        <w:rPr>
          <w:rFonts w:eastAsia="宋体"/>
          <w:szCs w:val="20"/>
          <w:lang w:eastAsia="zh-CN"/>
        </w:rPr>
        <w:t xml:space="preserve">in </w:t>
      </w:r>
      <w:r w:rsidR="00D93844">
        <w:rPr>
          <w:rFonts w:eastAsia="宋体"/>
          <w:szCs w:val="20"/>
          <w:lang w:eastAsia="zh-CN"/>
        </w:rPr>
        <w:t xml:space="preserve">TR 36.942 </w:t>
      </w:r>
      <w:r w:rsidR="00B14CF8">
        <w:rPr>
          <w:rFonts w:eastAsia="宋体"/>
          <w:szCs w:val="20"/>
          <w:lang w:eastAsia="zh-CN"/>
        </w:rPr>
        <w:t>[</w:t>
      </w:r>
      <w:r w:rsidR="0081207C">
        <w:rPr>
          <w:rFonts w:eastAsia="宋体"/>
          <w:szCs w:val="20"/>
          <w:lang w:eastAsia="zh-CN"/>
        </w:rPr>
        <w:t>3</w:t>
      </w:r>
      <w:r w:rsidR="00B14CF8">
        <w:rPr>
          <w:rFonts w:eastAsia="宋体"/>
          <w:szCs w:val="20"/>
          <w:lang w:eastAsia="zh-CN"/>
        </w:rPr>
        <w:t xml:space="preserve">] </w:t>
      </w:r>
      <w:r w:rsidR="00C26B48">
        <w:rPr>
          <w:rFonts w:eastAsia="宋体"/>
          <w:szCs w:val="20"/>
          <w:lang w:eastAsia="zh-CN"/>
        </w:rPr>
        <w:t>and</w:t>
      </w:r>
      <w:r w:rsidR="0076534E">
        <w:rPr>
          <w:rFonts w:eastAsia="宋体"/>
          <w:szCs w:val="20"/>
          <w:lang w:eastAsia="zh-CN"/>
        </w:rPr>
        <w:t xml:space="preserve"> </w:t>
      </w:r>
      <w:r w:rsidR="00D93844">
        <w:rPr>
          <w:rFonts w:eastAsia="宋体"/>
          <w:szCs w:val="20"/>
          <w:lang w:eastAsia="zh-CN"/>
        </w:rPr>
        <w:t xml:space="preserve">TR 36.802 </w:t>
      </w:r>
      <w:r w:rsidR="0076534E">
        <w:rPr>
          <w:rFonts w:eastAsia="宋体"/>
          <w:szCs w:val="20"/>
          <w:lang w:eastAsia="zh-CN"/>
        </w:rPr>
        <w:t>[</w:t>
      </w:r>
      <w:r w:rsidR="0081207C">
        <w:rPr>
          <w:rFonts w:eastAsia="宋体"/>
          <w:szCs w:val="20"/>
          <w:lang w:eastAsia="zh-CN"/>
        </w:rPr>
        <w:t>4</w:t>
      </w:r>
      <w:r w:rsidR="0076534E">
        <w:rPr>
          <w:rFonts w:eastAsia="宋体"/>
          <w:szCs w:val="20"/>
          <w:lang w:eastAsia="zh-CN"/>
        </w:rPr>
        <w:t>]</w:t>
      </w:r>
      <w:r w:rsidR="00471C2F">
        <w:rPr>
          <w:rFonts w:eastAsia="宋体"/>
          <w:szCs w:val="20"/>
          <w:lang w:eastAsia="zh-CN"/>
        </w:rPr>
        <w:t>, respectively</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D87265" w:rsidRDefault="00D87265" w:rsidP="001D0753">
      <w:pPr>
        <w:pStyle w:val="BodyText"/>
        <w:snapToGrid w:val="0"/>
        <w:rPr>
          <w:szCs w:val="20"/>
          <w:lang w:val="en-GB" w:eastAsia="en-GB"/>
        </w:rPr>
      </w:pPr>
      <w:bookmarkStart w:id="4" w:name="_Toc336211415"/>
      <w:r>
        <w:rPr>
          <w:rFonts w:eastAsia="宋体"/>
          <w:szCs w:val="20"/>
          <w:lang w:eastAsia="zh-CN"/>
        </w:rPr>
        <w:t>The 3 deployment scenarios approved in [2]</w:t>
      </w:r>
      <w:r w:rsidRPr="00440EC2">
        <w:rPr>
          <w:szCs w:val="20"/>
          <w:lang w:val="en-GB" w:eastAsia="en-GB"/>
        </w:rPr>
        <w:t xml:space="preserve"> </w:t>
      </w:r>
      <w:r>
        <w:rPr>
          <w:szCs w:val="20"/>
          <w:lang w:val="en-GB" w:eastAsia="en-GB"/>
        </w:rPr>
        <w:t>are shown in Figure 1 below.</w:t>
      </w:r>
    </w:p>
    <w:p w:rsidR="00D87265" w:rsidRPr="00FF5FE3" w:rsidRDefault="00D87265" w:rsidP="00D87265">
      <w:pPr>
        <w:pStyle w:val="TH"/>
        <w:rPr>
          <w:rFonts w:ascii="Times New Roman" w:hAnsi="Times New Roman"/>
          <w:b w:val="0"/>
          <w:bCs/>
          <w:lang w:val="en-AU"/>
        </w:rPr>
      </w:pPr>
      <w:r w:rsidRPr="009F68A5">
        <w:rPr>
          <w:rFonts w:ascii="Times New Roman" w:hAnsi="Times New Roman"/>
          <w:b w:val="0"/>
          <w:bCs/>
          <w:noProof/>
          <w:lang w:eastAsia="en-GB"/>
        </w:rPr>
        <w:drawing>
          <wp:inline distT="0" distB="0" distL="0" distR="0" wp14:anchorId="6E53B0A7" wp14:editId="1BACED95">
            <wp:extent cx="5732145" cy="91757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2145" cy="917575"/>
                    </a:xfrm>
                    <a:prstGeom prst="rect">
                      <a:avLst/>
                    </a:prstGeom>
                  </pic:spPr>
                </pic:pic>
              </a:graphicData>
            </a:graphic>
          </wp:inline>
        </w:drawing>
      </w:r>
    </w:p>
    <w:p w:rsidR="00D87265" w:rsidRDefault="00D87265" w:rsidP="00D87265">
      <w:pPr>
        <w:pStyle w:val="TH"/>
        <w:ind w:left="360"/>
        <w:rPr>
          <w:rFonts w:cs="TimesNewRomanPSMT"/>
          <w:lang w:eastAsia="zh-CN"/>
        </w:rPr>
      </w:pPr>
      <w:r w:rsidRPr="00B053F4">
        <w:t xml:space="preserve">Figure </w:t>
      </w:r>
      <w:r>
        <w:t>1</w:t>
      </w:r>
      <w:r w:rsidRPr="00B053F4">
        <w:t xml:space="preserve">: </w:t>
      </w:r>
      <w:r>
        <w:rPr>
          <w:rFonts w:cs="TimesNewRomanPSMT"/>
          <w:lang w:eastAsia="zh-CN"/>
        </w:rPr>
        <w:t>Deployment scenarios</w:t>
      </w:r>
    </w:p>
    <w:p w:rsidR="00D87265" w:rsidRPr="00D87265" w:rsidRDefault="00D87265" w:rsidP="00D87265">
      <w:pPr>
        <w:ind w:left="502"/>
        <w:rPr>
          <w:b/>
          <w:bCs/>
          <w:lang w:val="en-GB"/>
        </w:rPr>
      </w:pPr>
    </w:p>
    <w:p w:rsidR="0048374D" w:rsidRPr="0048374D" w:rsidRDefault="0048374D" w:rsidP="0048374D">
      <w:pPr>
        <w:pStyle w:val="BodyText"/>
        <w:snapToGrid w:val="0"/>
        <w:rPr>
          <w:szCs w:val="20"/>
          <w:lang w:val="en-GB" w:eastAsia="en-GB"/>
        </w:rPr>
      </w:pPr>
      <w:r w:rsidRPr="0048374D">
        <w:rPr>
          <w:szCs w:val="20"/>
          <w:lang w:val="en-GB" w:eastAsia="en-GB"/>
        </w:rPr>
        <w:t xml:space="preserve">The </w:t>
      </w:r>
      <w:r>
        <w:rPr>
          <w:szCs w:val="20"/>
          <w:lang w:val="en-GB" w:eastAsia="en-GB"/>
        </w:rPr>
        <w:t>3</w:t>
      </w:r>
      <w:r w:rsidRPr="0048374D">
        <w:rPr>
          <w:szCs w:val="20"/>
          <w:lang w:val="en-GB" w:eastAsia="en-GB"/>
        </w:rPr>
        <w:t xml:space="preserve"> </w:t>
      </w:r>
      <w:r>
        <w:rPr>
          <w:szCs w:val="20"/>
          <w:lang w:val="en-GB" w:eastAsia="en-GB"/>
        </w:rPr>
        <w:t>approved</w:t>
      </w:r>
      <w:r w:rsidRPr="0048374D">
        <w:rPr>
          <w:szCs w:val="20"/>
          <w:lang w:val="en-GB" w:eastAsia="en-GB"/>
        </w:rPr>
        <w:t xml:space="preserve"> scenarios </w:t>
      </w:r>
      <w:r>
        <w:rPr>
          <w:szCs w:val="20"/>
          <w:lang w:val="en-GB" w:eastAsia="en-GB"/>
        </w:rPr>
        <w:t>are:</w:t>
      </w:r>
    </w:p>
    <w:p w:rsidR="0048374D" w:rsidRPr="0048374D" w:rsidRDefault="0048374D" w:rsidP="0048374D">
      <w:pPr>
        <w:pStyle w:val="BodyText"/>
        <w:snapToGrid w:val="0"/>
        <w:ind w:left="426" w:hanging="426"/>
        <w:rPr>
          <w:szCs w:val="20"/>
          <w:lang w:val="en-GB" w:eastAsia="en-GB"/>
        </w:rPr>
      </w:pPr>
      <w:r w:rsidRPr="0048374D">
        <w:rPr>
          <w:szCs w:val="20"/>
          <w:lang w:val="en-GB" w:eastAsia="en-GB"/>
        </w:rPr>
        <w:t>-</w:t>
      </w:r>
      <w:r w:rsidRPr="0048374D">
        <w:rPr>
          <w:szCs w:val="20"/>
          <w:lang w:val="en-GB" w:eastAsia="en-GB"/>
        </w:rPr>
        <w:tab/>
        <w:t>Scenario 1 is the current B12 deployment scenario and is proposed to be the reference case i.e. with 1 MHz guard band</w:t>
      </w:r>
    </w:p>
    <w:p w:rsidR="0048374D" w:rsidRPr="0048374D" w:rsidRDefault="0048374D" w:rsidP="0048374D">
      <w:pPr>
        <w:pStyle w:val="BodyText"/>
        <w:snapToGrid w:val="0"/>
        <w:ind w:left="426" w:hanging="426"/>
        <w:rPr>
          <w:szCs w:val="20"/>
          <w:lang w:val="en-GB" w:eastAsia="en-GB"/>
        </w:rPr>
      </w:pPr>
      <w:r w:rsidRPr="0048374D">
        <w:rPr>
          <w:szCs w:val="20"/>
          <w:lang w:val="en-GB" w:eastAsia="en-GB"/>
        </w:rPr>
        <w:t>-</w:t>
      </w:r>
      <w:r w:rsidRPr="0048374D">
        <w:rPr>
          <w:szCs w:val="20"/>
          <w:lang w:val="en-GB" w:eastAsia="en-GB"/>
        </w:rPr>
        <w:tab/>
        <w:t xml:space="preserve">Scenario 2 is a possible B12+ deployment scenario where 4 NB-IoT carriers are deployed adjacent to B block </w:t>
      </w:r>
    </w:p>
    <w:p w:rsidR="0048374D" w:rsidRDefault="0048374D" w:rsidP="0048374D">
      <w:pPr>
        <w:pStyle w:val="BodyText"/>
        <w:snapToGrid w:val="0"/>
        <w:ind w:left="426" w:hanging="426"/>
        <w:rPr>
          <w:szCs w:val="20"/>
          <w:lang w:val="en-GB" w:eastAsia="en-GB"/>
        </w:rPr>
      </w:pPr>
      <w:r w:rsidRPr="0048374D">
        <w:rPr>
          <w:szCs w:val="20"/>
          <w:lang w:val="en-GB" w:eastAsia="en-GB"/>
        </w:rPr>
        <w:t>-</w:t>
      </w:r>
      <w:r w:rsidRPr="0048374D">
        <w:rPr>
          <w:szCs w:val="20"/>
          <w:lang w:val="en-GB" w:eastAsia="en-GB"/>
        </w:rPr>
        <w:tab/>
        <w:t>Scenario 3 is a possible B12+ deployment scenario where up to 4 NB-IoT carriers are deployed adjacent to E block</w:t>
      </w:r>
    </w:p>
    <w:p w:rsidR="00EB29C9" w:rsidRDefault="0076534E" w:rsidP="0048374D">
      <w:pPr>
        <w:pStyle w:val="BodyText"/>
        <w:snapToGrid w:val="0"/>
        <w:rPr>
          <w:szCs w:val="20"/>
          <w:lang w:val="en-GB" w:eastAsia="en-GB"/>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 xml:space="preserve">o </w:t>
      </w:r>
      <w:r>
        <w:rPr>
          <w:rFonts w:eastAsia="宋体"/>
          <w:szCs w:val="20"/>
          <w:lang w:eastAsia="zh-CN"/>
        </w:rPr>
        <w:t>s</w:t>
      </w:r>
      <w:r w:rsidRPr="00B14CF8">
        <w:rPr>
          <w:rFonts w:eastAsia="宋体"/>
          <w:szCs w:val="20"/>
          <w:lang w:eastAsia="zh-CN"/>
        </w:rPr>
        <w:t xml:space="preserve">imulation </w:t>
      </w:r>
      <w:r>
        <w:rPr>
          <w:rFonts w:eastAsia="宋体"/>
          <w:szCs w:val="20"/>
          <w:lang w:eastAsia="zh-CN"/>
        </w:rPr>
        <w:t>r</w:t>
      </w:r>
      <w:r w:rsidRPr="00B14CF8">
        <w:rPr>
          <w:rFonts w:eastAsia="宋体"/>
          <w:szCs w:val="20"/>
          <w:lang w:eastAsia="zh-CN"/>
        </w:rPr>
        <w:t xml:space="preserve">esults </w:t>
      </w:r>
      <w:r w:rsidR="00E629AE">
        <w:rPr>
          <w:rFonts w:eastAsia="宋体"/>
          <w:szCs w:val="20"/>
          <w:lang w:eastAsia="zh-CN"/>
        </w:rPr>
        <w:t xml:space="preserve">of the downlink SINR of the victim UE for the </w:t>
      </w:r>
      <w:r w:rsidR="00397C16">
        <w:rPr>
          <w:rFonts w:eastAsia="宋体"/>
          <w:szCs w:val="20"/>
          <w:lang w:eastAsia="zh-CN"/>
        </w:rPr>
        <w:t>3</w:t>
      </w:r>
      <w:r w:rsidR="00E629AE">
        <w:rPr>
          <w:rFonts w:eastAsia="宋体"/>
          <w:szCs w:val="20"/>
          <w:lang w:eastAsia="zh-CN"/>
        </w:rPr>
        <w:t xml:space="preserve"> deployment scenarios </w:t>
      </w:r>
      <w:r>
        <w:rPr>
          <w:szCs w:val="20"/>
          <w:lang w:val="en-GB" w:eastAsia="en-GB"/>
        </w:rPr>
        <w:t xml:space="preserve">are provided in Figures </w:t>
      </w:r>
      <w:r w:rsidR="00D87265">
        <w:rPr>
          <w:szCs w:val="20"/>
          <w:lang w:val="en-GB" w:eastAsia="en-GB"/>
        </w:rPr>
        <w:t>2</w:t>
      </w:r>
      <w:r>
        <w:rPr>
          <w:szCs w:val="20"/>
          <w:lang w:val="en-GB" w:eastAsia="en-GB"/>
        </w:rPr>
        <w:t xml:space="preserve"> to </w:t>
      </w:r>
      <w:r w:rsidR="00D87265">
        <w:rPr>
          <w:szCs w:val="20"/>
          <w:lang w:val="en-GB" w:eastAsia="en-GB"/>
        </w:rPr>
        <w:t>4</w:t>
      </w:r>
      <w:r>
        <w:rPr>
          <w:szCs w:val="20"/>
          <w:lang w:val="en-GB" w:eastAsia="en-GB"/>
        </w:rPr>
        <w:t xml:space="preserve"> below</w:t>
      </w:r>
      <w:r w:rsidR="009E0EFF">
        <w:rPr>
          <w:szCs w:val="20"/>
          <w:lang w:val="en-GB" w:eastAsia="en-GB"/>
        </w:rPr>
        <w:t>, the nominal scenario for coexistence study where the victim and interfering E-UTRA carriers are adjacent to each other is also provided in Figure 5 as a reference</w:t>
      </w:r>
      <w:r>
        <w:rPr>
          <w:szCs w:val="20"/>
          <w:lang w:val="en-GB" w:eastAsia="en-GB"/>
        </w:rPr>
        <w:t xml:space="preserve">. </w:t>
      </w:r>
      <w:r w:rsidR="00EB29C9">
        <w:rPr>
          <w:szCs w:val="20"/>
          <w:lang w:val="en-GB" w:eastAsia="en-GB"/>
        </w:rPr>
        <w:t xml:space="preserve">Here the </w:t>
      </w:r>
      <w:r w:rsidR="00E629AE">
        <w:rPr>
          <w:szCs w:val="20"/>
          <w:lang w:val="en-GB" w:eastAsia="en-GB"/>
        </w:rPr>
        <w:t xml:space="preserve">carrier frequency is 728MHz, the inter-site distance is </w:t>
      </w:r>
      <w:r w:rsidR="00330204">
        <w:rPr>
          <w:szCs w:val="20"/>
          <w:lang w:val="en-GB" w:eastAsia="en-GB"/>
        </w:rPr>
        <w:t>750</w:t>
      </w:r>
      <w:r w:rsidR="00E629AE">
        <w:rPr>
          <w:szCs w:val="20"/>
          <w:lang w:val="en-GB" w:eastAsia="en-GB"/>
        </w:rPr>
        <w:t xml:space="preserve">m, </w:t>
      </w:r>
      <w:r w:rsidR="00397C16">
        <w:rPr>
          <w:szCs w:val="20"/>
          <w:lang w:val="en-GB" w:eastAsia="en-GB"/>
        </w:rPr>
        <w:t xml:space="preserve">the output power of </w:t>
      </w:r>
      <w:r w:rsidR="00115C7D">
        <w:rPr>
          <w:szCs w:val="20"/>
          <w:lang w:val="en-GB" w:eastAsia="en-GB"/>
        </w:rPr>
        <w:t xml:space="preserve">each </w:t>
      </w:r>
      <w:r w:rsidR="00397C16">
        <w:rPr>
          <w:szCs w:val="20"/>
          <w:lang w:val="en-GB" w:eastAsia="en-GB"/>
        </w:rPr>
        <w:t xml:space="preserve">E-UTRA </w:t>
      </w:r>
      <w:r w:rsidR="00115C7D">
        <w:rPr>
          <w:szCs w:val="20"/>
          <w:lang w:val="en-GB" w:eastAsia="en-GB"/>
        </w:rPr>
        <w:t xml:space="preserve">carrier </w:t>
      </w:r>
      <w:r w:rsidR="00397C16">
        <w:rPr>
          <w:szCs w:val="20"/>
          <w:lang w:val="en-GB" w:eastAsia="en-GB"/>
        </w:rPr>
        <w:t xml:space="preserve">is 43dBm, </w:t>
      </w:r>
      <w:r w:rsidR="00115C7D">
        <w:rPr>
          <w:szCs w:val="20"/>
          <w:lang w:val="en-GB" w:eastAsia="en-GB"/>
        </w:rPr>
        <w:t xml:space="preserve">the output power of 43dBm is shared among the NB-IoT carriers, </w:t>
      </w:r>
      <w:r w:rsidR="00E629AE">
        <w:rPr>
          <w:szCs w:val="20"/>
          <w:lang w:val="en-GB" w:eastAsia="en-GB"/>
        </w:rPr>
        <w:t>the E-UTRA BS ACLR1 and ACLR2 are 45dBc, the NB-IoT BS ACLR1 is 40dBc and ACLR2 is 50dBc</w:t>
      </w:r>
      <w:r w:rsidR="00D93844">
        <w:rPr>
          <w:szCs w:val="20"/>
          <w:lang w:val="en-GB" w:eastAsia="en-GB"/>
        </w:rPr>
        <w:t xml:space="preserve">. The stepwise E-UTRA UE ACS model defined in clause </w:t>
      </w:r>
      <w:r w:rsidR="00D93844" w:rsidRPr="00D93844">
        <w:rPr>
          <w:szCs w:val="20"/>
          <w:lang w:val="en-GB" w:eastAsia="en-GB"/>
        </w:rPr>
        <w:t>12.1.3.2</w:t>
      </w:r>
      <w:r w:rsidR="00D93844">
        <w:rPr>
          <w:szCs w:val="20"/>
          <w:lang w:val="en-GB" w:eastAsia="en-GB"/>
        </w:rPr>
        <w:t xml:space="preserve"> in [3] are used </w:t>
      </w:r>
      <w:r w:rsidR="00397C16">
        <w:rPr>
          <w:szCs w:val="20"/>
          <w:lang w:val="en-GB" w:eastAsia="en-GB"/>
        </w:rPr>
        <w:t xml:space="preserve">(i.e. </w:t>
      </w:r>
      <w:r w:rsidR="00D93844">
        <w:rPr>
          <w:szCs w:val="20"/>
          <w:lang w:val="en-GB" w:eastAsia="en-GB"/>
        </w:rPr>
        <w:t>ACS1 is 33dBc and ACS2 is 34.3dBc</w:t>
      </w:r>
      <w:r w:rsidR="00397C16">
        <w:rPr>
          <w:szCs w:val="20"/>
          <w:lang w:val="en-GB" w:eastAsia="en-GB"/>
        </w:rPr>
        <w:t>).</w:t>
      </w:r>
      <w:r w:rsidR="000545D2">
        <w:rPr>
          <w:szCs w:val="20"/>
          <w:lang w:val="en-GB" w:eastAsia="en-GB"/>
        </w:rPr>
        <w:t xml:space="preserve"> The NB-IoT carrier(s) in Scenario 3 are placed</w:t>
      </w:r>
      <w:r w:rsidR="004226F7">
        <w:rPr>
          <w:szCs w:val="20"/>
          <w:lang w:val="en-GB" w:eastAsia="en-GB"/>
        </w:rPr>
        <w:t xml:space="preserve"> successively from 200kHz away from the E Block edge.</w:t>
      </w:r>
    </w:p>
    <w:p w:rsidR="00D93844" w:rsidRDefault="00845FC2" w:rsidP="00D93844">
      <w:pPr>
        <w:pStyle w:val="BodyText"/>
        <w:snapToGrid w:val="0"/>
        <w:jc w:val="center"/>
        <w:rPr>
          <w:szCs w:val="20"/>
          <w:lang w:val="en-GB" w:eastAsia="en-GB"/>
        </w:rPr>
      </w:pPr>
      <w:r w:rsidRPr="00845FC2">
        <w:rPr>
          <w:noProof/>
          <w:szCs w:val="20"/>
          <w:lang w:val="en-GB" w:eastAsia="en-GB"/>
        </w:rPr>
        <w:lastRenderedPageBreak/>
        <w:drawing>
          <wp:inline distT="0" distB="0" distL="0" distR="0">
            <wp:extent cx="2849245" cy="21356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4779" cy="2177285"/>
                    </a:xfrm>
                    <a:prstGeom prst="rect">
                      <a:avLst/>
                    </a:prstGeom>
                    <a:noFill/>
                    <a:ln>
                      <a:noFill/>
                    </a:ln>
                  </pic:spPr>
                </pic:pic>
              </a:graphicData>
            </a:graphic>
          </wp:inline>
        </w:drawing>
      </w:r>
      <w:r w:rsidR="00B12C64" w:rsidRPr="00B12C64">
        <w:rPr>
          <w:noProof/>
          <w:szCs w:val="20"/>
          <w:lang w:val="en-GB" w:eastAsia="en-GB"/>
        </w:rPr>
        <w:drawing>
          <wp:inline distT="0" distB="0" distL="0" distR="0">
            <wp:extent cx="2897328"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54" cy="2189484"/>
                    </a:xfrm>
                    <a:prstGeom prst="rect">
                      <a:avLst/>
                    </a:prstGeom>
                    <a:noFill/>
                    <a:ln>
                      <a:noFill/>
                    </a:ln>
                  </pic:spPr>
                </pic:pic>
              </a:graphicData>
            </a:graphic>
          </wp:inline>
        </w:drawing>
      </w:r>
    </w:p>
    <w:p w:rsidR="0034587B" w:rsidRDefault="0034587B" w:rsidP="0034587B">
      <w:pPr>
        <w:pStyle w:val="TH"/>
        <w:ind w:left="360"/>
        <w:rPr>
          <w:rFonts w:cs="TimesNewRomanPSMT"/>
          <w:lang w:eastAsia="zh-CN"/>
        </w:rPr>
      </w:pPr>
      <w:r w:rsidRPr="00B053F4">
        <w:t xml:space="preserve">Figure </w:t>
      </w:r>
      <w:r>
        <w:t>2</w:t>
      </w:r>
      <w:r w:rsidRPr="00B053F4">
        <w:t xml:space="preserve">: </w:t>
      </w:r>
      <w:r>
        <w:rPr>
          <w:rFonts w:cs="TimesNewRomanPSMT"/>
          <w:lang w:eastAsia="zh-CN"/>
        </w:rPr>
        <w:t>DL SINR of victim UE in Scenario 1 (dB)</w:t>
      </w:r>
    </w:p>
    <w:p w:rsidR="0034587B" w:rsidRDefault="0034587B" w:rsidP="0034587B">
      <w:pPr>
        <w:pStyle w:val="TH"/>
        <w:ind w:left="360"/>
        <w:rPr>
          <w:rFonts w:cs="TimesNewRomanPSMT"/>
          <w:lang w:eastAsia="zh-CN"/>
        </w:rPr>
      </w:pPr>
    </w:p>
    <w:p w:rsidR="0034587B" w:rsidRDefault="00D104B6" w:rsidP="00083382">
      <w:pPr>
        <w:pStyle w:val="TH"/>
      </w:pPr>
      <w:r w:rsidRPr="00D104B6">
        <w:rPr>
          <w:noProof/>
        </w:rPr>
        <w:drawing>
          <wp:inline distT="0" distB="0" distL="0" distR="0">
            <wp:extent cx="2871531" cy="215236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0076" cy="2181256"/>
                    </a:xfrm>
                    <a:prstGeom prst="rect">
                      <a:avLst/>
                    </a:prstGeom>
                    <a:noFill/>
                    <a:ln>
                      <a:noFill/>
                    </a:ln>
                  </pic:spPr>
                </pic:pic>
              </a:graphicData>
            </a:graphic>
          </wp:inline>
        </w:drawing>
      </w:r>
      <w:r w:rsidR="00083382" w:rsidRPr="00083382">
        <w:rPr>
          <w:noProof/>
        </w:rPr>
        <w:drawing>
          <wp:inline distT="0" distB="0" distL="0" distR="0">
            <wp:extent cx="2876148" cy="2155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6814" cy="2171315"/>
                    </a:xfrm>
                    <a:prstGeom prst="rect">
                      <a:avLst/>
                    </a:prstGeom>
                    <a:noFill/>
                    <a:ln>
                      <a:noFill/>
                    </a:ln>
                  </pic:spPr>
                </pic:pic>
              </a:graphicData>
            </a:graphic>
          </wp:inline>
        </w:drawing>
      </w:r>
    </w:p>
    <w:p w:rsidR="0034587B" w:rsidRDefault="0034587B" w:rsidP="0034587B">
      <w:pPr>
        <w:pStyle w:val="TH"/>
        <w:ind w:left="360"/>
        <w:rPr>
          <w:rFonts w:cs="TimesNewRomanPSMT"/>
          <w:lang w:eastAsia="zh-CN"/>
        </w:rPr>
      </w:pPr>
      <w:r w:rsidRPr="00B053F4">
        <w:t xml:space="preserve">Figure </w:t>
      </w:r>
      <w:r>
        <w:t>3</w:t>
      </w:r>
      <w:r w:rsidRPr="00B053F4">
        <w:t xml:space="preserve">: </w:t>
      </w:r>
      <w:r>
        <w:rPr>
          <w:rFonts w:cs="TimesNewRomanPSMT"/>
          <w:lang w:eastAsia="zh-CN"/>
        </w:rPr>
        <w:t>DL SINR of victim UE in Scenario 2 (dB)</w:t>
      </w:r>
    </w:p>
    <w:p w:rsidR="0034587B" w:rsidRDefault="0034587B" w:rsidP="0034587B">
      <w:pPr>
        <w:pStyle w:val="TH"/>
        <w:ind w:left="360"/>
        <w:rPr>
          <w:rFonts w:cs="TimesNewRomanPSMT"/>
          <w:lang w:eastAsia="zh-CN"/>
        </w:rPr>
      </w:pPr>
    </w:p>
    <w:p w:rsidR="0034587B" w:rsidRDefault="0034587B" w:rsidP="00D93844">
      <w:pPr>
        <w:pStyle w:val="BodyText"/>
        <w:snapToGrid w:val="0"/>
        <w:jc w:val="center"/>
        <w:rPr>
          <w:szCs w:val="20"/>
          <w:lang w:val="en-GB" w:eastAsia="en-GB"/>
        </w:rPr>
      </w:pPr>
    </w:p>
    <w:p w:rsidR="00D93844" w:rsidRDefault="00BA0648" w:rsidP="006F5E11">
      <w:pPr>
        <w:pStyle w:val="TH"/>
      </w:pPr>
      <w:r w:rsidRPr="00BA0648">
        <w:rPr>
          <w:noProof/>
        </w:rPr>
        <w:lastRenderedPageBreak/>
        <w:drawing>
          <wp:inline distT="0" distB="0" distL="0" distR="0">
            <wp:extent cx="2833791" cy="2124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5626" cy="2140442"/>
                    </a:xfrm>
                    <a:prstGeom prst="rect">
                      <a:avLst/>
                    </a:prstGeom>
                    <a:noFill/>
                    <a:ln>
                      <a:noFill/>
                    </a:ln>
                  </pic:spPr>
                </pic:pic>
              </a:graphicData>
            </a:graphic>
          </wp:inline>
        </w:drawing>
      </w:r>
      <w:r w:rsidR="006F5E11" w:rsidRPr="006F5E11">
        <w:rPr>
          <w:noProof/>
        </w:rPr>
        <w:drawing>
          <wp:inline distT="0" distB="0" distL="0" distR="0">
            <wp:extent cx="2876550" cy="21561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3509" cy="2168838"/>
                    </a:xfrm>
                    <a:prstGeom prst="rect">
                      <a:avLst/>
                    </a:prstGeom>
                    <a:noFill/>
                    <a:ln>
                      <a:noFill/>
                    </a:ln>
                  </pic:spPr>
                </pic:pic>
              </a:graphicData>
            </a:graphic>
          </wp:inline>
        </w:drawing>
      </w:r>
    </w:p>
    <w:p w:rsidR="0087449B" w:rsidRDefault="0087449B" w:rsidP="00D93844">
      <w:pPr>
        <w:pStyle w:val="TH"/>
        <w:ind w:left="360"/>
      </w:pPr>
      <w:r>
        <w:t xml:space="preserve">(a) </w:t>
      </w:r>
      <w:r w:rsidR="004226F7">
        <w:t xml:space="preserve">With </w:t>
      </w:r>
      <w:r w:rsidR="006625B6">
        <w:t>1</w:t>
      </w:r>
      <w:r>
        <w:t xml:space="preserve"> NB-IoT carriers</w:t>
      </w:r>
    </w:p>
    <w:p w:rsidR="006625B6" w:rsidRDefault="00DB76FF" w:rsidP="001E5C65">
      <w:pPr>
        <w:pStyle w:val="TH"/>
      </w:pPr>
      <w:r w:rsidRPr="00DB76FF">
        <w:rPr>
          <w:noProof/>
        </w:rPr>
        <w:drawing>
          <wp:inline distT="0" distB="0" distL="0" distR="0">
            <wp:extent cx="2828925" cy="212042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0050" cy="2151254"/>
                    </a:xfrm>
                    <a:prstGeom prst="rect">
                      <a:avLst/>
                    </a:prstGeom>
                    <a:noFill/>
                    <a:ln>
                      <a:noFill/>
                    </a:ln>
                  </pic:spPr>
                </pic:pic>
              </a:graphicData>
            </a:graphic>
          </wp:inline>
        </w:drawing>
      </w:r>
      <w:r w:rsidR="001E5C65" w:rsidRPr="001E5C65">
        <w:rPr>
          <w:noProof/>
        </w:rPr>
        <w:drawing>
          <wp:inline distT="0" distB="0" distL="0" distR="0">
            <wp:extent cx="2870651" cy="2151706"/>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7994" cy="2164705"/>
                    </a:xfrm>
                    <a:prstGeom prst="rect">
                      <a:avLst/>
                    </a:prstGeom>
                    <a:noFill/>
                    <a:ln>
                      <a:noFill/>
                    </a:ln>
                  </pic:spPr>
                </pic:pic>
              </a:graphicData>
            </a:graphic>
          </wp:inline>
        </w:drawing>
      </w:r>
    </w:p>
    <w:p w:rsidR="006625B6" w:rsidRDefault="006625B6" w:rsidP="006625B6">
      <w:pPr>
        <w:pStyle w:val="TH"/>
        <w:ind w:left="360"/>
      </w:pPr>
      <w:r>
        <w:t xml:space="preserve">(b) </w:t>
      </w:r>
      <w:r w:rsidR="004226F7">
        <w:t xml:space="preserve">With </w:t>
      </w:r>
      <w:r>
        <w:t>2 NB-IoT carriers</w:t>
      </w:r>
    </w:p>
    <w:p w:rsidR="006625B6" w:rsidRDefault="001F5EEB" w:rsidP="00706EB1">
      <w:pPr>
        <w:pStyle w:val="TH"/>
      </w:pPr>
      <w:r w:rsidRPr="001F5EEB">
        <w:rPr>
          <w:noProof/>
        </w:rPr>
        <w:drawing>
          <wp:inline distT="0" distB="0" distL="0" distR="0">
            <wp:extent cx="2846497" cy="213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2738" cy="2145774"/>
                    </a:xfrm>
                    <a:prstGeom prst="rect">
                      <a:avLst/>
                    </a:prstGeom>
                    <a:noFill/>
                    <a:ln>
                      <a:noFill/>
                    </a:ln>
                  </pic:spPr>
                </pic:pic>
              </a:graphicData>
            </a:graphic>
          </wp:inline>
        </w:drawing>
      </w:r>
      <w:r w:rsidR="00706EB1" w:rsidRPr="00706EB1">
        <w:rPr>
          <w:noProof/>
        </w:rPr>
        <w:drawing>
          <wp:inline distT="0" distB="0" distL="0" distR="0">
            <wp:extent cx="2862362" cy="2145491"/>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3935" cy="2154166"/>
                    </a:xfrm>
                    <a:prstGeom prst="rect">
                      <a:avLst/>
                    </a:prstGeom>
                    <a:noFill/>
                    <a:ln>
                      <a:noFill/>
                    </a:ln>
                  </pic:spPr>
                </pic:pic>
              </a:graphicData>
            </a:graphic>
          </wp:inline>
        </w:drawing>
      </w:r>
    </w:p>
    <w:p w:rsidR="006625B6" w:rsidRDefault="006625B6" w:rsidP="006625B6">
      <w:pPr>
        <w:pStyle w:val="TH"/>
        <w:ind w:left="360"/>
      </w:pPr>
      <w:r>
        <w:t xml:space="preserve">(c) </w:t>
      </w:r>
      <w:r w:rsidR="004226F7">
        <w:t xml:space="preserve">With </w:t>
      </w:r>
      <w:r>
        <w:t>3 NB-IoT carriers</w:t>
      </w:r>
    </w:p>
    <w:p w:rsidR="006625B6" w:rsidRDefault="00B86DA8" w:rsidP="00706EB1">
      <w:pPr>
        <w:pStyle w:val="TH"/>
      </w:pPr>
      <w:r w:rsidRPr="00B86DA8">
        <w:rPr>
          <w:noProof/>
        </w:rPr>
        <w:lastRenderedPageBreak/>
        <w:drawing>
          <wp:inline distT="0" distB="0" distL="0" distR="0">
            <wp:extent cx="2846497" cy="213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0559" cy="2144140"/>
                    </a:xfrm>
                    <a:prstGeom prst="rect">
                      <a:avLst/>
                    </a:prstGeom>
                    <a:noFill/>
                    <a:ln>
                      <a:noFill/>
                    </a:ln>
                  </pic:spPr>
                </pic:pic>
              </a:graphicData>
            </a:graphic>
          </wp:inline>
        </w:drawing>
      </w:r>
      <w:r w:rsidR="00706EB1" w:rsidRPr="00706EB1">
        <w:rPr>
          <w:noProof/>
        </w:rPr>
        <w:drawing>
          <wp:inline distT="0" distB="0" distL="0" distR="0">
            <wp:extent cx="2904701" cy="217722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3956" cy="2191659"/>
                    </a:xfrm>
                    <a:prstGeom prst="rect">
                      <a:avLst/>
                    </a:prstGeom>
                    <a:noFill/>
                    <a:ln>
                      <a:noFill/>
                    </a:ln>
                  </pic:spPr>
                </pic:pic>
              </a:graphicData>
            </a:graphic>
          </wp:inline>
        </w:drawing>
      </w:r>
    </w:p>
    <w:p w:rsidR="006625B6" w:rsidRDefault="006625B6" w:rsidP="006625B6">
      <w:pPr>
        <w:pStyle w:val="TH"/>
        <w:ind w:left="360"/>
      </w:pPr>
      <w:r>
        <w:t xml:space="preserve">(d) </w:t>
      </w:r>
      <w:r w:rsidR="004226F7">
        <w:t xml:space="preserve">With </w:t>
      </w:r>
      <w:r>
        <w:t>4 NB-IoT carriers</w:t>
      </w:r>
    </w:p>
    <w:p w:rsidR="00D93844" w:rsidRPr="00B053F4" w:rsidRDefault="00D93844" w:rsidP="00D93844">
      <w:pPr>
        <w:pStyle w:val="TH"/>
        <w:ind w:left="360"/>
        <w:rPr>
          <w:rFonts w:cs="TimesNewRomanPSMT"/>
          <w:lang w:eastAsia="zh-CN"/>
        </w:rPr>
      </w:pPr>
      <w:r w:rsidRPr="00B053F4">
        <w:t xml:space="preserve">Figure </w:t>
      </w:r>
      <w:r w:rsidR="00D87265">
        <w:t>4</w:t>
      </w:r>
      <w:r w:rsidRPr="00B053F4">
        <w:t xml:space="preserve">: </w:t>
      </w:r>
      <w:r>
        <w:rPr>
          <w:rFonts w:cs="TimesNewRomanPSMT"/>
          <w:lang w:eastAsia="zh-CN"/>
        </w:rPr>
        <w:t>DL SINR of victim UE in Scenario 3 (dB)</w:t>
      </w:r>
    </w:p>
    <w:p w:rsidR="009E0EFF" w:rsidRDefault="009E0EFF" w:rsidP="0045109B">
      <w:pPr>
        <w:pStyle w:val="BodyText"/>
        <w:snapToGrid w:val="0"/>
        <w:rPr>
          <w:szCs w:val="20"/>
          <w:lang w:val="en-GB" w:eastAsia="en-GB"/>
        </w:rPr>
      </w:pPr>
    </w:p>
    <w:p w:rsidR="009E0EFF" w:rsidRDefault="009E0EFF" w:rsidP="009E0EFF">
      <w:pPr>
        <w:pStyle w:val="BodyText"/>
        <w:snapToGrid w:val="0"/>
        <w:jc w:val="center"/>
        <w:rPr>
          <w:szCs w:val="20"/>
          <w:lang w:val="en-GB" w:eastAsia="en-GB"/>
        </w:rPr>
      </w:pPr>
      <w:r w:rsidRPr="009E0EFF">
        <w:rPr>
          <w:noProof/>
          <w:szCs w:val="20"/>
          <w:lang w:val="en-GB" w:eastAsia="en-GB"/>
        </w:rPr>
        <w:drawing>
          <wp:inline distT="0" distB="0" distL="0" distR="0">
            <wp:extent cx="2860901" cy="21443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3648" cy="2161445"/>
                    </a:xfrm>
                    <a:prstGeom prst="rect">
                      <a:avLst/>
                    </a:prstGeom>
                    <a:noFill/>
                    <a:ln>
                      <a:noFill/>
                    </a:ln>
                  </pic:spPr>
                </pic:pic>
              </a:graphicData>
            </a:graphic>
          </wp:inline>
        </w:drawing>
      </w:r>
      <w:r w:rsidR="00706EB1" w:rsidRPr="00706EB1">
        <w:rPr>
          <w:noProof/>
          <w:szCs w:val="20"/>
          <w:lang w:val="en-GB" w:eastAsia="en-GB"/>
        </w:rPr>
        <w:drawing>
          <wp:inline distT="0" distB="0" distL="0" distR="0">
            <wp:extent cx="2887143" cy="2164066"/>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01955" cy="2175168"/>
                    </a:xfrm>
                    <a:prstGeom prst="rect">
                      <a:avLst/>
                    </a:prstGeom>
                    <a:noFill/>
                    <a:ln>
                      <a:noFill/>
                    </a:ln>
                  </pic:spPr>
                </pic:pic>
              </a:graphicData>
            </a:graphic>
          </wp:inline>
        </w:drawing>
      </w:r>
    </w:p>
    <w:p w:rsidR="009E0EFF" w:rsidRDefault="009E0EFF" w:rsidP="009E0EFF">
      <w:pPr>
        <w:pStyle w:val="TH"/>
        <w:ind w:left="360"/>
        <w:rPr>
          <w:rFonts w:cs="TimesNewRomanPSMT"/>
          <w:lang w:eastAsia="zh-CN"/>
        </w:rPr>
      </w:pPr>
      <w:r w:rsidRPr="00B053F4">
        <w:t xml:space="preserve">Figure </w:t>
      </w:r>
      <w:r>
        <w:t>5</w:t>
      </w:r>
      <w:r w:rsidRPr="00B053F4">
        <w:t xml:space="preserve">: </w:t>
      </w:r>
      <w:r>
        <w:rPr>
          <w:rFonts w:cs="TimesNewRomanPSMT"/>
          <w:lang w:eastAsia="zh-CN"/>
        </w:rPr>
        <w:t>DL SINR of victim UE in nominal scenario (dB)</w:t>
      </w:r>
    </w:p>
    <w:p w:rsidR="001D31C9" w:rsidRDefault="001D31C9" w:rsidP="0045109B">
      <w:pPr>
        <w:pStyle w:val="BodyText"/>
        <w:snapToGrid w:val="0"/>
        <w:rPr>
          <w:szCs w:val="20"/>
          <w:lang w:val="en-GB" w:eastAsia="en-GB"/>
        </w:rPr>
      </w:pPr>
    </w:p>
    <w:p w:rsidR="00707B56" w:rsidRDefault="00156634" w:rsidP="00707B56">
      <w:pPr>
        <w:pStyle w:val="BodyText"/>
        <w:snapToGrid w:val="0"/>
        <w:rPr>
          <w:szCs w:val="20"/>
          <w:lang w:val="en-GB" w:eastAsia="en-GB"/>
        </w:rPr>
      </w:pPr>
      <w:r>
        <w:rPr>
          <w:szCs w:val="20"/>
          <w:lang w:val="en-GB" w:eastAsia="en-GB"/>
        </w:rPr>
        <w:t>It can be seen from the results in Figure</w:t>
      </w:r>
      <w:r w:rsidR="00A422FE">
        <w:rPr>
          <w:szCs w:val="20"/>
          <w:lang w:val="en-GB" w:eastAsia="en-GB"/>
        </w:rPr>
        <w:t>s</w:t>
      </w:r>
      <w:r>
        <w:rPr>
          <w:szCs w:val="20"/>
          <w:lang w:val="en-GB" w:eastAsia="en-GB"/>
        </w:rPr>
        <w:t xml:space="preserve"> </w:t>
      </w:r>
      <w:r w:rsidR="00D87265">
        <w:rPr>
          <w:szCs w:val="20"/>
          <w:lang w:val="en-GB" w:eastAsia="en-GB"/>
        </w:rPr>
        <w:t>2</w:t>
      </w:r>
      <w:r w:rsidR="00A422FE">
        <w:rPr>
          <w:szCs w:val="20"/>
          <w:lang w:val="en-GB" w:eastAsia="en-GB"/>
        </w:rPr>
        <w:t xml:space="preserve"> to </w:t>
      </w:r>
      <w:r w:rsidR="009E0EFF">
        <w:rPr>
          <w:szCs w:val="20"/>
          <w:lang w:val="en-GB" w:eastAsia="en-GB"/>
        </w:rPr>
        <w:t>5</w:t>
      </w:r>
      <w:r w:rsidR="00A422FE">
        <w:rPr>
          <w:szCs w:val="20"/>
          <w:lang w:val="en-GB" w:eastAsia="en-GB"/>
        </w:rPr>
        <w:t xml:space="preserve"> </w:t>
      </w:r>
      <w:r>
        <w:rPr>
          <w:szCs w:val="20"/>
          <w:lang w:val="en-GB" w:eastAsia="en-GB"/>
        </w:rPr>
        <w:t xml:space="preserve">that the </w:t>
      </w:r>
      <w:r w:rsidR="00A422FE">
        <w:rPr>
          <w:rFonts w:eastAsia="宋体"/>
          <w:szCs w:val="20"/>
          <w:lang w:eastAsia="zh-CN"/>
        </w:rPr>
        <w:t xml:space="preserve">downlink SINR of the victim UE </w:t>
      </w:r>
      <w:r>
        <w:rPr>
          <w:szCs w:val="20"/>
          <w:lang w:val="en-GB" w:eastAsia="en-GB"/>
        </w:rPr>
        <w:t xml:space="preserve">are </w:t>
      </w:r>
      <w:r w:rsidR="007F6D05">
        <w:rPr>
          <w:szCs w:val="20"/>
          <w:lang w:val="en-GB" w:eastAsia="en-GB"/>
        </w:rPr>
        <w:t>comparable</w:t>
      </w:r>
      <w:r>
        <w:rPr>
          <w:szCs w:val="20"/>
          <w:lang w:val="en-GB" w:eastAsia="en-GB"/>
        </w:rPr>
        <w:t xml:space="preserve"> </w:t>
      </w:r>
      <w:r w:rsidR="00397C16">
        <w:rPr>
          <w:szCs w:val="20"/>
          <w:lang w:val="en-GB" w:eastAsia="en-GB"/>
        </w:rPr>
        <w:t>i</w:t>
      </w:r>
      <w:r>
        <w:rPr>
          <w:szCs w:val="20"/>
          <w:lang w:val="en-GB" w:eastAsia="en-GB"/>
        </w:rPr>
        <w:t xml:space="preserve">n the </w:t>
      </w:r>
      <w:r w:rsidR="009E0EFF">
        <w:rPr>
          <w:szCs w:val="20"/>
          <w:lang w:val="en-GB" w:eastAsia="en-GB"/>
        </w:rPr>
        <w:t>4</w:t>
      </w:r>
      <w:r w:rsidR="00A422FE">
        <w:rPr>
          <w:szCs w:val="20"/>
          <w:lang w:val="en-GB" w:eastAsia="en-GB"/>
        </w:rPr>
        <w:t xml:space="preserve"> scenarios</w:t>
      </w:r>
      <w:r>
        <w:rPr>
          <w:szCs w:val="20"/>
          <w:lang w:val="en-GB" w:eastAsia="en-GB"/>
        </w:rPr>
        <w:t xml:space="preserve"> until the very </w:t>
      </w:r>
      <w:r w:rsidR="00A422FE">
        <w:rPr>
          <w:szCs w:val="20"/>
          <w:lang w:val="en-GB" w:eastAsia="en-GB"/>
        </w:rPr>
        <w:t>low</w:t>
      </w:r>
      <w:r>
        <w:rPr>
          <w:szCs w:val="20"/>
          <w:lang w:val="en-GB" w:eastAsia="en-GB"/>
        </w:rPr>
        <w:t xml:space="preserve"> end where </w:t>
      </w:r>
      <w:r>
        <w:rPr>
          <w:color w:val="000000"/>
          <w:szCs w:val="20"/>
        </w:rPr>
        <w:t xml:space="preserve">the </w:t>
      </w:r>
      <w:r w:rsidR="00A422FE">
        <w:rPr>
          <w:rFonts w:cs="TimesNewRomanPSMT"/>
          <w:lang w:eastAsia="zh-CN"/>
        </w:rPr>
        <w:t xml:space="preserve">SINR </w:t>
      </w:r>
      <w:r w:rsidR="00C956C4">
        <w:rPr>
          <w:szCs w:val="20"/>
          <w:lang w:val="en-GB" w:eastAsia="en-GB"/>
        </w:rPr>
        <w:t>in S</w:t>
      </w:r>
      <w:r w:rsidR="00397C16">
        <w:rPr>
          <w:szCs w:val="20"/>
          <w:lang w:val="en-GB" w:eastAsia="en-GB"/>
        </w:rPr>
        <w:t>cenarios 2 and 3 are</w:t>
      </w:r>
      <w:r w:rsidR="00A422FE">
        <w:rPr>
          <w:rFonts w:cs="TimesNewRomanPSMT"/>
          <w:lang w:eastAsia="zh-CN"/>
        </w:rPr>
        <w:t xml:space="preserve"> decreased </w:t>
      </w:r>
      <w:r w:rsidR="006403A2">
        <w:rPr>
          <w:rFonts w:cs="TimesNewRomanPSMT"/>
          <w:lang w:eastAsia="zh-CN"/>
        </w:rPr>
        <w:t>(</w:t>
      </w:r>
      <w:r w:rsidR="006403A2">
        <w:rPr>
          <w:szCs w:val="20"/>
          <w:lang w:val="en-GB" w:eastAsia="en-GB"/>
        </w:rPr>
        <w:t>&lt;0.5</w:t>
      </w:r>
      <w:r w:rsidR="004226F7">
        <w:rPr>
          <w:szCs w:val="20"/>
          <w:lang w:val="en-GB" w:eastAsia="en-GB"/>
        </w:rPr>
        <w:t>dB</w:t>
      </w:r>
      <w:r w:rsidR="006403A2">
        <w:rPr>
          <w:szCs w:val="20"/>
          <w:lang w:val="en-GB" w:eastAsia="en-GB"/>
        </w:rPr>
        <w:t xml:space="preserve"> at 5%-tile)</w:t>
      </w:r>
      <w:r>
        <w:rPr>
          <w:szCs w:val="20"/>
          <w:lang w:val="en-GB" w:eastAsia="en-GB"/>
        </w:rPr>
        <w:t>.</w:t>
      </w:r>
      <w:r w:rsidR="00A422FE">
        <w:rPr>
          <w:szCs w:val="20"/>
          <w:lang w:val="en-GB" w:eastAsia="en-GB"/>
        </w:rPr>
        <w:t xml:space="preserve"> </w:t>
      </w:r>
      <w:r w:rsidR="00C956C4">
        <w:rPr>
          <w:szCs w:val="20"/>
          <w:lang w:val="en-GB" w:eastAsia="en-GB"/>
        </w:rPr>
        <w:t>Not</w:t>
      </w:r>
      <w:r w:rsidR="004226F7">
        <w:rPr>
          <w:szCs w:val="20"/>
          <w:lang w:val="en-GB" w:eastAsia="en-GB"/>
        </w:rPr>
        <w:t>e</w:t>
      </w:r>
      <w:r w:rsidR="00C956C4">
        <w:rPr>
          <w:szCs w:val="20"/>
          <w:lang w:val="en-GB" w:eastAsia="en-GB"/>
        </w:rPr>
        <w:t xml:space="preserve"> that t</w:t>
      </w:r>
      <w:r w:rsidR="00A422FE">
        <w:rPr>
          <w:szCs w:val="20"/>
          <w:lang w:val="en-GB" w:eastAsia="en-GB"/>
        </w:rPr>
        <w:t xml:space="preserve">he SINR </w:t>
      </w:r>
      <w:r w:rsidR="00397C16">
        <w:rPr>
          <w:szCs w:val="20"/>
          <w:lang w:val="en-GB" w:eastAsia="en-GB"/>
        </w:rPr>
        <w:t>decreases</w:t>
      </w:r>
      <w:r w:rsidR="00A422FE">
        <w:rPr>
          <w:szCs w:val="20"/>
          <w:lang w:val="en-GB" w:eastAsia="en-GB"/>
        </w:rPr>
        <w:t xml:space="preserve"> in </w:t>
      </w:r>
      <w:r w:rsidR="00C956C4">
        <w:rPr>
          <w:szCs w:val="20"/>
          <w:lang w:val="en-GB" w:eastAsia="en-GB"/>
        </w:rPr>
        <w:t>S</w:t>
      </w:r>
      <w:r w:rsidR="00A422FE">
        <w:rPr>
          <w:szCs w:val="20"/>
          <w:lang w:val="en-GB" w:eastAsia="en-GB"/>
        </w:rPr>
        <w:t xml:space="preserve">cenarios 2 and 3 are </w:t>
      </w:r>
      <w:r w:rsidR="00397C16">
        <w:rPr>
          <w:szCs w:val="20"/>
          <w:lang w:val="en-GB" w:eastAsia="en-GB"/>
        </w:rPr>
        <w:t>dominate</w:t>
      </w:r>
      <w:r w:rsidR="00A422FE">
        <w:rPr>
          <w:szCs w:val="20"/>
          <w:lang w:val="en-GB" w:eastAsia="en-GB"/>
        </w:rPr>
        <w:t xml:space="preserve"> by the E-UTRA UE ACS </w:t>
      </w:r>
      <w:r w:rsidR="00397C16">
        <w:rPr>
          <w:szCs w:val="20"/>
          <w:lang w:val="en-GB" w:eastAsia="en-GB"/>
        </w:rPr>
        <w:t xml:space="preserve">(which are notably lower than the E-UTRA or NB-IoT BS ACLR) </w:t>
      </w:r>
      <w:r w:rsidR="00A422FE">
        <w:rPr>
          <w:szCs w:val="20"/>
          <w:lang w:val="en-GB" w:eastAsia="en-GB"/>
        </w:rPr>
        <w:t>on the additional NB-IoT downlink carrier</w:t>
      </w:r>
      <w:r w:rsidR="001F5EEB">
        <w:rPr>
          <w:szCs w:val="20"/>
          <w:lang w:val="en-GB" w:eastAsia="en-GB"/>
        </w:rPr>
        <w:t>(</w:t>
      </w:r>
      <w:r w:rsidR="00397C16">
        <w:rPr>
          <w:szCs w:val="20"/>
          <w:lang w:val="en-GB" w:eastAsia="en-GB"/>
        </w:rPr>
        <w:t>s</w:t>
      </w:r>
      <w:r w:rsidR="001F5EEB">
        <w:rPr>
          <w:szCs w:val="20"/>
          <w:lang w:val="en-GB" w:eastAsia="en-GB"/>
        </w:rPr>
        <w:t>)</w:t>
      </w:r>
      <w:r w:rsidR="00397C16">
        <w:rPr>
          <w:szCs w:val="20"/>
          <w:lang w:val="en-GB" w:eastAsia="en-GB"/>
        </w:rPr>
        <w:t>. Hence</w:t>
      </w:r>
      <w:r w:rsidR="00A422FE">
        <w:rPr>
          <w:szCs w:val="20"/>
          <w:lang w:val="en-GB" w:eastAsia="en-GB"/>
        </w:rPr>
        <w:t xml:space="preserve"> </w:t>
      </w:r>
      <w:r w:rsidR="00397C16">
        <w:rPr>
          <w:szCs w:val="20"/>
          <w:lang w:val="en-GB" w:eastAsia="en-GB"/>
        </w:rPr>
        <w:t xml:space="preserve">it can be seen that </w:t>
      </w:r>
      <w:r w:rsidR="00A422FE">
        <w:rPr>
          <w:szCs w:val="20"/>
          <w:lang w:val="en-GB" w:eastAsia="en-GB"/>
        </w:rPr>
        <w:t xml:space="preserve">the SINR </w:t>
      </w:r>
      <w:r w:rsidR="00397C16">
        <w:rPr>
          <w:szCs w:val="20"/>
          <w:lang w:val="en-GB" w:eastAsia="en-GB"/>
        </w:rPr>
        <w:t>decrease</w:t>
      </w:r>
      <w:r w:rsidR="00A422FE">
        <w:rPr>
          <w:szCs w:val="20"/>
          <w:lang w:val="en-GB" w:eastAsia="en-GB"/>
        </w:rPr>
        <w:t xml:space="preserve"> in </w:t>
      </w:r>
      <w:r w:rsidR="00C956C4">
        <w:rPr>
          <w:szCs w:val="20"/>
          <w:lang w:val="en-GB" w:eastAsia="en-GB"/>
        </w:rPr>
        <w:t>S</w:t>
      </w:r>
      <w:r w:rsidR="00A422FE">
        <w:rPr>
          <w:szCs w:val="20"/>
          <w:lang w:val="en-GB" w:eastAsia="en-GB"/>
        </w:rPr>
        <w:t xml:space="preserve">cenario 3 is </w:t>
      </w:r>
      <w:r w:rsidR="00F779B2">
        <w:rPr>
          <w:szCs w:val="20"/>
          <w:lang w:val="en-GB" w:eastAsia="en-GB"/>
        </w:rPr>
        <w:t xml:space="preserve">larger than </w:t>
      </w:r>
      <w:r w:rsidR="00B64CBF">
        <w:rPr>
          <w:szCs w:val="20"/>
          <w:lang w:val="en-GB" w:eastAsia="en-GB"/>
        </w:rPr>
        <w:t xml:space="preserve">that </w:t>
      </w:r>
      <w:r w:rsidR="00F779B2">
        <w:rPr>
          <w:szCs w:val="20"/>
          <w:lang w:val="en-GB" w:eastAsia="en-GB"/>
        </w:rPr>
        <w:t xml:space="preserve">in </w:t>
      </w:r>
      <w:r w:rsidR="00C956C4">
        <w:rPr>
          <w:szCs w:val="20"/>
          <w:lang w:val="en-GB" w:eastAsia="en-GB"/>
        </w:rPr>
        <w:t>S</w:t>
      </w:r>
      <w:r w:rsidR="00F779B2">
        <w:rPr>
          <w:szCs w:val="20"/>
          <w:lang w:val="en-GB" w:eastAsia="en-GB"/>
        </w:rPr>
        <w:t>cenario 2</w:t>
      </w:r>
      <w:r w:rsidR="00397C16">
        <w:rPr>
          <w:szCs w:val="20"/>
          <w:lang w:val="en-GB" w:eastAsia="en-GB"/>
        </w:rPr>
        <w:t>,</w:t>
      </w:r>
      <w:r w:rsidR="00F779B2">
        <w:rPr>
          <w:szCs w:val="20"/>
          <w:lang w:val="en-GB" w:eastAsia="en-GB"/>
        </w:rPr>
        <w:t xml:space="preserve"> because the ACS1 </w:t>
      </w:r>
      <w:r w:rsidR="00397C16">
        <w:rPr>
          <w:szCs w:val="20"/>
          <w:lang w:val="en-GB" w:eastAsia="en-GB"/>
        </w:rPr>
        <w:t xml:space="preserve">(which is lower than ACS2) </w:t>
      </w:r>
      <w:r w:rsidR="00F779B2">
        <w:rPr>
          <w:szCs w:val="20"/>
          <w:lang w:val="en-GB" w:eastAsia="en-GB"/>
        </w:rPr>
        <w:t xml:space="preserve">is </w:t>
      </w:r>
      <w:r w:rsidR="00C956C4">
        <w:rPr>
          <w:szCs w:val="20"/>
          <w:lang w:val="en-GB" w:eastAsia="en-GB"/>
        </w:rPr>
        <w:t>applied</w:t>
      </w:r>
      <w:r w:rsidR="00F779B2">
        <w:rPr>
          <w:szCs w:val="20"/>
          <w:lang w:val="en-GB" w:eastAsia="en-GB"/>
        </w:rPr>
        <w:t xml:space="preserve"> </w:t>
      </w:r>
      <w:r w:rsidR="00B64CBF">
        <w:rPr>
          <w:szCs w:val="20"/>
          <w:lang w:val="en-GB" w:eastAsia="en-GB"/>
        </w:rPr>
        <w:t>here.</w:t>
      </w:r>
      <w:r w:rsidR="00397C16">
        <w:rPr>
          <w:szCs w:val="20"/>
          <w:lang w:val="en-GB" w:eastAsia="en-GB"/>
        </w:rPr>
        <w:t xml:space="preserve"> </w:t>
      </w:r>
      <w:bookmarkStart w:id="5" w:name="_Hlk497740236"/>
      <w:bookmarkEnd w:id="4"/>
      <w:r w:rsidR="006403A2">
        <w:rPr>
          <w:szCs w:val="20"/>
          <w:lang w:val="en-GB" w:eastAsia="en-GB"/>
        </w:rPr>
        <w:t xml:space="preserve">Moreover, </w:t>
      </w:r>
      <w:r w:rsidR="002C3D0D">
        <w:rPr>
          <w:color w:val="000000"/>
          <w:szCs w:val="20"/>
        </w:rPr>
        <w:t xml:space="preserve">the same impacts will </w:t>
      </w:r>
      <w:r w:rsidR="008E540F">
        <w:rPr>
          <w:color w:val="000000"/>
          <w:szCs w:val="20"/>
        </w:rPr>
        <w:t>also occur</w:t>
      </w:r>
      <w:r w:rsidR="002C3D0D">
        <w:rPr>
          <w:color w:val="000000"/>
          <w:szCs w:val="20"/>
        </w:rPr>
        <w:t xml:space="preserve"> to E-UTRA downlink carrier deployed in </w:t>
      </w:r>
      <w:bookmarkStart w:id="6" w:name="_Hlk497740276"/>
      <w:r w:rsidR="002C3D0D">
        <w:rPr>
          <w:color w:val="000000"/>
          <w:szCs w:val="20"/>
        </w:rPr>
        <w:t xml:space="preserve">Band 12 A Block </w:t>
      </w:r>
      <w:bookmarkEnd w:id="6"/>
      <w:r w:rsidR="002C3D0D">
        <w:rPr>
          <w:color w:val="000000"/>
          <w:szCs w:val="20"/>
        </w:rPr>
        <w:t>using the same ACLR and ACS assumptions.</w:t>
      </w:r>
      <w:bookmarkEnd w:id="5"/>
    </w:p>
    <w:p w:rsidR="00440EC2" w:rsidRPr="007A295A" w:rsidRDefault="00440EC2" w:rsidP="00C65AD4">
      <w:pPr>
        <w:overflowPunct w:val="0"/>
        <w:autoSpaceDE w:val="0"/>
        <w:autoSpaceDN w:val="0"/>
        <w:adjustRightInd w:val="0"/>
        <w:spacing w:after="180"/>
        <w:textAlignment w:val="baseline"/>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1322E7" w:rsidRDefault="001322E7" w:rsidP="001322E7">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provided </w:t>
      </w:r>
      <w:r w:rsidR="006771DB">
        <w:rPr>
          <w:rFonts w:eastAsia="宋体"/>
          <w:szCs w:val="20"/>
          <w:lang w:eastAsia="zh-CN"/>
        </w:rPr>
        <w:t>the urban macro downlink coexistence</w:t>
      </w:r>
      <w:r w:rsidR="006771DB" w:rsidRPr="00B14CF8">
        <w:rPr>
          <w:rFonts w:eastAsia="宋体"/>
          <w:szCs w:val="20"/>
          <w:lang w:eastAsia="zh-CN"/>
        </w:rPr>
        <w:t xml:space="preserve"> </w:t>
      </w:r>
      <w:r w:rsidR="006771DB">
        <w:rPr>
          <w:rFonts w:eastAsia="宋体"/>
          <w:szCs w:val="20"/>
          <w:lang w:eastAsia="zh-CN"/>
        </w:rPr>
        <w:t>s</w:t>
      </w:r>
      <w:r w:rsidR="006771DB" w:rsidRPr="00B14CF8">
        <w:rPr>
          <w:rFonts w:eastAsia="宋体"/>
          <w:szCs w:val="20"/>
          <w:lang w:eastAsia="zh-CN"/>
        </w:rPr>
        <w:t xml:space="preserve">imulation </w:t>
      </w:r>
      <w:r w:rsidR="006771DB">
        <w:rPr>
          <w:rFonts w:eastAsia="宋体"/>
          <w:szCs w:val="20"/>
          <w:lang w:eastAsia="zh-CN"/>
        </w:rPr>
        <w:t>r</w:t>
      </w:r>
      <w:r w:rsidR="006771DB" w:rsidRPr="00B14CF8">
        <w:rPr>
          <w:rFonts w:eastAsia="宋体"/>
          <w:szCs w:val="20"/>
          <w:lang w:eastAsia="zh-CN"/>
        </w:rPr>
        <w:t xml:space="preserve">esults </w:t>
      </w:r>
      <w:r w:rsidR="006771DB">
        <w:rPr>
          <w:rFonts w:eastAsia="宋体"/>
          <w:szCs w:val="20"/>
          <w:lang w:eastAsia="zh-CN"/>
        </w:rPr>
        <w:t>using the agreed simulation assumptions and parameters for E-UTRA and NB-IoT coexistence studies</w:t>
      </w:r>
      <w:r w:rsidRPr="00440EC2">
        <w:rPr>
          <w:rFonts w:eastAsia="宋体"/>
          <w:szCs w:val="20"/>
          <w:lang w:eastAsia="zh-CN"/>
        </w:rPr>
        <w:t>.</w:t>
      </w:r>
    </w:p>
    <w:p w:rsidR="001322E7" w:rsidRPr="00440EC2" w:rsidRDefault="001322E7" w:rsidP="001322E7">
      <w:pPr>
        <w:overflowPunct w:val="0"/>
        <w:autoSpaceDE w:val="0"/>
        <w:autoSpaceDN w:val="0"/>
        <w:adjustRightInd w:val="0"/>
        <w:spacing w:after="180"/>
        <w:textAlignment w:val="baseline"/>
        <w:rPr>
          <w:szCs w:val="20"/>
          <w:lang w:val="en-GB" w:eastAsia="en-GB"/>
        </w:rPr>
      </w:pPr>
      <w:r>
        <w:rPr>
          <w:rFonts w:eastAsia="宋体"/>
          <w:szCs w:val="20"/>
          <w:lang w:eastAsia="zh-CN"/>
        </w:rPr>
        <w:t xml:space="preserve">The simulation results have shown that </w:t>
      </w:r>
      <w:r w:rsidR="006771DB">
        <w:rPr>
          <w:szCs w:val="20"/>
          <w:lang w:val="en-GB" w:eastAsia="en-GB"/>
        </w:rPr>
        <w:t xml:space="preserve">the </w:t>
      </w:r>
      <w:r w:rsidR="006771DB">
        <w:rPr>
          <w:rFonts w:eastAsia="宋体"/>
          <w:szCs w:val="20"/>
          <w:lang w:eastAsia="zh-CN"/>
        </w:rPr>
        <w:t xml:space="preserve">downlink SINR of the victim UE </w:t>
      </w:r>
      <w:r w:rsidR="006771DB">
        <w:rPr>
          <w:szCs w:val="20"/>
          <w:lang w:val="en-GB" w:eastAsia="en-GB"/>
        </w:rPr>
        <w:t xml:space="preserve">are </w:t>
      </w:r>
      <w:r w:rsidR="007F6D05">
        <w:rPr>
          <w:szCs w:val="20"/>
          <w:lang w:val="en-GB" w:eastAsia="en-GB"/>
        </w:rPr>
        <w:t>comparable</w:t>
      </w:r>
      <w:r w:rsidR="006771DB">
        <w:rPr>
          <w:szCs w:val="20"/>
          <w:lang w:val="en-GB" w:eastAsia="en-GB"/>
        </w:rPr>
        <w:t xml:space="preserve"> in the 3 scenarios until the very low end where </w:t>
      </w:r>
      <w:r w:rsidR="006771DB">
        <w:rPr>
          <w:color w:val="000000"/>
          <w:szCs w:val="20"/>
        </w:rPr>
        <w:t xml:space="preserve">the </w:t>
      </w:r>
      <w:r w:rsidR="006771DB">
        <w:rPr>
          <w:rFonts w:cs="TimesNewRomanPSMT"/>
          <w:lang w:eastAsia="zh-CN"/>
        </w:rPr>
        <w:t xml:space="preserve">SINR </w:t>
      </w:r>
      <w:r w:rsidR="006771DB">
        <w:rPr>
          <w:szCs w:val="20"/>
          <w:lang w:val="en-GB" w:eastAsia="en-GB"/>
        </w:rPr>
        <w:t xml:space="preserve">in </w:t>
      </w:r>
      <w:r w:rsidR="00C956C4">
        <w:rPr>
          <w:szCs w:val="20"/>
          <w:lang w:val="en-GB" w:eastAsia="en-GB"/>
        </w:rPr>
        <w:t>S</w:t>
      </w:r>
      <w:r w:rsidR="006771DB">
        <w:rPr>
          <w:szCs w:val="20"/>
          <w:lang w:val="en-GB" w:eastAsia="en-GB"/>
        </w:rPr>
        <w:t>cenarios 2 and 3 are</w:t>
      </w:r>
      <w:r w:rsidR="006771DB">
        <w:rPr>
          <w:rFonts w:cs="TimesNewRomanPSMT"/>
          <w:lang w:eastAsia="zh-CN"/>
        </w:rPr>
        <w:t xml:space="preserve"> decreased</w:t>
      </w:r>
      <w:r w:rsidR="006403A2">
        <w:rPr>
          <w:rFonts w:cs="TimesNewRomanPSMT"/>
          <w:lang w:eastAsia="zh-CN"/>
        </w:rPr>
        <w:t xml:space="preserve"> (</w:t>
      </w:r>
      <w:r w:rsidR="006403A2">
        <w:rPr>
          <w:szCs w:val="20"/>
          <w:lang w:val="en-GB" w:eastAsia="en-GB"/>
        </w:rPr>
        <w:t>&lt;0.5dB at 5%-tile)</w:t>
      </w:r>
      <w:r w:rsidR="006771DB">
        <w:rPr>
          <w:szCs w:val="20"/>
          <w:lang w:val="en-GB" w:eastAsia="en-GB"/>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87152" w:rsidRDefault="00D87152" w:rsidP="00FC39B9">
      <w:pPr>
        <w:tabs>
          <w:tab w:val="center" w:pos="4153"/>
          <w:tab w:val="right" w:pos="8306"/>
        </w:tabs>
        <w:ind w:left="567" w:hanging="567"/>
        <w:rPr>
          <w:szCs w:val="20"/>
        </w:rPr>
      </w:pPr>
      <w:r w:rsidRPr="00440EC2">
        <w:rPr>
          <w:szCs w:val="20"/>
        </w:rPr>
        <w:t>[1]</w:t>
      </w:r>
      <w:r w:rsidR="0076534E">
        <w:rPr>
          <w:szCs w:val="20"/>
        </w:rPr>
        <w:tab/>
      </w:r>
      <w:r w:rsidRPr="00440EC2">
        <w:rPr>
          <w:szCs w:val="20"/>
        </w:rPr>
        <w:tab/>
      </w:r>
      <w:r w:rsidR="00C26B48" w:rsidRPr="003663A1">
        <w:rPr>
          <w:rFonts w:eastAsia="Malgun Gothic"/>
        </w:rPr>
        <w:t>RP-172111 “</w:t>
      </w:r>
      <w:r w:rsidR="00C26B48" w:rsidRPr="003663A1">
        <w:rPr>
          <w:rFonts w:eastAsia="Batang"/>
          <w:lang w:eastAsia="zh-CN"/>
        </w:rPr>
        <w:t>New WI: Extended-Band12 new E-UTRA Band”, T-Mobile USA, US Cellular, and C-Spire</w:t>
      </w:r>
      <w:r w:rsidRPr="00440EC2">
        <w:rPr>
          <w:szCs w:val="20"/>
        </w:rPr>
        <w:t>.</w:t>
      </w:r>
    </w:p>
    <w:p w:rsidR="00D83E69" w:rsidRPr="00440EC2" w:rsidRDefault="00D83E69" w:rsidP="0076534E">
      <w:pPr>
        <w:tabs>
          <w:tab w:val="center" w:pos="4153"/>
          <w:tab w:val="right" w:pos="8306"/>
        </w:tabs>
        <w:ind w:left="567" w:hanging="567"/>
        <w:rPr>
          <w:rFonts w:cs="Arial"/>
          <w:szCs w:val="20"/>
          <w:lang w:val="en-GB"/>
        </w:rPr>
      </w:pPr>
      <w:r>
        <w:rPr>
          <w:szCs w:val="20"/>
        </w:rPr>
        <w:t>[2]</w:t>
      </w:r>
      <w:r>
        <w:rPr>
          <w:szCs w:val="20"/>
        </w:rPr>
        <w:tab/>
        <w:t>R4-17</w:t>
      </w:r>
      <w:r w:rsidR="00C26B48">
        <w:rPr>
          <w:szCs w:val="20"/>
        </w:rPr>
        <w:t>11588</w:t>
      </w:r>
      <w:r>
        <w:rPr>
          <w:szCs w:val="20"/>
        </w:rPr>
        <w:t>, “</w:t>
      </w:r>
      <w:r w:rsidR="00C26B48" w:rsidRPr="00C26B48">
        <w:rPr>
          <w:szCs w:val="20"/>
        </w:rPr>
        <w:t>TP for TR36.761: Extended-Band12 new E-UTRA Band Deployment scenarios</w:t>
      </w:r>
      <w:r>
        <w:rPr>
          <w:szCs w:val="20"/>
        </w:rPr>
        <w:t xml:space="preserve">”, </w:t>
      </w:r>
      <w:r w:rsidR="00C26B48" w:rsidRPr="00C26B48">
        <w:rPr>
          <w:szCs w:val="20"/>
        </w:rPr>
        <w:t>Dish Network</w:t>
      </w:r>
      <w:r>
        <w:rPr>
          <w:szCs w:val="20"/>
        </w:rPr>
        <w:t>.</w:t>
      </w:r>
    </w:p>
    <w:p w:rsidR="00F73A28" w:rsidRDefault="00F73A28" w:rsidP="0081207C">
      <w:pPr>
        <w:tabs>
          <w:tab w:val="center" w:pos="4153"/>
          <w:tab w:val="right" w:pos="8306"/>
        </w:tabs>
        <w:ind w:left="567" w:hanging="567"/>
        <w:rPr>
          <w:szCs w:val="20"/>
        </w:rPr>
      </w:pPr>
      <w:r w:rsidRPr="00F73A28">
        <w:rPr>
          <w:szCs w:val="20"/>
        </w:rPr>
        <w:t>[</w:t>
      </w:r>
      <w:r>
        <w:rPr>
          <w:szCs w:val="20"/>
        </w:rPr>
        <w:t>3</w:t>
      </w:r>
      <w:r w:rsidRPr="00F73A28">
        <w:rPr>
          <w:szCs w:val="20"/>
        </w:rPr>
        <w:t>]</w:t>
      </w:r>
      <w:r w:rsidRPr="00F73A28">
        <w:rPr>
          <w:szCs w:val="20"/>
        </w:rPr>
        <w:tab/>
        <w:t>3GPP TS 36.</w:t>
      </w:r>
      <w:r>
        <w:rPr>
          <w:szCs w:val="20"/>
        </w:rPr>
        <w:t>942</w:t>
      </w:r>
      <w:r w:rsidRPr="00F73A28">
        <w:rPr>
          <w:szCs w:val="20"/>
        </w:rPr>
        <w:t xml:space="preserve"> v1</w:t>
      </w:r>
      <w:r>
        <w:rPr>
          <w:szCs w:val="20"/>
        </w:rPr>
        <w:t>4</w:t>
      </w:r>
      <w:r w:rsidRPr="00F73A28">
        <w:rPr>
          <w:szCs w:val="20"/>
        </w:rPr>
        <w:t>.0.0, “Evolved Universal Terrestrial Radio Access (E-UTRA); Radio Frequency (RF) system scenarios”.</w:t>
      </w:r>
    </w:p>
    <w:p w:rsidR="0081207C" w:rsidRDefault="0081207C" w:rsidP="0081207C">
      <w:pPr>
        <w:tabs>
          <w:tab w:val="center" w:pos="4153"/>
          <w:tab w:val="right" w:pos="8306"/>
        </w:tabs>
        <w:ind w:left="567" w:hanging="567"/>
        <w:rPr>
          <w:szCs w:val="20"/>
        </w:rPr>
      </w:pPr>
      <w:r w:rsidRPr="00440EC2">
        <w:rPr>
          <w:szCs w:val="20"/>
        </w:rPr>
        <w:t>[</w:t>
      </w:r>
      <w:r>
        <w:rPr>
          <w:szCs w:val="20"/>
        </w:rPr>
        <w:t>4</w:t>
      </w:r>
      <w:r w:rsidRPr="00440EC2">
        <w:rPr>
          <w:szCs w:val="20"/>
        </w:rPr>
        <w:t>]</w:t>
      </w:r>
      <w:r w:rsidRPr="00440EC2">
        <w:rPr>
          <w:szCs w:val="20"/>
        </w:rPr>
        <w:tab/>
      </w:r>
      <w:r w:rsidR="00F73A28" w:rsidRPr="00F73A28">
        <w:rPr>
          <w:szCs w:val="20"/>
        </w:rPr>
        <w:t>3GPP TS 36.</w:t>
      </w:r>
      <w:r w:rsidR="00F73A28">
        <w:rPr>
          <w:szCs w:val="20"/>
        </w:rPr>
        <w:t>802</w:t>
      </w:r>
      <w:r w:rsidR="00F73A28" w:rsidRPr="00F73A28">
        <w:rPr>
          <w:szCs w:val="20"/>
        </w:rPr>
        <w:t xml:space="preserve"> v1</w:t>
      </w:r>
      <w:r w:rsidR="00F73A28">
        <w:rPr>
          <w:szCs w:val="20"/>
        </w:rPr>
        <w:t>3</w:t>
      </w:r>
      <w:r w:rsidR="00F73A28" w:rsidRPr="00F73A28">
        <w:rPr>
          <w:szCs w:val="20"/>
        </w:rPr>
        <w:t xml:space="preserve">.0.0, “Evolved Universal Terrestrial Radio Access (E-UTRA); </w:t>
      </w:r>
      <w:r w:rsidR="00F73A28" w:rsidRPr="00A20D3F">
        <w:t>NB-IOT; Technical Report for BS and UE radio transmission and reception</w:t>
      </w:r>
      <w:r w:rsidR="00F73A28" w:rsidRPr="00F73A28">
        <w:rPr>
          <w:szCs w:val="20"/>
        </w:rPr>
        <w:t>”</w:t>
      </w:r>
      <w:r w:rsidRPr="00440EC2">
        <w:rPr>
          <w:szCs w:val="20"/>
        </w:rPr>
        <w:t>.</w:t>
      </w:r>
    </w:p>
    <w:p w:rsidR="00BF34AD" w:rsidRDefault="00BF34AD" w:rsidP="0081207C">
      <w:pPr>
        <w:tabs>
          <w:tab w:val="center" w:pos="4153"/>
          <w:tab w:val="right" w:pos="8306"/>
        </w:tabs>
        <w:ind w:left="567" w:hanging="567"/>
        <w:rPr>
          <w:szCs w:val="20"/>
        </w:rPr>
      </w:pPr>
    </w:p>
    <w:sectPr w:rsidR="00BF34AD" w:rsidSect="0007466B">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C33" w:rsidRPr="004E3B67" w:rsidRDefault="00D70C33" w:rsidP="00DA44AD">
      <w:pPr>
        <w:rPr>
          <w:rFonts w:eastAsia="宋体" w:cs="Arial"/>
          <w:color w:val="0000FF"/>
          <w:kern w:val="2"/>
          <w:lang w:eastAsia="zh-CN"/>
        </w:rPr>
      </w:pPr>
      <w:r>
        <w:separator/>
      </w:r>
    </w:p>
  </w:endnote>
  <w:endnote w:type="continuationSeparator" w:id="0">
    <w:p w:rsidR="00D70C33" w:rsidRPr="004E3B67" w:rsidRDefault="00D70C3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C33" w:rsidRPr="004E3B67" w:rsidRDefault="00D70C33" w:rsidP="00DA44AD">
      <w:pPr>
        <w:rPr>
          <w:rFonts w:eastAsia="宋体" w:cs="Arial"/>
          <w:color w:val="0000FF"/>
          <w:kern w:val="2"/>
          <w:lang w:eastAsia="zh-CN"/>
        </w:rPr>
      </w:pPr>
      <w:r>
        <w:separator/>
      </w:r>
    </w:p>
  </w:footnote>
  <w:footnote w:type="continuationSeparator" w:id="0">
    <w:p w:rsidR="00D70C33" w:rsidRPr="004E3B67" w:rsidRDefault="00D70C3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14"/>
  </w:num>
  <w:num w:numId="4">
    <w:abstractNumId w:val="7"/>
  </w:num>
  <w:num w:numId="5">
    <w:abstractNumId w:val="15"/>
  </w:num>
  <w:num w:numId="6">
    <w:abstractNumId w:val="9"/>
  </w:num>
  <w:num w:numId="7">
    <w:abstractNumId w:val="6"/>
  </w:num>
  <w:num w:numId="8">
    <w:abstractNumId w:val="12"/>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13"/>
  </w:num>
  <w:num w:numId="14">
    <w:abstractNumId w:val="5"/>
  </w:num>
  <w:num w:numId="15">
    <w:abstractNumId w:val="1"/>
  </w:num>
  <w:num w:numId="16">
    <w:abstractNumId w:val="3"/>
  </w:num>
  <w:num w:numId="17">
    <w:abstractNumId w:val="2"/>
  </w:num>
  <w:num w:numId="18">
    <w:abstractNumId w:val="8"/>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5C7D"/>
    <w:rsid w:val="00117943"/>
    <w:rsid w:val="00117E18"/>
    <w:rsid w:val="001208C6"/>
    <w:rsid w:val="00120D99"/>
    <w:rsid w:val="00121879"/>
    <w:rsid w:val="00121DD6"/>
    <w:rsid w:val="00125EC1"/>
    <w:rsid w:val="00131431"/>
    <w:rsid w:val="0013170F"/>
    <w:rsid w:val="001322E7"/>
    <w:rsid w:val="00140453"/>
    <w:rsid w:val="00141310"/>
    <w:rsid w:val="001507B9"/>
    <w:rsid w:val="0015193D"/>
    <w:rsid w:val="00154F33"/>
    <w:rsid w:val="00156634"/>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2F79"/>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65A4"/>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2D5C"/>
    <w:rsid w:val="00604A72"/>
    <w:rsid w:val="006052F6"/>
    <w:rsid w:val="00610146"/>
    <w:rsid w:val="006147A1"/>
    <w:rsid w:val="0061524E"/>
    <w:rsid w:val="0061601E"/>
    <w:rsid w:val="006162E9"/>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5E11"/>
    <w:rsid w:val="00700585"/>
    <w:rsid w:val="007026F1"/>
    <w:rsid w:val="0070386D"/>
    <w:rsid w:val="00704D0B"/>
    <w:rsid w:val="00706EB1"/>
    <w:rsid w:val="007070B7"/>
    <w:rsid w:val="00707B56"/>
    <w:rsid w:val="0071019B"/>
    <w:rsid w:val="00716343"/>
    <w:rsid w:val="0072066F"/>
    <w:rsid w:val="00722861"/>
    <w:rsid w:val="00722B63"/>
    <w:rsid w:val="00724A32"/>
    <w:rsid w:val="007259BE"/>
    <w:rsid w:val="00730FDB"/>
    <w:rsid w:val="00733E51"/>
    <w:rsid w:val="00744DA4"/>
    <w:rsid w:val="00745AC8"/>
    <w:rsid w:val="00746E4C"/>
    <w:rsid w:val="00747251"/>
    <w:rsid w:val="0075085E"/>
    <w:rsid w:val="00752A87"/>
    <w:rsid w:val="0075381C"/>
    <w:rsid w:val="00753AF2"/>
    <w:rsid w:val="007545BD"/>
    <w:rsid w:val="00756544"/>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2DA3"/>
    <w:rsid w:val="009F2DB3"/>
    <w:rsid w:val="009F35C6"/>
    <w:rsid w:val="009F3B02"/>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E70FF"/>
    <w:rsid w:val="00AF2DEA"/>
    <w:rsid w:val="00AF3B40"/>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2C1A"/>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956C4"/>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45B9"/>
    <w:rsid w:val="00D0550D"/>
    <w:rsid w:val="00D06807"/>
    <w:rsid w:val="00D06DCE"/>
    <w:rsid w:val="00D07B9A"/>
    <w:rsid w:val="00D07E78"/>
    <w:rsid w:val="00D104B6"/>
    <w:rsid w:val="00D1184F"/>
    <w:rsid w:val="00D11AF2"/>
    <w:rsid w:val="00D11BBF"/>
    <w:rsid w:val="00D12005"/>
    <w:rsid w:val="00D136DF"/>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265D4"/>
    <w:rsid w:val="00E301FB"/>
    <w:rsid w:val="00E312DD"/>
    <w:rsid w:val="00E31B08"/>
    <w:rsid w:val="00E33755"/>
    <w:rsid w:val="00E36878"/>
    <w:rsid w:val="00E36966"/>
    <w:rsid w:val="00E42B4F"/>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6BEB"/>
    <w:rsid w:val="00ED2921"/>
    <w:rsid w:val="00ED2AC8"/>
    <w:rsid w:val="00ED4996"/>
    <w:rsid w:val="00ED4E55"/>
    <w:rsid w:val="00ED6451"/>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45E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1B0C0-BC5E-4D8A-B8FD-45B75DFF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2017-11-03T14:28:00Z</dcterms:created>
  <dcterms:modified xsi:type="dcterms:W3CDTF">2017-11-16T18:34:00Z</dcterms:modified>
</cp:coreProperties>
</file>