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4AA279B1"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84</w:t>
      </w:r>
      <w:r w:rsidR="00FB0094">
        <w:rPr>
          <w:rFonts w:ascii="Arial" w:eastAsia="ＭＳ 明朝" w:hAnsi="Arial" w:cs="Arial"/>
          <w:b/>
          <w:noProof/>
          <w:sz w:val="24"/>
          <w:szCs w:val="24"/>
          <w:lang w:val="en-US" w:eastAsia="ja-JP"/>
        </w:rPr>
        <w:t xml:space="preserve"> Bis</w:t>
      </w:r>
      <w:r w:rsidRPr="004B7E17">
        <w:rPr>
          <w:rFonts w:ascii="Arial" w:hAnsi="Arial" w:cs="Arial"/>
          <w:b/>
          <w:noProof/>
          <w:sz w:val="24"/>
          <w:szCs w:val="24"/>
          <w:lang w:val="en-US"/>
        </w:rPr>
        <w:tab/>
        <w:t>R4-1</w:t>
      </w:r>
      <w:r>
        <w:rPr>
          <w:rFonts w:ascii="Arial" w:hAnsi="Arial" w:cs="Arial"/>
          <w:b/>
          <w:noProof/>
          <w:sz w:val="24"/>
          <w:szCs w:val="24"/>
          <w:lang w:val="en-US"/>
        </w:rPr>
        <w:t>7</w:t>
      </w:r>
      <w:r w:rsidR="00E61854">
        <w:rPr>
          <w:rFonts w:ascii="Arial" w:eastAsia="ＭＳ 明朝" w:hAnsi="Arial" w:cs="Arial" w:hint="eastAsia"/>
          <w:b/>
          <w:noProof/>
          <w:sz w:val="24"/>
          <w:szCs w:val="24"/>
          <w:lang w:val="en-US" w:eastAsia="ja-JP"/>
        </w:rPr>
        <w:t>1</w:t>
      </w:r>
      <w:r w:rsidR="00E61854">
        <w:rPr>
          <w:rFonts w:ascii="Arial" w:eastAsia="ＭＳ 明朝" w:hAnsi="Arial" w:cs="Arial"/>
          <w:b/>
          <w:noProof/>
          <w:sz w:val="24"/>
          <w:szCs w:val="24"/>
          <w:lang w:val="en-US" w:eastAsia="ja-JP"/>
        </w:rPr>
        <w:t>0173</w:t>
      </w:r>
    </w:p>
    <w:p w14:paraId="2EC43E54" w14:textId="36E113B6" w:rsidR="00A32164" w:rsidRDefault="00FB0094" w:rsidP="00B762A7">
      <w:pPr>
        <w:pStyle w:val="Footer"/>
        <w:jc w:val="both"/>
        <w:rPr>
          <w:i w:val="0"/>
          <w:noProof w:val="0"/>
          <w:sz w:val="24"/>
          <w:szCs w:val="24"/>
          <w:lang w:eastAsia="ja-JP"/>
        </w:rPr>
      </w:pPr>
      <w:r>
        <w:rPr>
          <w:rFonts w:eastAsia="SimSun"/>
          <w:i w:val="0"/>
          <w:noProof w:val="0"/>
          <w:sz w:val="24"/>
          <w:szCs w:val="24"/>
          <w:lang w:eastAsia="zh-CN"/>
        </w:rPr>
        <w:t>Dubrovnik</w:t>
      </w:r>
      <w:r w:rsidR="00380C19">
        <w:rPr>
          <w:rFonts w:eastAsia="SimSun"/>
          <w:i w:val="0"/>
          <w:noProof w:val="0"/>
          <w:sz w:val="24"/>
          <w:szCs w:val="24"/>
          <w:lang w:eastAsia="zh-CN"/>
        </w:rPr>
        <w:t xml:space="preserve">, </w:t>
      </w:r>
      <w:r>
        <w:rPr>
          <w:rFonts w:eastAsia="SimSun"/>
          <w:i w:val="0"/>
          <w:noProof w:val="0"/>
          <w:sz w:val="24"/>
          <w:szCs w:val="24"/>
          <w:lang w:eastAsia="zh-CN"/>
        </w:rPr>
        <w:t>Croatia</w:t>
      </w:r>
      <w:r w:rsidR="00380C19">
        <w:rPr>
          <w:i w:val="0"/>
          <w:noProof w:val="0"/>
          <w:sz w:val="24"/>
          <w:szCs w:val="24"/>
          <w:lang w:eastAsia="ja-JP"/>
        </w:rPr>
        <w:t xml:space="preserve">, </w:t>
      </w:r>
      <w:r>
        <w:rPr>
          <w:i w:val="0"/>
          <w:noProof w:val="0"/>
          <w:sz w:val="24"/>
          <w:szCs w:val="24"/>
          <w:lang w:eastAsia="ja-JP"/>
        </w:rPr>
        <w:t>October</w:t>
      </w:r>
      <w:r w:rsidR="00380C19">
        <w:rPr>
          <w:i w:val="0"/>
          <w:noProof w:val="0"/>
          <w:sz w:val="24"/>
          <w:szCs w:val="24"/>
          <w:lang w:eastAsia="ja-JP"/>
        </w:rPr>
        <w:t xml:space="preserve"> </w:t>
      </w:r>
      <w:r>
        <w:rPr>
          <w:i w:val="0"/>
          <w:noProof w:val="0"/>
          <w:sz w:val="24"/>
          <w:szCs w:val="24"/>
          <w:lang w:eastAsia="ja-JP"/>
        </w:rPr>
        <w:t>9</w:t>
      </w:r>
      <w:r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13</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FB0094" w:rsidRDefault="00380C19" w:rsidP="00B762A7">
      <w:pPr>
        <w:pStyle w:val="Footer"/>
        <w:jc w:val="both"/>
        <w:rPr>
          <w:noProof w:val="0"/>
        </w:rPr>
      </w:pPr>
    </w:p>
    <w:p w14:paraId="3997F049" w14:textId="60992A27"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B0094">
        <w:rPr>
          <w:rFonts w:ascii="Arial" w:hAnsi="Arial"/>
          <w:sz w:val="24"/>
        </w:rPr>
        <w:t>9.3</w:t>
      </w:r>
      <w:r w:rsidR="00D356F7">
        <w:rPr>
          <w:rFonts w:ascii="Arial" w:hAnsi="Arial"/>
          <w:sz w:val="24"/>
        </w:rPr>
        <w:t>.1.2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5DFF3B2"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A6F0D">
        <w:rPr>
          <w:rFonts w:ascii="Arial" w:hAnsi="Arial"/>
          <w:sz w:val="22"/>
        </w:rPr>
        <w:t xml:space="preserve">Wideband and CA Operation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E883478" w14:textId="317BC91B" w:rsidR="00BA6F0D" w:rsidRPr="00BA6F0D" w:rsidRDefault="00BA6F0D" w:rsidP="0079497A">
      <w:pPr>
        <w:jc w:val="both"/>
        <w:rPr>
          <w:rFonts w:eastAsia="ＭＳ 明朝"/>
          <w:lang w:val="en-US" w:eastAsia="ja-JP"/>
        </w:rPr>
      </w:pPr>
      <w:r>
        <w:rPr>
          <w:rFonts w:eastAsia="ＭＳ 明朝" w:hint="eastAsia"/>
          <w:lang w:val="en-US" w:eastAsia="ja-JP"/>
        </w:rPr>
        <w:t>Previous decisions in RAN1 and R</w:t>
      </w:r>
      <w:r>
        <w:rPr>
          <w:rFonts w:eastAsia="ＭＳ 明朝"/>
          <w:lang w:val="en-US" w:eastAsia="ja-JP"/>
        </w:rPr>
        <w:t xml:space="preserve">AN4 lead to the possibility of mixed wideband and CA operation in the same channel for different UEs. </w:t>
      </w:r>
      <w:r w:rsidR="00D356F7">
        <w:rPr>
          <w:rFonts w:eastAsia="ＭＳ 明朝"/>
          <w:lang w:val="en-US" w:eastAsia="ja-JP"/>
        </w:rPr>
        <w:t>This operation was discussed in previous meetings, however, there is no common understanding on what the RAN4 impact is for this feature.</w:t>
      </w:r>
      <w:r w:rsidR="00FB0094">
        <w:rPr>
          <w:rFonts w:eastAsia="ＭＳ 明朝"/>
          <w:lang w:val="en-US" w:eastAsia="ja-JP"/>
        </w:rPr>
        <w:t xml:space="preserve"> A WF [1] was proposed in RAN4 NR AH#3, however, it was not agreed as some of the details seem to contradict previous RAN1 and RAN4 agreements.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74D05019" w14:textId="113B79C0" w:rsidR="003D7B7A" w:rsidRDefault="003D7B7A" w:rsidP="005B25F1">
      <w:pPr>
        <w:jc w:val="both"/>
        <w:rPr>
          <w:rFonts w:eastAsia="ＭＳ 明朝"/>
          <w:lang w:val="en-US" w:eastAsia="ja-JP"/>
        </w:rPr>
      </w:pPr>
      <w:r>
        <w:rPr>
          <w:rFonts w:eastAsia="ＭＳ 明朝" w:hint="eastAsia"/>
          <w:lang w:val="en-US" w:eastAsia="ja-JP"/>
        </w:rPr>
        <w:t xml:space="preserve">Figure 1 shows </w:t>
      </w:r>
      <w:r>
        <w:rPr>
          <w:rFonts w:eastAsia="ＭＳ 明朝"/>
          <w:lang w:val="en-US" w:eastAsia="ja-JP"/>
        </w:rPr>
        <w:t>Wideband and CA o</w:t>
      </w:r>
      <w:r w:rsidR="00410A04">
        <w:rPr>
          <w:rFonts w:eastAsia="ＭＳ 明朝"/>
          <w:lang w:val="en-US" w:eastAsia="ja-JP"/>
        </w:rPr>
        <w:t xml:space="preserve">peration with multiple examples. </w:t>
      </w:r>
      <w:r w:rsidR="007C05A1">
        <w:rPr>
          <w:rFonts w:eastAsia="ＭＳ 明朝"/>
          <w:lang w:val="en-US" w:eastAsia="ja-JP"/>
        </w:rPr>
        <w:t>On the network side, a</w:t>
      </w:r>
      <w:r w:rsidR="00410A04">
        <w:rPr>
          <w:rFonts w:eastAsia="ＭＳ 明朝"/>
          <w:lang w:val="en-US" w:eastAsia="ja-JP"/>
        </w:rPr>
        <w:t xml:space="preserve"> </w:t>
      </w:r>
      <w:r>
        <w:rPr>
          <w:rFonts w:eastAsia="ＭＳ 明朝"/>
          <w:lang w:val="en-US" w:eastAsia="ja-JP"/>
        </w:rPr>
        <w:t xml:space="preserve">gNB </w:t>
      </w:r>
      <w:r w:rsidR="007C05A1">
        <w:rPr>
          <w:rFonts w:eastAsia="ＭＳ 明朝"/>
          <w:lang w:val="en-US" w:eastAsia="ja-JP"/>
        </w:rPr>
        <w:t xml:space="preserve">is operating </w:t>
      </w:r>
      <w:r>
        <w:rPr>
          <w:rFonts w:eastAsia="ＭＳ 明朝"/>
          <w:lang w:val="en-US" w:eastAsia="ja-JP"/>
        </w:rPr>
        <w:t xml:space="preserve">with </w:t>
      </w:r>
      <w:r w:rsidR="007C05A1">
        <w:rPr>
          <w:rFonts w:eastAsia="ＭＳ 明朝"/>
          <w:lang w:val="en-US" w:eastAsia="ja-JP"/>
        </w:rPr>
        <w:t>two</w:t>
      </w:r>
      <w:r>
        <w:rPr>
          <w:rFonts w:eastAsia="ＭＳ 明朝"/>
          <w:lang w:val="en-US" w:eastAsia="ja-JP"/>
        </w:rPr>
        <w:t xml:space="preserve"> channels </w:t>
      </w:r>
      <w:r w:rsidR="007C05A1">
        <w:rPr>
          <w:rFonts w:eastAsia="ＭＳ 明朝"/>
          <w:lang w:val="en-US" w:eastAsia="ja-JP"/>
        </w:rPr>
        <w:t>of</w:t>
      </w:r>
      <w:r>
        <w:rPr>
          <w:rFonts w:eastAsia="ＭＳ 明朝"/>
          <w:lang w:val="en-US" w:eastAsia="ja-JP"/>
        </w:rPr>
        <w:t xml:space="preserve"> 400MHz</w:t>
      </w:r>
      <w:r w:rsidR="00283A4F">
        <w:rPr>
          <w:rFonts w:eastAsia="ＭＳ 明朝"/>
          <w:lang w:val="en-US" w:eastAsia="ja-JP"/>
        </w:rPr>
        <w:t xml:space="preserve"> </w:t>
      </w:r>
      <w:r>
        <w:rPr>
          <w:rFonts w:eastAsia="ＭＳ 明朝"/>
          <w:lang w:val="en-US" w:eastAsia="ja-JP"/>
        </w:rPr>
        <w:t>(maximum in Rel. 15)</w:t>
      </w:r>
      <w:r w:rsidR="007C05A1">
        <w:rPr>
          <w:rFonts w:eastAsia="ＭＳ 明朝"/>
          <w:lang w:val="en-US" w:eastAsia="ja-JP"/>
        </w:rPr>
        <w:t xml:space="preserve">. This </w:t>
      </w:r>
      <w:r>
        <w:rPr>
          <w:rFonts w:eastAsia="ＭＳ 明朝"/>
          <w:lang w:val="en-US" w:eastAsia="ja-JP"/>
        </w:rPr>
        <w:t>could be</w:t>
      </w:r>
      <w:r w:rsidR="007C05A1">
        <w:rPr>
          <w:rFonts w:eastAsia="ＭＳ 明朝"/>
          <w:lang w:val="en-US" w:eastAsia="ja-JP"/>
        </w:rPr>
        <w:t xml:space="preserve">come a single </w:t>
      </w:r>
      <w:r>
        <w:rPr>
          <w:rFonts w:eastAsia="ＭＳ 明朝"/>
          <w:lang w:val="en-US" w:eastAsia="ja-JP"/>
        </w:rPr>
        <w:t>800MHz in a future release.</w:t>
      </w:r>
      <w:r w:rsidR="007C05A1">
        <w:rPr>
          <w:rFonts w:eastAsia="ＭＳ 明朝"/>
          <w:lang w:val="en-US" w:eastAsia="ja-JP"/>
        </w:rPr>
        <w:t xml:space="preserve"> In this system there could be multiple UEs operating in different configurations as below</w:t>
      </w:r>
    </w:p>
    <w:p w14:paraId="301B0BA3" w14:textId="3ED94EC8" w:rsidR="003D7B7A" w:rsidRPr="007C05A1" w:rsidRDefault="003D7B7A" w:rsidP="007C05A1">
      <w:pPr>
        <w:pStyle w:val="ListParagraph"/>
        <w:numPr>
          <w:ilvl w:val="0"/>
          <w:numId w:val="20"/>
        </w:numPr>
        <w:jc w:val="both"/>
        <w:rPr>
          <w:rFonts w:ascii="Times New Roman" w:hAnsi="Times New Roman"/>
          <w:sz w:val="20"/>
          <w:lang w:eastAsia="ja-JP"/>
        </w:rPr>
      </w:pPr>
      <w:r w:rsidRPr="007C05A1">
        <w:rPr>
          <w:rFonts w:ascii="Times New Roman" w:hAnsi="Times New Roman"/>
          <w:sz w:val="20"/>
          <w:lang w:eastAsia="ja-JP"/>
        </w:rPr>
        <w:t>UE1</w:t>
      </w:r>
      <w:r w:rsidR="007C05A1" w:rsidRPr="007C05A1">
        <w:rPr>
          <w:rFonts w:ascii="Times New Roman" w:hAnsi="Times New Roman"/>
          <w:sz w:val="20"/>
          <w:lang w:eastAsia="ja-JP"/>
        </w:rPr>
        <w:t>:</w:t>
      </w:r>
      <w:r w:rsidRPr="007C05A1">
        <w:rPr>
          <w:rFonts w:ascii="Times New Roman" w:hAnsi="Times New Roman"/>
          <w:sz w:val="20"/>
          <w:lang w:eastAsia="ja-JP"/>
        </w:rPr>
        <w:t xml:space="preserve"> </w:t>
      </w:r>
      <w:r w:rsidR="007C05A1" w:rsidRPr="007C05A1">
        <w:rPr>
          <w:rFonts w:ascii="Times New Roman" w:hAnsi="Times New Roman"/>
          <w:sz w:val="20"/>
          <w:lang w:eastAsia="ja-JP"/>
        </w:rPr>
        <w:t xml:space="preserve">operates with </w:t>
      </w:r>
      <w:r w:rsidRPr="007C05A1">
        <w:rPr>
          <w:rFonts w:ascii="Times New Roman" w:hAnsi="Times New Roman"/>
          <w:sz w:val="20"/>
          <w:lang w:eastAsia="ja-JP"/>
        </w:rPr>
        <w:t xml:space="preserve">intra-band CA within a wider gNB bandwidth, </w:t>
      </w:r>
      <w:r w:rsidR="007C05A1" w:rsidRPr="007C05A1">
        <w:rPr>
          <w:rFonts w:ascii="Times New Roman" w:hAnsi="Times New Roman"/>
          <w:sz w:val="20"/>
          <w:lang w:eastAsia="ja-JP"/>
        </w:rPr>
        <w:t xml:space="preserve">actual configuration could be </w:t>
      </w:r>
      <w:r w:rsidRPr="007C05A1">
        <w:rPr>
          <w:rFonts w:ascii="Times New Roman" w:hAnsi="Times New Roman"/>
          <w:sz w:val="20"/>
          <w:lang w:eastAsia="ja-JP"/>
        </w:rPr>
        <w:t xml:space="preserve">2x200MHz CA within </w:t>
      </w:r>
      <w:r w:rsidR="007C05A1" w:rsidRPr="007C05A1">
        <w:rPr>
          <w:rFonts w:ascii="Times New Roman" w:hAnsi="Times New Roman"/>
          <w:sz w:val="20"/>
          <w:lang w:eastAsia="ja-JP"/>
        </w:rPr>
        <w:t xml:space="preserve">the </w:t>
      </w:r>
      <w:r w:rsidRPr="007C05A1">
        <w:rPr>
          <w:rFonts w:ascii="Times New Roman" w:hAnsi="Times New Roman"/>
          <w:sz w:val="20"/>
          <w:lang w:eastAsia="ja-JP"/>
        </w:rPr>
        <w:t>400MHz gNB channel</w:t>
      </w:r>
      <w:r w:rsidR="007C05A1" w:rsidRPr="007C05A1">
        <w:rPr>
          <w:rFonts w:ascii="Times New Roman" w:hAnsi="Times New Roman"/>
          <w:sz w:val="20"/>
          <w:lang w:eastAsia="ja-JP"/>
        </w:rPr>
        <w:t>.</w:t>
      </w:r>
      <w:r w:rsidRPr="007C05A1">
        <w:rPr>
          <w:rFonts w:ascii="Times New Roman" w:hAnsi="Times New Roman"/>
          <w:sz w:val="20"/>
          <w:lang w:eastAsia="ja-JP"/>
        </w:rPr>
        <w:t xml:space="preserve"> Each CC is configured with different BWPs</w:t>
      </w:r>
    </w:p>
    <w:p w14:paraId="2291F044" w14:textId="1E48DA27" w:rsidR="003D7B7A" w:rsidRPr="007C05A1" w:rsidRDefault="003D7B7A" w:rsidP="007C05A1">
      <w:pPr>
        <w:pStyle w:val="ListParagraph"/>
        <w:numPr>
          <w:ilvl w:val="0"/>
          <w:numId w:val="20"/>
        </w:numPr>
        <w:jc w:val="both"/>
        <w:rPr>
          <w:rFonts w:ascii="Times New Roman" w:hAnsi="Times New Roman"/>
          <w:sz w:val="20"/>
          <w:lang w:eastAsia="ja-JP"/>
        </w:rPr>
      </w:pPr>
      <w:r w:rsidRPr="007C05A1">
        <w:rPr>
          <w:rFonts w:ascii="Times New Roman" w:hAnsi="Times New Roman"/>
          <w:sz w:val="20"/>
          <w:lang w:eastAsia="ja-JP"/>
        </w:rPr>
        <w:t>UE2</w:t>
      </w:r>
      <w:r w:rsidR="007C05A1" w:rsidRPr="007C05A1">
        <w:rPr>
          <w:rFonts w:ascii="Times New Roman" w:hAnsi="Times New Roman"/>
          <w:sz w:val="20"/>
          <w:lang w:eastAsia="ja-JP"/>
        </w:rPr>
        <w:t>:</w:t>
      </w:r>
      <w:r w:rsidRPr="007C05A1">
        <w:rPr>
          <w:rFonts w:ascii="Times New Roman" w:hAnsi="Times New Roman"/>
          <w:sz w:val="20"/>
          <w:lang w:eastAsia="ja-JP"/>
        </w:rPr>
        <w:t xml:space="preserve"> </w:t>
      </w:r>
      <w:r w:rsidR="007C05A1" w:rsidRPr="007C05A1">
        <w:rPr>
          <w:rFonts w:ascii="Times New Roman" w:hAnsi="Times New Roman"/>
          <w:sz w:val="20"/>
          <w:lang w:eastAsia="ja-JP"/>
        </w:rPr>
        <w:t xml:space="preserve">operates with </w:t>
      </w:r>
      <w:r w:rsidRPr="007C05A1">
        <w:rPr>
          <w:rFonts w:ascii="Times New Roman" w:hAnsi="Times New Roman"/>
          <w:sz w:val="20"/>
          <w:lang w:eastAsia="ja-JP"/>
        </w:rPr>
        <w:t>intra-band CA of 2x400MHz channels(intra-band CA operation as in LTE), each CC is configured with BWPs.</w:t>
      </w:r>
    </w:p>
    <w:p w14:paraId="6A8DE531" w14:textId="65E46D4F" w:rsidR="003D7B7A" w:rsidRDefault="003D7B7A" w:rsidP="007C05A1">
      <w:pPr>
        <w:pStyle w:val="ListParagraph"/>
        <w:numPr>
          <w:ilvl w:val="0"/>
          <w:numId w:val="20"/>
        </w:numPr>
        <w:jc w:val="both"/>
        <w:rPr>
          <w:rFonts w:ascii="Times New Roman" w:hAnsi="Times New Roman"/>
          <w:sz w:val="20"/>
          <w:lang w:eastAsia="ja-JP"/>
        </w:rPr>
      </w:pPr>
      <w:r w:rsidRPr="007C05A1">
        <w:rPr>
          <w:rFonts w:ascii="Times New Roman" w:hAnsi="Times New Roman"/>
          <w:sz w:val="20"/>
          <w:lang w:eastAsia="ja-JP"/>
        </w:rPr>
        <w:t xml:space="preserve">UE3- </w:t>
      </w:r>
      <w:r w:rsidR="007C05A1" w:rsidRPr="007C05A1">
        <w:rPr>
          <w:rFonts w:ascii="Times New Roman" w:hAnsi="Times New Roman"/>
          <w:sz w:val="20"/>
          <w:lang w:eastAsia="ja-JP"/>
        </w:rPr>
        <w:t xml:space="preserve">operates in the </w:t>
      </w:r>
      <w:r w:rsidRPr="007C05A1">
        <w:rPr>
          <w:rFonts w:ascii="Times New Roman" w:hAnsi="Times New Roman"/>
          <w:sz w:val="20"/>
          <w:lang w:eastAsia="ja-JP"/>
        </w:rPr>
        <w:t>400MHz</w:t>
      </w:r>
      <w:r w:rsidR="007C05A1" w:rsidRPr="007C05A1">
        <w:rPr>
          <w:rFonts w:ascii="Times New Roman" w:hAnsi="Times New Roman"/>
          <w:sz w:val="20"/>
          <w:lang w:eastAsia="ja-JP"/>
        </w:rPr>
        <w:t xml:space="preserve"> as a single channel</w:t>
      </w:r>
      <w:r w:rsidRPr="007C05A1">
        <w:rPr>
          <w:rFonts w:ascii="Times New Roman" w:hAnsi="Times New Roman"/>
          <w:sz w:val="20"/>
          <w:lang w:eastAsia="ja-JP"/>
        </w:rPr>
        <w:t>, configured with 2 BWPs</w:t>
      </w:r>
    </w:p>
    <w:p w14:paraId="07425D79" w14:textId="7BB7CA0E" w:rsidR="00F538FE" w:rsidRPr="007C05A1" w:rsidRDefault="00F538FE" w:rsidP="007C05A1">
      <w:pPr>
        <w:pStyle w:val="ListParagraph"/>
        <w:numPr>
          <w:ilvl w:val="0"/>
          <w:numId w:val="20"/>
        </w:numPr>
        <w:jc w:val="both"/>
        <w:rPr>
          <w:rFonts w:ascii="Times New Roman" w:hAnsi="Times New Roman"/>
          <w:sz w:val="20"/>
          <w:lang w:eastAsia="ja-JP"/>
        </w:rPr>
      </w:pPr>
      <w:r>
        <w:rPr>
          <w:rFonts w:ascii="Times New Roman" w:hAnsi="Times New Roman"/>
          <w:sz w:val="20"/>
          <w:lang w:eastAsia="ja-JP"/>
        </w:rPr>
        <w:t>UE4- operates in the 400MHz as a single channel, configured with 2BWPs of different bandwidths</w:t>
      </w:r>
    </w:p>
    <w:p w14:paraId="559EB995" w14:textId="60DA2BF5" w:rsidR="00FB0094" w:rsidRDefault="00F538FE" w:rsidP="005B25F1">
      <w:pPr>
        <w:jc w:val="both"/>
        <w:rPr>
          <w:rFonts w:eastAsia="ＭＳ 明朝"/>
          <w:lang w:val="en-US" w:eastAsia="ja-JP"/>
        </w:rPr>
      </w:pPr>
      <w:r>
        <w:object w:dxaOrig="13692" w:dyaOrig="10816" w14:anchorId="55175BD0">
          <v:shape id="_x0000_i1026" type="#_x0000_t75" style="width:482pt;height:380.8pt" o:ole="">
            <v:imagedata r:id="rId13" o:title=""/>
          </v:shape>
          <o:OLEObject Type="Embed" ProgID="Visio.Drawing.11" ShapeID="_x0000_i1026" DrawAspect="Content" ObjectID="_1568515807" r:id="rId14"/>
        </w:object>
      </w:r>
    </w:p>
    <w:p w14:paraId="141267FF" w14:textId="284CCA1D" w:rsidR="00FB0094" w:rsidRDefault="003D7B7A" w:rsidP="007C05A1">
      <w:pPr>
        <w:jc w:val="center"/>
        <w:rPr>
          <w:rFonts w:eastAsia="ＭＳ 明朝"/>
          <w:lang w:val="en-US" w:eastAsia="ja-JP"/>
        </w:rPr>
      </w:pPr>
      <w:r>
        <w:rPr>
          <w:rFonts w:eastAsia="ＭＳ 明朝" w:hint="eastAsia"/>
          <w:lang w:val="en-US" w:eastAsia="ja-JP"/>
        </w:rPr>
        <w:t>Figure 1. Wideband and CA operation in NR</w:t>
      </w:r>
    </w:p>
    <w:p w14:paraId="75A58505" w14:textId="0C00243F" w:rsidR="007C05A1" w:rsidRDefault="008F4C5B" w:rsidP="003D7B7A">
      <w:pPr>
        <w:jc w:val="both"/>
        <w:rPr>
          <w:rFonts w:eastAsia="ＭＳ 明朝"/>
          <w:lang w:val="en-US" w:eastAsia="ja-JP"/>
        </w:rPr>
      </w:pPr>
      <w:r>
        <w:rPr>
          <w:rFonts w:eastAsia="ＭＳ 明朝" w:hint="eastAsia"/>
          <w:lang w:val="en-US" w:eastAsia="ja-JP"/>
        </w:rPr>
        <w:t>WF [1] describes a mode operation in which UE</w:t>
      </w:r>
      <w:r w:rsidR="007C05A1">
        <w:rPr>
          <w:rFonts w:eastAsia="ＭＳ 明朝"/>
          <w:lang w:val="en-US" w:eastAsia="ja-JP"/>
        </w:rPr>
        <w:t>1</w:t>
      </w:r>
      <w:r>
        <w:rPr>
          <w:rFonts w:eastAsia="ＭＳ 明朝" w:hint="eastAsia"/>
          <w:lang w:val="en-US" w:eastAsia="ja-JP"/>
        </w:rPr>
        <w:t xml:space="preserve"> is precluded</w:t>
      </w:r>
      <w:r>
        <w:rPr>
          <w:rFonts w:eastAsia="ＭＳ 明朝"/>
          <w:lang w:val="en-US" w:eastAsia="ja-JP"/>
        </w:rPr>
        <w:t xml:space="preserve"> and only UE3 is allowed</w:t>
      </w:r>
      <w:r>
        <w:rPr>
          <w:rFonts w:eastAsia="ＭＳ 明朝" w:hint="eastAsia"/>
          <w:lang w:val="en-US" w:eastAsia="ja-JP"/>
        </w:rPr>
        <w:t xml:space="preserve">. </w:t>
      </w:r>
      <w:r w:rsidR="007C05A1">
        <w:rPr>
          <w:rFonts w:eastAsia="ＭＳ 明朝"/>
          <w:lang w:val="en-US" w:eastAsia="ja-JP"/>
        </w:rPr>
        <w:t xml:space="preserve">The motivation for not allowing UE2 mode of operation is a </w:t>
      </w:r>
      <w:r>
        <w:rPr>
          <w:rFonts w:eastAsia="ＭＳ 明朝"/>
          <w:lang w:val="en-US" w:eastAsia="ja-JP"/>
        </w:rPr>
        <w:t>RAN1 agree</w:t>
      </w:r>
      <w:r w:rsidR="007C05A1">
        <w:rPr>
          <w:rFonts w:eastAsia="ＭＳ 明朝"/>
          <w:lang w:val="en-US" w:eastAsia="ja-JP"/>
        </w:rPr>
        <w:t>ment</w:t>
      </w:r>
      <w:r>
        <w:rPr>
          <w:rFonts w:eastAsia="ＭＳ 明朝"/>
          <w:lang w:val="en-US" w:eastAsia="ja-JP"/>
        </w:rPr>
        <w:t xml:space="preserve"> that </w:t>
      </w:r>
      <w:r w:rsidR="007C05A1">
        <w:rPr>
          <w:rFonts w:eastAsia="ＭＳ 明朝"/>
          <w:lang w:val="en-US" w:eastAsia="ja-JP"/>
        </w:rPr>
        <w:t xml:space="preserve">a </w:t>
      </w:r>
      <w:r>
        <w:rPr>
          <w:rFonts w:eastAsia="ＭＳ 明朝"/>
          <w:lang w:val="en-US" w:eastAsia="ja-JP"/>
        </w:rPr>
        <w:t xml:space="preserve">single BWP in a CC can be active in Rel.15, </w:t>
      </w:r>
      <w:r w:rsidR="007C05A1">
        <w:rPr>
          <w:rFonts w:eastAsia="ＭＳ 明朝"/>
          <w:lang w:val="en-US" w:eastAsia="ja-JP"/>
        </w:rPr>
        <w:t>and this agreement was interpreted as not allowing intra-band CA within a wider channel bandwidth. Ho</w:t>
      </w:r>
      <w:r w:rsidR="003D7B7A">
        <w:rPr>
          <w:rFonts w:eastAsia="ＭＳ 明朝"/>
          <w:lang w:val="en-US" w:eastAsia="ja-JP"/>
        </w:rPr>
        <w:t>wever</w:t>
      </w:r>
      <w:r>
        <w:rPr>
          <w:rFonts w:eastAsia="ＭＳ 明朝"/>
          <w:lang w:val="en-US" w:eastAsia="ja-JP"/>
        </w:rPr>
        <w:t xml:space="preserve"> the </w:t>
      </w:r>
      <w:r w:rsidR="007C05A1">
        <w:rPr>
          <w:rFonts w:eastAsia="ＭＳ 明朝"/>
          <w:lang w:val="en-US" w:eastAsia="ja-JP"/>
        </w:rPr>
        <w:t xml:space="preserve">RAN1 agreement is only about BWPs and does not preclude in any way </w:t>
      </w:r>
      <w:r>
        <w:rPr>
          <w:rFonts w:eastAsia="ＭＳ 明朝"/>
          <w:lang w:val="en-US" w:eastAsia="ja-JP"/>
        </w:rPr>
        <w:t xml:space="preserve">intra-band CA within a </w:t>
      </w:r>
      <w:r w:rsidR="007C05A1">
        <w:rPr>
          <w:rFonts w:eastAsia="ＭＳ 明朝"/>
          <w:lang w:val="en-US" w:eastAsia="ja-JP"/>
        </w:rPr>
        <w:t>wider channel bandwidth</w:t>
      </w:r>
      <w:r>
        <w:rPr>
          <w:rFonts w:eastAsia="ＭＳ 明朝"/>
          <w:lang w:val="en-US" w:eastAsia="ja-JP"/>
        </w:rPr>
        <w:t xml:space="preserve">. </w:t>
      </w:r>
      <w:r w:rsidR="007C05A1">
        <w:rPr>
          <w:rFonts w:eastAsia="ＭＳ 明朝"/>
          <w:lang w:val="en-US" w:eastAsia="ja-JP"/>
        </w:rPr>
        <w:t xml:space="preserve">RAN4 previously agreed that in order to maintain forward compatibility when adding new channel bandwidths, intra-band CA within a wider channel bandwidth (e.g. 2x200MHz in 400MHz) must be supported. If UE1 mode of operation is not allowed and the gNB would support 800MHz Channel in a later release, UE2 that supports 800MHz with 2 CCs would not be able to operate </w:t>
      </w:r>
      <w:r w:rsidR="009F3A04">
        <w:rPr>
          <w:rFonts w:eastAsia="ＭＳ 明朝"/>
          <w:lang w:val="en-US" w:eastAsia="ja-JP"/>
        </w:rPr>
        <w:t>its full bandwidth but would be constrained to operate only in 400MHz. If the gNB channel bandwidth is extended to 800MHz, UE2 operation would only be allowed with BWPs and since a Rel.15 UE can only have 1 active BWP, this UE would only be able to operate with a maximum bandwidth of 400MHz.</w:t>
      </w:r>
    </w:p>
    <w:p w14:paraId="7C7B380F" w14:textId="19A4D39A" w:rsidR="009F3A04" w:rsidRPr="009F3A04" w:rsidRDefault="009F3A04" w:rsidP="003D7B7A">
      <w:pPr>
        <w:jc w:val="both"/>
        <w:rPr>
          <w:rFonts w:eastAsia="ＭＳ 明朝"/>
          <w:b/>
          <w:lang w:val="en-US" w:eastAsia="ja-JP"/>
        </w:rPr>
      </w:pPr>
      <w:r w:rsidRPr="009F3A04">
        <w:rPr>
          <w:rFonts w:eastAsia="ＭＳ 明朝"/>
          <w:b/>
          <w:lang w:val="en-US" w:eastAsia="ja-JP"/>
        </w:rPr>
        <w:t>Observation 1: Intra-band CA operation within a wider channel(e.g. 2x200MHz in 400MHz channel) must be supported to ensure forward compatibility.</w:t>
      </w:r>
    </w:p>
    <w:p w14:paraId="63566D85" w14:textId="75FB3649" w:rsidR="009F3A04" w:rsidRDefault="009F3A04" w:rsidP="003D7B7A">
      <w:pPr>
        <w:jc w:val="both"/>
        <w:rPr>
          <w:rFonts w:eastAsia="ＭＳ 明朝"/>
          <w:lang w:val="en-US" w:eastAsia="ja-JP"/>
        </w:rPr>
      </w:pPr>
      <w:r>
        <w:rPr>
          <w:rFonts w:eastAsia="ＭＳ 明朝"/>
          <w:lang w:val="en-US" w:eastAsia="ja-JP"/>
        </w:rPr>
        <w:t xml:space="preserve">Based on previous RAN1 and RAN4 agreements, all operation modes shown in Figure 1 are supported in Rel.15. The RAN1 agreements on BWP operation allow intra-band CA within a wider channel and configuration of multiple BWPs within any CC. </w:t>
      </w:r>
      <w:r w:rsidR="00431C7B">
        <w:rPr>
          <w:rFonts w:eastAsia="ＭＳ 明朝"/>
          <w:lang w:val="en-US" w:eastAsia="ja-JP"/>
        </w:rPr>
        <w:t xml:space="preserve">One important use case for operation with BWPs is UE4 </w:t>
      </w:r>
      <w:r w:rsidR="000079B9">
        <w:rPr>
          <w:rFonts w:eastAsia="ＭＳ 明朝"/>
          <w:lang w:val="en-US" w:eastAsia="ja-JP"/>
        </w:rPr>
        <w:t>in which BWPs of different bandwidths would be used to enable power saving for different services that require different bandwdiths.</w:t>
      </w:r>
    </w:p>
    <w:p w14:paraId="1679C1B9" w14:textId="7C8CFE28" w:rsidR="009F3A04" w:rsidRPr="009F3A04" w:rsidRDefault="009F3A04" w:rsidP="003D7B7A">
      <w:pPr>
        <w:jc w:val="both"/>
        <w:rPr>
          <w:rFonts w:eastAsia="ＭＳ 明朝"/>
          <w:b/>
          <w:lang w:val="en-US" w:eastAsia="ja-JP"/>
        </w:rPr>
      </w:pPr>
      <w:r w:rsidRPr="009F3A04">
        <w:rPr>
          <w:rFonts w:eastAsia="ＭＳ 明朝"/>
          <w:b/>
          <w:lang w:val="en-US" w:eastAsia="ja-JP"/>
        </w:rPr>
        <w:t>Observation 2: All operating modes shown in Figure 1 (intra-band CA within a wider channel and multiple BWPs within each CC) are supported in Rel.15 NR.</w:t>
      </w:r>
    </w:p>
    <w:p w14:paraId="264FED99" w14:textId="0CD3BD8A" w:rsidR="009F3A04" w:rsidRDefault="009F3A04" w:rsidP="005B25F1">
      <w:pPr>
        <w:jc w:val="both"/>
        <w:rPr>
          <w:rFonts w:eastAsia="ＭＳ 明朝"/>
          <w:lang w:val="en-US" w:eastAsia="ja-JP"/>
        </w:rPr>
      </w:pPr>
      <w:r>
        <w:rPr>
          <w:rFonts w:eastAsia="ＭＳ 明朝" w:hint="eastAsia"/>
          <w:lang w:val="en-US" w:eastAsia="ja-JP"/>
        </w:rPr>
        <w:t xml:space="preserve">RAN4 still needs to discuss and define several aspects of wideband and CA operation related to </w:t>
      </w:r>
      <w:r>
        <w:rPr>
          <w:rFonts w:eastAsia="ＭＳ 明朝"/>
          <w:lang w:val="en-US" w:eastAsia="ja-JP"/>
        </w:rPr>
        <w:t xml:space="preserve">active bandwidth and </w:t>
      </w:r>
      <w:r>
        <w:rPr>
          <w:rFonts w:eastAsia="ＭＳ 明朝" w:hint="eastAsia"/>
          <w:lang w:val="en-US" w:eastAsia="ja-JP"/>
        </w:rPr>
        <w:t>spectral utilization</w:t>
      </w:r>
      <w:r>
        <w:rPr>
          <w:rFonts w:eastAsia="ＭＳ 明朝"/>
          <w:lang w:val="en-US" w:eastAsia="ja-JP"/>
        </w:rPr>
        <w:t>. Some of these aspects are very similar whether we consider a CC or a BWP.</w:t>
      </w:r>
    </w:p>
    <w:p w14:paraId="69524A29" w14:textId="7717493A" w:rsidR="009F3A04" w:rsidRDefault="009F3A04" w:rsidP="005B25F1">
      <w:pPr>
        <w:jc w:val="both"/>
        <w:rPr>
          <w:rFonts w:eastAsia="ＭＳ 明朝"/>
          <w:lang w:val="en-US" w:eastAsia="ja-JP"/>
        </w:rPr>
      </w:pPr>
      <w:r>
        <w:rPr>
          <w:rFonts w:eastAsia="ＭＳ 明朝"/>
          <w:lang w:val="en-US" w:eastAsia="ja-JP"/>
        </w:rPr>
        <w:t>I</w:t>
      </w:r>
      <w:r>
        <w:rPr>
          <w:rFonts w:eastAsia="ＭＳ 明朝" w:hint="eastAsia"/>
          <w:lang w:val="en-US" w:eastAsia="ja-JP"/>
        </w:rPr>
        <w:t xml:space="preserve">n </w:t>
      </w:r>
      <w:r>
        <w:rPr>
          <w:rFonts w:eastAsia="ＭＳ 明朝"/>
          <w:lang w:val="en-US" w:eastAsia="ja-JP"/>
        </w:rPr>
        <w:t>previous papers it was proposed that the size of any BWP must be constrained to one of the channel bandwidths defined for the band in which it is configured. The same thing can be said about a CC that is part of an intra-band CA configuration.</w:t>
      </w:r>
    </w:p>
    <w:p w14:paraId="53613B24" w14:textId="27291C7C" w:rsidR="00FA518B" w:rsidRPr="00FA518B" w:rsidRDefault="00FA518B" w:rsidP="005B25F1">
      <w:pPr>
        <w:jc w:val="both"/>
        <w:rPr>
          <w:rFonts w:eastAsia="ＭＳ 明朝"/>
          <w:b/>
          <w:lang w:val="en-US" w:eastAsia="ja-JP"/>
        </w:rPr>
      </w:pPr>
      <w:r w:rsidRPr="00FA518B">
        <w:rPr>
          <w:rFonts w:eastAsia="ＭＳ 明朝"/>
          <w:b/>
          <w:lang w:val="en-US" w:eastAsia="ja-JP"/>
        </w:rPr>
        <w:lastRenderedPageBreak/>
        <w:t>Proposal 1: Any BWP or CC of an intra-band CA configuration must have the bandwidth from the set of defined channel bandwidths for that band.</w:t>
      </w:r>
    </w:p>
    <w:p w14:paraId="2AE38991" w14:textId="76594F17" w:rsidR="00FA518B" w:rsidRDefault="00FA518B"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n LTE CA operation, each CC had to be deployed on a valid channel raster entry and the distance between the raster entries was defined. In NR, if this kind of operation is maintained, the allowed combinations of BWPs or intra-band CA would be very limited for the bands with 100kHz raster. It would also be very difficult to enable 0 guard band CA in bands with this raster. These aspects were already discussed in [2].</w:t>
      </w:r>
    </w:p>
    <w:p w14:paraId="31D6F6D4" w14:textId="396A961E" w:rsidR="009F3A04" w:rsidRPr="00FA518B" w:rsidRDefault="00FA518B" w:rsidP="005B25F1">
      <w:pPr>
        <w:jc w:val="both"/>
        <w:rPr>
          <w:rFonts w:eastAsia="ＭＳ 明朝"/>
          <w:b/>
          <w:lang w:val="en-US" w:eastAsia="ja-JP"/>
        </w:rPr>
      </w:pPr>
      <w:r w:rsidRPr="00FA518B">
        <w:rPr>
          <w:rFonts w:eastAsia="ＭＳ 明朝"/>
          <w:b/>
          <w:lang w:val="en-US" w:eastAsia="ja-JP"/>
        </w:rPr>
        <w:t>O</w:t>
      </w:r>
      <w:r w:rsidRPr="00FA518B">
        <w:rPr>
          <w:rFonts w:eastAsia="ＭＳ 明朝" w:hint="eastAsia"/>
          <w:b/>
          <w:lang w:val="en-US" w:eastAsia="ja-JP"/>
        </w:rPr>
        <w:t xml:space="preserve">bservation </w:t>
      </w:r>
      <w:r w:rsidRPr="00FA518B">
        <w:rPr>
          <w:rFonts w:eastAsia="ＭＳ 明朝"/>
          <w:b/>
          <w:lang w:val="en-US" w:eastAsia="ja-JP"/>
        </w:rPr>
        <w:t>3. BWPs or CCs in intra-band CA configuration would not be deployed on valid channel raster positions in bands with 100kHz raster.</w:t>
      </w:r>
    </w:p>
    <w:p w14:paraId="490DBD09" w14:textId="3E902F6B" w:rsidR="00FA518B" w:rsidRPr="009F3A04" w:rsidRDefault="00FA518B" w:rsidP="005B25F1">
      <w:pPr>
        <w:jc w:val="both"/>
        <w:rPr>
          <w:rFonts w:eastAsia="ＭＳ 明朝"/>
          <w:lang w:val="en-US" w:eastAsia="ja-JP"/>
        </w:rPr>
      </w:pPr>
      <w:r>
        <w:rPr>
          <w:rFonts w:eastAsia="ＭＳ 明朝"/>
          <w:lang w:val="en-US" w:eastAsia="ja-JP"/>
        </w:rPr>
        <w:t>It should be noted that these bands have relatively narrow channel bandwidth and RAN4 might decide not to allow BWP or intra-band CA operation in them.</w:t>
      </w:r>
    </w:p>
    <w:p w14:paraId="2A3EB3B0" w14:textId="32AA2156" w:rsidR="00FA518B" w:rsidRDefault="00FA518B" w:rsidP="005B25F1">
      <w:pPr>
        <w:jc w:val="both"/>
        <w:rPr>
          <w:rFonts w:eastAsia="ＭＳ 明朝"/>
          <w:lang w:val="en-US" w:eastAsia="ja-JP"/>
        </w:rPr>
      </w:pPr>
      <w:r>
        <w:rPr>
          <w:rFonts w:eastAsia="ＭＳ 明朝" w:hint="eastAsia"/>
          <w:lang w:val="en-US" w:eastAsia="ja-JP"/>
        </w:rPr>
        <w:t xml:space="preserve">Spectral utilization for BWPs or intra-band CA within a wider channel was discussed in previous papers [2], [3]. </w:t>
      </w:r>
      <w:r>
        <w:rPr>
          <w:rFonts w:eastAsia="ＭＳ 明朝"/>
          <w:lang w:val="en-US" w:eastAsia="ja-JP"/>
        </w:rPr>
        <w:t>We would like to re-iterate the observation from [2] and also propose some enhancement.</w:t>
      </w:r>
    </w:p>
    <w:p w14:paraId="5DC6C925" w14:textId="4512784F" w:rsidR="00FA518B" w:rsidRPr="00BB1DFA" w:rsidRDefault="00FA518B" w:rsidP="00FA518B">
      <w:pPr>
        <w:jc w:val="both"/>
        <w:rPr>
          <w:rFonts w:eastAsia="ＭＳ 明朝"/>
          <w:b/>
          <w:lang w:val="en-US" w:eastAsia="ja-JP"/>
        </w:rPr>
      </w:pPr>
      <w:r>
        <w:rPr>
          <w:rFonts w:eastAsia="ＭＳ 明朝"/>
          <w:b/>
          <w:lang w:val="en-US" w:eastAsia="ja-JP"/>
        </w:rPr>
        <w:t>Observation 4</w:t>
      </w:r>
      <w:r w:rsidRPr="00BB1DFA">
        <w:rPr>
          <w:rFonts w:eastAsia="ＭＳ 明朝"/>
          <w:b/>
          <w:lang w:val="en-US" w:eastAsia="ja-JP"/>
        </w:rPr>
        <w:t xml:space="preserve">. Default handling of wideband/CA operation for the case where the aggregated channel bandwidth is not defined as a wideband channel should be based on the CA spectral utilization. Possible enhancements should be further discussed. </w:t>
      </w:r>
    </w:p>
    <w:p w14:paraId="2275CC85" w14:textId="5FEBEBF2" w:rsidR="00FA518B" w:rsidRPr="0032565D" w:rsidRDefault="0032565D" w:rsidP="005B25F1">
      <w:pPr>
        <w:jc w:val="both"/>
        <w:rPr>
          <w:rFonts w:eastAsia="ＭＳ 明朝"/>
          <w:b/>
          <w:lang w:val="en-US" w:eastAsia="ja-JP"/>
        </w:rPr>
      </w:pPr>
      <w:r w:rsidRPr="0032565D">
        <w:rPr>
          <w:rFonts w:eastAsia="ＭＳ 明朝" w:hint="eastAsia"/>
          <w:b/>
          <w:lang w:val="en-US" w:eastAsia="ja-JP"/>
        </w:rPr>
        <w:t>Proposal 2. Spectral utilization for operation with multiple BWPs or intra-band CA within a wider channel should be based on the SU of the aggregated channel with a UE capability</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5DC60B29"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32565D">
        <w:rPr>
          <w:rFonts w:eastAsia="ＭＳ 明朝"/>
          <w:lang w:val="en-US" w:eastAsia="ja-JP"/>
        </w:rPr>
        <w:t>d</w:t>
      </w:r>
      <w:r w:rsidR="00EC3E1D">
        <w:rPr>
          <w:rFonts w:eastAsia="ＭＳ 明朝"/>
          <w:lang w:val="en-US" w:eastAsia="ja-JP"/>
        </w:rPr>
        <w:t xml:space="preserve">iscussed a few issues related to </w:t>
      </w:r>
      <w:r w:rsidR="0032565D">
        <w:rPr>
          <w:rFonts w:eastAsia="ＭＳ 明朝"/>
          <w:lang w:val="en-US" w:eastAsia="ja-JP"/>
        </w:rPr>
        <w:t xml:space="preserve">operation with multiple BWPs or intra-band CA within a wider channel. </w:t>
      </w:r>
      <w:r w:rsidR="00EC3E1D">
        <w:rPr>
          <w:rFonts w:eastAsia="ＭＳ 明朝"/>
          <w:lang w:val="en-US" w:eastAsia="ja-JP"/>
        </w:rPr>
        <w:t xml:space="preserve">The following observations </w:t>
      </w:r>
      <w:r w:rsidR="0032565D">
        <w:rPr>
          <w:rFonts w:eastAsia="ＭＳ 明朝"/>
          <w:lang w:val="en-US" w:eastAsia="ja-JP"/>
        </w:rPr>
        <w:t xml:space="preserve">and proposals </w:t>
      </w:r>
      <w:r w:rsidR="00EC3E1D">
        <w:rPr>
          <w:rFonts w:eastAsia="ＭＳ 明朝"/>
          <w:lang w:val="en-US" w:eastAsia="ja-JP"/>
        </w:rPr>
        <w:t>were made:</w:t>
      </w:r>
    </w:p>
    <w:p w14:paraId="3F8398E8" w14:textId="77777777" w:rsidR="0032565D" w:rsidRPr="009F3A04" w:rsidRDefault="0032565D" w:rsidP="0032565D">
      <w:pPr>
        <w:jc w:val="both"/>
        <w:rPr>
          <w:rFonts w:eastAsia="ＭＳ 明朝"/>
          <w:b/>
          <w:lang w:val="en-US" w:eastAsia="ja-JP"/>
        </w:rPr>
      </w:pPr>
      <w:r w:rsidRPr="009F3A04">
        <w:rPr>
          <w:rFonts w:eastAsia="ＭＳ 明朝"/>
          <w:b/>
          <w:lang w:val="en-US" w:eastAsia="ja-JP"/>
        </w:rPr>
        <w:t>Observation 1: Intra-band CA operation within a wider channel(e.g. 2x200MHz in 400MHz channel) must be supported to ensure forward compatibility.</w:t>
      </w:r>
    </w:p>
    <w:p w14:paraId="3DC0B5DD" w14:textId="77777777" w:rsidR="0032565D" w:rsidRPr="009F3A04" w:rsidRDefault="0032565D" w:rsidP="0032565D">
      <w:pPr>
        <w:jc w:val="both"/>
        <w:rPr>
          <w:rFonts w:eastAsia="ＭＳ 明朝"/>
          <w:b/>
          <w:lang w:val="en-US" w:eastAsia="ja-JP"/>
        </w:rPr>
      </w:pPr>
      <w:r w:rsidRPr="009F3A04">
        <w:rPr>
          <w:rFonts w:eastAsia="ＭＳ 明朝"/>
          <w:b/>
          <w:lang w:val="en-US" w:eastAsia="ja-JP"/>
        </w:rPr>
        <w:t>Observation 2: All operating modes shown in Figure 1 (intra-band CA within a wider channel and multiple BWPs within each CC) are supported in Rel.15 NR.</w:t>
      </w:r>
    </w:p>
    <w:p w14:paraId="790144AA" w14:textId="77777777" w:rsidR="0032565D" w:rsidRPr="00FA518B" w:rsidRDefault="0032565D" w:rsidP="0032565D">
      <w:pPr>
        <w:jc w:val="both"/>
        <w:rPr>
          <w:rFonts w:eastAsia="ＭＳ 明朝"/>
          <w:b/>
          <w:lang w:val="en-US" w:eastAsia="ja-JP"/>
        </w:rPr>
      </w:pPr>
      <w:r w:rsidRPr="00FA518B">
        <w:rPr>
          <w:rFonts w:eastAsia="ＭＳ 明朝"/>
          <w:b/>
          <w:lang w:val="en-US" w:eastAsia="ja-JP"/>
        </w:rPr>
        <w:t>O</w:t>
      </w:r>
      <w:r w:rsidRPr="00FA518B">
        <w:rPr>
          <w:rFonts w:eastAsia="ＭＳ 明朝" w:hint="eastAsia"/>
          <w:b/>
          <w:lang w:val="en-US" w:eastAsia="ja-JP"/>
        </w:rPr>
        <w:t xml:space="preserve">bservation </w:t>
      </w:r>
      <w:r w:rsidRPr="00FA518B">
        <w:rPr>
          <w:rFonts w:eastAsia="ＭＳ 明朝"/>
          <w:b/>
          <w:lang w:val="en-US" w:eastAsia="ja-JP"/>
        </w:rPr>
        <w:t>3. BWPs or CCs in intra-band CA configuration would not be deployed on valid channel raster positions in bands with 100kHz raster.</w:t>
      </w:r>
    </w:p>
    <w:p w14:paraId="3F7B0BDF" w14:textId="77777777" w:rsidR="0032565D" w:rsidRPr="00BB1DFA" w:rsidRDefault="0032565D" w:rsidP="0032565D">
      <w:pPr>
        <w:jc w:val="both"/>
        <w:rPr>
          <w:rFonts w:eastAsia="ＭＳ 明朝"/>
          <w:b/>
          <w:lang w:val="en-US" w:eastAsia="ja-JP"/>
        </w:rPr>
      </w:pPr>
      <w:r>
        <w:rPr>
          <w:rFonts w:eastAsia="ＭＳ 明朝"/>
          <w:b/>
          <w:lang w:val="en-US" w:eastAsia="ja-JP"/>
        </w:rPr>
        <w:t>Observation 4</w:t>
      </w:r>
      <w:r w:rsidRPr="00BB1DFA">
        <w:rPr>
          <w:rFonts w:eastAsia="ＭＳ 明朝"/>
          <w:b/>
          <w:lang w:val="en-US" w:eastAsia="ja-JP"/>
        </w:rPr>
        <w:t xml:space="preserve">. Default handling of wideband/CA operation for the case where the aggregated channel bandwidth is not defined as a wideband channel should be based on the CA spectral utilization. Possible enhancements should be further discussed. </w:t>
      </w:r>
    </w:p>
    <w:p w14:paraId="4A551EAA" w14:textId="77777777" w:rsidR="0032565D" w:rsidRPr="00FA518B" w:rsidRDefault="0032565D" w:rsidP="0032565D">
      <w:pPr>
        <w:jc w:val="both"/>
        <w:rPr>
          <w:rFonts w:eastAsia="ＭＳ 明朝"/>
          <w:b/>
          <w:lang w:val="en-US" w:eastAsia="ja-JP"/>
        </w:rPr>
      </w:pPr>
      <w:r w:rsidRPr="00FA518B">
        <w:rPr>
          <w:rFonts w:eastAsia="ＭＳ 明朝"/>
          <w:b/>
          <w:lang w:val="en-US" w:eastAsia="ja-JP"/>
        </w:rPr>
        <w:t>Proposal 1: Any BWP or CC of an intra-band CA configuration must have the bandwidth from the set of defined channel bandwidths for that band.</w:t>
      </w:r>
    </w:p>
    <w:p w14:paraId="25AB89B8" w14:textId="77777777" w:rsidR="0032565D" w:rsidRPr="0032565D" w:rsidRDefault="0032565D" w:rsidP="0032565D">
      <w:pPr>
        <w:jc w:val="both"/>
        <w:rPr>
          <w:rFonts w:eastAsia="ＭＳ 明朝"/>
          <w:b/>
          <w:lang w:val="en-US" w:eastAsia="ja-JP"/>
        </w:rPr>
      </w:pPr>
      <w:r w:rsidRPr="0032565D">
        <w:rPr>
          <w:rFonts w:eastAsia="ＭＳ 明朝" w:hint="eastAsia"/>
          <w:b/>
          <w:lang w:val="en-US" w:eastAsia="ja-JP"/>
        </w:rPr>
        <w:t>Proposal 2. Spectral utilization for operation with multiple BWPs or intra-band CA within a wider channel should be based on the SU of the aggregated channel with a UE capability</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4CD55248" w:rsidR="00FB0094" w:rsidRPr="00FB0094" w:rsidRDefault="00FB0094" w:rsidP="00D356F7">
      <w:pPr>
        <w:numPr>
          <w:ilvl w:val="0"/>
          <w:numId w:val="10"/>
        </w:numPr>
        <w:overflowPunct w:val="0"/>
        <w:autoSpaceDE w:val="0"/>
        <w:autoSpaceDN w:val="0"/>
        <w:adjustRightInd w:val="0"/>
        <w:jc w:val="both"/>
        <w:textAlignment w:val="baseline"/>
      </w:pPr>
      <w:bookmarkStart w:id="4" w:name="_Ref446333722"/>
      <w:bookmarkStart w:id="5" w:name="_Ref458067121"/>
      <w:bookmarkStart w:id="6" w:name="_Ref458093355"/>
      <w:bookmarkStart w:id="7" w:name="_Ref462751848"/>
      <w:bookmarkStart w:id="8" w:name="_Ref462859211"/>
      <w:bookmarkStart w:id="9" w:name="_Ref465804674"/>
      <w:bookmarkStart w:id="10" w:name="_Ref470435289"/>
      <w:r>
        <w:rPr>
          <w:rFonts w:eastAsia="ＭＳ 明朝" w:hint="eastAsia"/>
          <w:lang w:eastAsia="ja-JP"/>
        </w:rPr>
        <w:t xml:space="preserve">R4-1909933, </w:t>
      </w:r>
      <w:r>
        <w:rPr>
          <w:rFonts w:eastAsia="ＭＳ 明朝"/>
          <w:lang w:eastAsia="ja-JP"/>
        </w:rPr>
        <w:t>“</w:t>
      </w:r>
      <w:r w:rsidRPr="00FB0094">
        <w:rPr>
          <w:rFonts w:eastAsia="ＭＳ 明朝"/>
          <w:lang w:val="de-DE" w:eastAsia="ja-JP"/>
        </w:rPr>
        <w:t>WF on wideband operation for both gNB/UE aspects</w:t>
      </w:r>
      <w:r>
        <w:rPr>
          <w:rFonts w:eastAsia="ＭＳ 明朝"/>
          <w:lang w:val="de-DE" w:eastAsia="ja-JP"/>
        </w:rPr>
        <w:t>“, LG Electronics et al.</w:t>
      </w:r>
    </w:p>
    <w:p w14:paraId="1E48BC87" w14:textId="31959243" w:rsidR="00D356F7" w:rsidRPr="00AD5814" w:rsidRDefault="00D356F7" w:rsidP="00D356F7">
      <w:pPr>
        <w:numPr>
          <w:ilvl w:val="0"/>
          <w:numId w:val="10"/>
        </w:numPr>
        <w:overflowPunct w:val="0"/>
        <w:autoSpaceDE w:val="0"/>
        <w:autoSpaceDN w:val="0"/>
        <w:adjustRightInd w:val="0"/>
        <w:jc w:val="both"/>
        <w:textAlignment w:val="baseline"/>
      </w:pPr>
      <w:r>
        <w:rPr>
          <w:rFonts w:eastAsia="ＭＳ 明朝" w:hint="eastAsia"/>
          <w:lang w:eastAsia="ja-JP"/>
        </w:rPr>
        <w:t>R4-170</w:t>
      </w:r>
      <w:r w:rsidR="0032565D">
        <w:rPr>
          <w:rFonts w:eastAsia="ＭＳ 明朝"/>
          <w:lang w:eastAsia="ja-JP"/>
        </w:rPr>
        <w:t>9722</w:t>
      </w:r>
      <w:r>
        <w:rPr>
          <w:rFonts w:eastAsia="ＭＳ 明朝" w:hint="eastAsia"/>
          <w:lang w:eastAsia="ja-JP"/>
        </w:rPr>
        <w:t xml:space="preserve">, </w:t>
      </w:r>
      <w:r>
        <w:rPr>
          <w:rFonts w:eastAsia="ＭＳ 明朝"/>
          <w:lang w:eastAsia="ja-JP"/>
        </w:rPr>
        <w:t>“</w:t>
      </w:r>
      <w:r w:rsidRPr="00D356F7">
        <w:rPr>
          <w:rFonts w:eastAsia="ＭＳ 明朝"/>
          <w:lang w:eastAsia="ja-JP"/>
        </w:rPr>
        <w:t>Wideband and CA Operation for NR</w:t>
      </w:r>
      <w:r>
        <w:rPr>
          <w:rFonts w:eastAsia="ＭＳ 明朝"/>
          <w:lang w:eastAsia="ja-JP"/>
        </w:rPr>
        <w:t>”</w:t>
      </w:r>
      <w:r w:rsidR="00AD5814">
        <w:rPr>
          <w:rFonts w:eastAsia="ＭＳ 明朝"/>
          <w:lang w:eastAsia="ja-JP"/>
        </w:rPr>
        <w:t>, Qualcomm Incorporated</w:t>
      </w:r>
    </w:p>
    <w:p w14:paraId="3C8148F6" w14:textId="476719A6" w:rsidR="00AD5814" w:rsidRPr="00AD5814" w:rsidRDefault="00AD5814" w:rsidP="00D911E4">
      <w:pPr>
        <w:numPr>
          <w:ilvl w:val="0"/>
          <w:numId w:val="10"/>
        </w:numPr>
        <w:overflowPunct w:val="0"/>
        <w:autoSpaceDE w:val="0"/>
        <w:autoSpaceDN w:val="0"/>
        <w:adjustRightInd w:val="0"/>
        <w:jc w:val="both"/>
        <w:textAlignment w:val="baseline"/>
      </w:pPr>
      <w:r>
        <w:rPr>
          <w:rFonts w:eastAsia="ＭＳ 明朝"/>
          <w:lang w:eastAsia="ja-JP"/>
        </w:rPr>
        <w:t>R4-1708</w:t>
      </w:r>
      <w:r w:rsidR="00D911E4">
        <w:rPr>
          <w:rFonts w:eastAsia="ＭＳ 明朝"/>
          <w:lang w:eastAsia="ja-JP"/>
        </w:rPr>
        <w:t>851</w:t>
      </w:r>
      <w:r>
        <w:rPr>
          <w:rFonts w:eastAsia="ＭＳ 明朝"/>
          <w:lang w:eastAsia="ja-JP"/>
        </w:rPr>
        <w:t>, “</w:t>
      </w:r>
      <w:r w:rsidR="00D911E4" w:rsidRPr="00D911E4">
        <w:rPr>
          <w:rFonts w:eastAsia="ＭＳ 明朝"/>
          <w:lang w:eastAsia="ja-JP"/>
        </w:rPr>
        <w:t>WF on spectrum utilization in wideband operation</w:t>
      </w:r>
      <w:bookmarkStart w:id="11" w:name="_GoBack"/>
      <w:bookmarkEnd w:id="11"/>
      <w:r>
        <w:rPr>
          <w:rFonts w:eastAsia="ＭＳ 明朝"/>
          <w:lang w:eastAsia="ja-JP"/>
        </w:rPr>
        <w:t xml:space="preserve">”, </w:t>
      </w:r>
      <w:r w:rsidR="0032565D">
        <w:rPr>
          <w:rFonts w:eastAsia="ＭＳ 明朝"/>
          <w:lang w:eastAsia="ja-JP"/>
        </w:rPr>
        <w:t>ZTE</w:t>
      </w:r>
      <w:bookmarkEnd w:id="0"/>
      <w:bookmarkEnd w:id="4"/>
      <w:bookmarkEnd w:id="5"/>
      <w:bookmarkEnd w:id="6"/>
      <w:bookmarkEnd w:id="7"/>
      <w:bookmarkEnd w:id="8"/>
      <w:bookmarkEnd w:id="9"/>
      <w:bookmarkEnd w:id="10"/>
    </w:p>
    <w:sectPr w:rsidR="00AD5814" w:rsidRPr="00AD5814"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7CE79" w14:textId="77777777" w:rsidR="001450AB" w:rsidRDefault="001450AB">
      <w:r>
        <w:separator/>
      </w:r>
    </w:p>
  </w:endnote>
  <w:endnote w:type="continuationSeparator" w:id="0">
    <w:p w14:paraId="4B9A627B" w14:textId="77777777" w:rsidR="001450AB" w:rsidRDefault="0014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651E17DF" w:rsidR="00B56BAE" w:rsidRDefault="00B56BAE">
        <w:pPr>
          <w:pStyle w:val="Footer"/>
        </w:pPr>
        <w:r>
          <w:rPr>
            <w:noProof w:val="0"/>
          </w:rPr>
          <w:fldChar w:fldCharType="begin"/>
        </w:r>
        <w:r>
          <w:instrText xml:space="preserve"> PAGE   \* MERGEFORMAT </w:instrText>
        </w:r>
        <w:r>
          <w:rPr>
            <w:noProof w:val="0"/>
          </w:rPr>
          <w:fldChar w:fldCharType="separate"/>
        </w:r>
        <w:r w:rsidR="00D911E4">
          <w:t>3</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9BBFA" w14:textId="77777777" w:rsidR="001450AB" w:rsidRDefault="001450AB">
      <w:r>
        <w:separator/>
      </w:r>
    </w:p>
  </w:footnote>
  <w:footnote w:type="continuationSeparator" w:id="0">
    <w:p w14:paraId="1107F9CB" w14:textId="77777777" w:rsidR="001450AB" w:rsidRDefault="00145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4pt;height:16.4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16"/>
  </w:num>
  <w:num w:numId="6">
    <w:abstractNumId w:val="1"/>
  </w:num>
  <w:num w:numId="7">
    <w:abstractNumId w:val="5"/>
  </w:num>
  <w:num w:numId="8">
    <w:abstractNumId w:val="12"/>
  </w:num>
  <w:num w:numId="9">
    <w:abstractNumId w:val="13"/>
  </w:num>
  <w:num w:numId="10">
    <w:abstractNumId w:val="9"/>
  </w:num>
  <w:num w:numId="11">
    <w:abstractNumId w:val="8"/>
  </w:num>
  <w:num w:numId="12">
    <w:abstractNumId w:val="7"/>
  </w:num>
  <w:num w:numId="13">
    <w:abstractNumId w:val="15"/>
  </w:num>
  <w:num w:numId="14">
    <w:abstractNumId w:val="14"/>
  </w:num>
  <w:num w:numId="15">
    <w:abstractNumId w:val="18"/>
  </w:num>
  <w:num w:numId="16">
    <w:abstractNumId w:val="4"/>
  </w:num>
  <w:num w:numId="17">
    <w:abstractNumId w:val="17"/>
  </w:num>
  <w:num w:numId="18">
    <w:abstractNumId w:val="11"/>
  </w:num>
  <w:num w:numId="19">
    <w:abstractNumId w:val="6"/>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0AB"/>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690D"/>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582BF6C-ACCC-4803-B179-6CF60BF72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2017-10-02T21:03:00Z</dcterms:created>
  <dcterms:modified xsi:type="dcterms:W3CDTF">2017-10-02T21:03:00Z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