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2EF635" w14:textId="30679C91" w:rsidR="000D445A" w:rsidRPr="008E491B" w:rsidRDefault="00826685" w:rsidP="000D445A">
      <w:pPr>
        <w:pStyle w:val="Header"/>
        <w:tabs>
          <w:tab w:val="right" w:pos="9639"/>
        </w:tabs>
        <w:rPr>
          <w:noProof w:val="0"/>
          <w:sz w:val="24"/>
        </w:rPr>
      </w:pPr>
      <w:r w:rsidRPr="00826685">
        <w:rPr>
          <w:noProof w:val="0"/>
          <w:sz w:val="24"/>
        </w:rPr>
        <w:t>3GPP TSG-RAN WG4 Meeting #</w:t>
      </w:r>
      <w:r w:rsidRPr="00826685">
        <w:rPr>
          <w:rFonts w:hint="eastAsia"/>
          <w:noProof w:val="0"/>
          <w:sz w:val="24"/>
        </w:rPr>
        <w:t>8</w:t>
      </w:r>
      <w:r w:rsidRPr="00826685">
        <w:rPr>
          <w:noProof w:val="0"/>
          <w:sz w:val="24"/>
        </w:rPr>
        <w:t>2bis</w:t>
      </w:r>
      <w:r w:rsidR="000D445A" w:rsidRPr="008E491B">
        <w:rPr>
          <w:noProof w:val="0"/>
          <w:sz w:val="24"/>
        </w:rPr>
        <w:tab/>
        <w:t>R4-17</w:t>
      </w:r>
      <w:r w:rsidR="00864969">
        <w:rPr>
          <w:noProof w:val="0"/>
          <w:sz w:val="24"/>
        </w:rPr>
        <w:t>0</w:t>
      </w:r>
      <w:r w:rsidR="0000724C">
        <w:rPr>
          <w:noProof w:val="0"/>
          <w:sz w:val="24"/>
        </w:rPr>
        <w:t>3279</w:t>
      </w:r>
    </w:p>
    <w:p w14:paraId="377CE319" w14:textId="77777777" w:rsidR="00826685" w:rsidRPr="00826685" w:rsidRDefault="00826685" w:rsidP="00826685">
      <w:pPr>
        <w:pStyle w:val="Header"/>
        <w:tabs>
          <w:tab w:val="right" w:pos="9639"/>
        </w:tabs>
        <w:rPr>
          <w:noProof w:val="0"/>
          <w:sz w:val="24"/>
        </w:rPr>
      </w:pPr>
      <w:r w:rsidRPr="00826685">
        <w:rPr>
          <w:noProof w:val="0"/>
          <w:sz w:val="24"/>
        </w:rPr>
        <w:t>Spokane</w:t>
      </w:r>
      <w:r w:rsidRPr="00826685">
        <w:rPr>
          <w:rFonts w:hint="eastAsia"/>
          <w:noProof w:val="0"/>
          <w:sz w:val="24"/>
        </w:rPr>
        <w:t xml:space="preserve">, </w:t>
      </w:r>
      <w:r w:rsidRPr="00826685">
        <w:rPr>
          <w:noProof w:val="0"/>
          <w:sz w:val="24"/>
        </w:rPr>
        <w:t xml:space="preserve">US, 3 </w:t>
      </w:r>
      <w:r w:rsidRPr="00826685">
        <w:rPr>
          <w:rFonts w:hint="eastAsia"/>
          <w:noProof w:val="0"/>
          <w:sz w:val="24"/>
        </w:rPr>
        <w:t xml:space="preserve">- </w:t>
      </w:r>
      <w:r w:rsidRPr="00826685">
        <w:rPr>
          <w:noProof w:val="0"/>
          <w:sz w:val="24"/>
        </w:rPr>
        <w:t>7 April, 2017</w:t>
      </w:r>
    </w:p>
    <w:p w14:paraId="420504DC" w14:textId="77777777" w:rsidR="000D445A" w:rsidRDefault="000D445A" w:rsidP="00392079">
      <w:pPr>
        <w:pStyle w:val="Header"/>
        <w:tabs>
          <w:tab w:val="right" w:pos="9639"/>
        </w:tabs>
        <w:rPr>
          <w:noProof w:val="0"/>
          <w:sz w:val="24"/>
        </w:rPr>
      </w:pP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3CB161F1" w14:textId="19CB4C90"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C57A8">
        <w:rPr>
          <w:rFonts w:cs="Arial"/>
          <w:b/>
          <w:bCs/>
          <w:sz w:val="24"/>
        </w:rPr>
        <w:t>10.3.3</w:t>
      </w:r>
    </w:p>
    <w:p w14:paraId="7C0723AD" w14:textId="47D9473D" w:rsidR="00CD4C7B" w:rsidRPr="00A06005" w:rsidRDefault="00CD4C7B" w:rsidP="00A06005">
      <w:pPr>
        <w:tabs>
          <w:tab w:val="left" w:pos="1985"/>
        </w:tabs>
        <w:spacing w:after="120"/>
        <w:rPr>
          <w:rFonts w:ascii="Arial" w:eastAsiaTheme="minorHAnsi" w:hAnsi="Arial" w:cs="Arial"/>
          <w:b/>
          <w:bCs/>
          <w:sz w:val="24"/>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F81833" w:rsidRPr="00B43D89">
        <w:rPr>
          <w:rFonts w:ascii="Arial" w:eastAsiaTheme="minorHAnsi" w:hAnsi="Arial" w:cs="Arial"/>
          <w:b/>
          <w:bCs/>
          <w:sz w:val="24"/>
        </w:rPr>
        <w:t>Alcatel-Lucent Shanghai Bell</w:t>
      </w:r>
    </w:p>
    <w:p w14:paraId="7A9C97B1" w14:textId="0651E75F" w:rsidR="00A06005" w:rsidRPr="00A06005" w:rsidRDefault="006A0B35" w:rsidP="00A06005">
      <w:pPr>
        <w:tabs>
          <w:tab w:val="left" w:pos="1985"/>
        </w:tabs>
        <w:spacing w:after="120"/>
        <w:ind w:left="1985" w:hanging="1985"/>
        <w:rPr>
          <w:rFonts w:ascii="Arial" w:eastAsiaTheme="minorHAnsi" w:hAnsi="Arial" w:cs="Arial"/>
          <w:b/>
          <w:bCs/>
          <w:sz w:val="24"/>
        </w:rPr>
      </w:pPr>
      <w:r w:rsidRPr="00A06005">
        <w:rPr>
          <w:rFonts w:ascii="Arial" w:eastAsiaTheme="minorHAnsi" w:hAnsi="Arial" w:cs="Arial"/>
          <w:b/>
          <w:bCs/>
          <w:sz w:val="24"/>
        </w:rPr>
        <w:t>Title:</w:t>
      </w:r>
      <w:r w:rsidRPr="00A06005">
        <w:rPr>
          <w:rFonts w:ascii="Arial" w:eastAsiaTheme="minorHAnsi" w:hAnsi="Arial" w:cs="Arial"/>
          <w:b/>
          <w:bCs/>
          <w:sz w:val="24"/>
        </w:rPr>
        <w:tab/>
      </w:r>
      <w:r w:rsidR="00DD179E">
        <w:rPr>
          <w:rFonts w:ascii="Arial" w:eastAsiaTheme="minorHAnsi" w:hAnsi="Arial" w:cs="Arial"/>
          <w:b/>
          <w:bCs/>
          <w:sz w:val="24"/>
        </w:rPr>
        <w:t xml:space="preserve">NR </w:t>
      </w:r>
      <w:r w:rsidR="00762AD1">
        <w:rPr>
          <w:rFonts w:ascii="Arial" w:eastAsiaTheme="minorHAnsi" w:hAnsi="Arial" w:cs="Arial"/>
          <w:b/>
          <w:bCs/>
          <w:sz w:val="24"/>
        </w:rPr>
        <w:t>spectrum utilization</w:t>
      </w:r>
      <w:r w:rsidR="006E7543">
        <w:rPr>
          <w:rFonts w:ascii="Arial" w:eastAsiaTheme="minorHAnsi" w:hAnsi="Arial" w:cs="Arial"/>
          <w:b/>
          <w:bCs/>
          <w:sz w:val="24"/>
        </w:rPr>
        <w:t xml:space="preserve"> requirements</w:t>
      </w:r>
      <w:r w:rsidR="005D5F8B">
        <w:rPr>
          <w:rFonts w:ascii="Arial" w:eastAsiaTheme="minorHAnsi" w:hAnsi="Arial" w:cs="Arial"/>
          <w:b/>
          <w:bCs/>
          <w:sz w:val="24"/>
        </w:rPr>
        <w:t xml:space="preserve"> </w:t>
      </w:r>
      <w:r w:rsidR="009332E9">
        <w:rPr>
          <w:rFonts w:ascii="Arial" w:eastAsiaTheme="minorHAnsi" w:hAnsi="Arial" w:cs="Arial"/>
          <w:b/>
          <w:bCs/>
          <w:sz w:val="24"/>
        </w:rPr>
        <w:t xml:space="preserve">and NR BWs </w:t>
      </w:r>
      <w:r w:rsidR="005D5F8B">
        <w:rPr>
          <w:rFonts w:ascii="Arial" w:eastAsiaTheme="minorHAnsi" w:hAnsi="Arial" w:cs="Arial"/>
          <w:b/>
          <w:bCs/>
          <w:sz w:val="24"/>
        </w:rPr>
        <w:t>in UE specification TS38.101</w:t>
      </w:r>
    </w:p>
    <w:p w14:paraId="62346435" w14:textId="4C628531" w:rsidR="00CD4C7B" w:rsidRPr="00A06005" w:rsidRDefault="00CD4C7B" w:rsidP="00A06005">
      <w:pPr>
        <w:tabs>
          <w:tab w:val="left" w:pos="1985"/>
        </w:tabs>
        <w:spacing w:after="120"/>
        <w:ind w:left="1985" w:hanging="1985"/>
        <w:rPr>
          <w:rFonts w:ascii="Arial" w:eastAsiaTheme="minorHAnsi" w:hAnsi="Arial" w:cs="Arial"/>
          <w:b/>
          <w:bCs/>
          <w:sz w:val="24"/>
        </w:rPr>
      </w:pPr>
      <w:r w:rsidRPr="00A06005">
        <w:rPr>
          <w:rFonts w:ascii="Arial" w:eastAsiaTheme="minorHAnsi" w:hAnsi="Arial" w:cs="Arial"/>
          <w:b/>
          <w:bCs/>
          <w:sz w:val="24"/>
        </w:rPr>
        <w:t>Docum</w:t>
      </w:r>
      <w:r w:rsidR="006A0B35" w:rsidRPr="00A06005">
        <w:rPr>
          <w:rFonts w:ascii="Arial" w:eastAsiaTheme="minorHAnsi" w:hAnsi="Arial" w:cs="Arial"/>
          <w:b/>
          <w:bCs/>
          <w:sz w:val="24"/>
        </w:rPr>
        <w:t>ent for:</w:t>
      </w:r>
      <w:r w:rsidR="006A0B35" w:rsidRPr="00A06005">
        <w:rPr>
          <w:rFonts w:ascii="Arial" w:eastAsiaTheme="minorHAnsi" w:hAnsi="Arial" w:cs="Arial"/>
          <w:b/>
          <w:bCs/>
          <w:sz w:val="24"/>
        </w:rPr>
        <w:tab/>
        <w:t>Approval</w:t>
      </w:r>
    </w:p>
    <w:p w14:paraId="0EF51EF2" w14:textId="77777777" w:rsidR="00CD4C7B" w:rsidRPr="006E13D1" w:rsidRDefault="00CD4C7B" w:rsidP="00CD4C7B">
      <w:pPr>
        <w:pStyle w:val="Heading1"/>
      </w:pPr>
      <w:r w:rsidRPr="006E13D1">
        <w:t>1</w:t>
      </w:r>
      <w:r w:rsidRPr="006E13D1">
        <w:tab/>
      </w:r>
      <w:r w:rsidR="0056573F">
        <w:t>Introduction</w:t>
      </w:r>
    </w:p>
    <w:p w14:paraId="7931EA2D" w14:textId="2CBCBCBD" w:rsidR="00274514" w:rsidRDefault="00274514" w:rsidP="00274514">
      <w:pPr>
        <w:spacing w:after="0"/>
        <w:rPr>
          <w:sz w:val="18"/>
          <w:lang w:val="en-US"/>
        </w:rPr>
      </w:pPr>
      <w:r>
        <w:rPr>
          <w:bCs/>
          <w:lang w:val="en-US"/>
        </w:rPr>
        <w:t xml:space="preserve">RAN#75 agreed a work item </w:t>
      </w:r>
      <w:r w:rsidRPr="00054B7E">
        <w:rPr>
          <w:bCs/>
          <w:lang w:val="en-US"/>
        </w:rPr>
        <w:t xml:space="preserve">on </w:t>
      </w:r>
      <w:r w:rsidRPr="00054B7E">
        <w:rPr>
          <w:rFonts w:hint="eastAsia"/>
          <w:bCs/>
          <w:lang w:val="en-US"/>
        </w:rPr>
        <w:t>New Radio Access Technology</w:t>
      </w:r>
      <w:r>
        <w:rPr>
          <w:bCs/>
          <w:lang w:val="en-US"/>
        </w:rPr>
        <w:t xml:space="preserve"> in [1] with the accelerated time line for 5G NR eMBB (enhancement Mobile Broadband) services in [2]. In the NR study item phase RAN4 agreed to enhance the NR spectrum utilization above 90% to be better than that of LTE. RAN4 captured its agreements in </w:t>
      </w:r>
      <w:r w:rsidR="000F26F9">
        <w:rPr>
          <w:bCs/>
          <w:lang w:val="en-US"/>
        </w:rPr>
        <w:t xml:space="preserve">the section </w:t>
      </w:r>
      <w:r w:rsidR="000F26F9" w:rsidRPr="00B841E0">
        <w:rPr>
          <w:rFonts w:hint="eastAsia"/>
          <w:lang w:eastAsia="ja-JP"/>
        </w:rPr>
        <w:t>6.1.</w:t>
      </w:r>
      <w:r w:rsidR="000F26F9">
        <w:rPr>
          <w:rFonts w:hint="eastAsia"/>
          <w:lang w:eastAsia="ja-JP"/>
        </w:rPr>
        <w:t>2</w:t>
      </w:r>
      <w:r w:rsidR="000F26F9">
        <w:rPr>
          <w:lang w:eastAsia="ja-JP"/>
        </w:rPr>
        <w:t xml:space="preserve"> of </w:t>
      </w:r>
      <w:r w:rsidRPr="003E4AD4">
        <w:rPr>
          <w:sz w:val="18"/>
          <w:lang w:val="en-US"/>
        </w:rPr>
        <w:t>TR 38.803</w:t>
      </w:r>
      <w:r>
        <w:rPr>
          <w:sz w:val="18"/>
          <w:lang w:val="en-US"/>
        </w:rPr>
        <w:t xml:space="preserve"> [3] as follows</w:t>
      </w:r>
      <w:r w:rsidR="000F26F9">
        <w:rPr>
          <w:sz w:val="18"/>
          <w:lang w:val="en-US"/>
        </w:rPr>
        <w:t>:</w:t>
      </w:r>
    </w:p>
    <w:p w14:paraId="2DF5D733" w14:textId="4B4D9971" w:rsidR="000F26F9" w:rsidRDefault="000F26F9" w:rsidP="00274514">
      <w:pPr>
        <w:spacing w:after="0"/>
        <w:rPr>
          <w:sz w:val="18"/>
          <w:lang w:val="en-US"/>
        </w:rPr>
      </w:pPr>
    </w:p>
    <w:p w14:paraId="6713DEC2" w14:textId="77777777" w:rsidR="000F26F9" w:rsidRPr="001A279E" w:rsidRDefault="000F26F9" w:rsidP="000F26F9">
      <w:pPr>
        <w:ind w:left="568"/>
        <w:rPr>
          <w:rFonts w:eastAsia="SimSun" w:cs="v5.0.0"/>
          <w:color w:val="0070C0"/>
          <w:lang w:eastAsia="zh-CN"/>
        </w:rPr>
      </w:pPr>
      <w:r w:rsidRPr="001A279E">
        <w:rPr>
          <w:rFonts w:eastAsia="SimSun" w:cs="v5.0.0"/>
          <w:color w:val="0070C0"/>
          <w:lang w:val="en-US" w:eastAsia="zh-CN"/>
        </w:rPr>
        <w:t>In RAN4 NR spectrum utilization study, it was agreed that [</w:t>
      </w:r>
      <w:r w:rsidRPr="001A279E">
        <w:rPr>
          <w:rFonts w:eastAsia="SimSun" w:cs="v5.0.0" w:hint="eastAsia"/>
          <w:color w:val="0070C0"/>
          <w:lang w:val="en-US" w:eastAsia="zh-CN"/>
        </w:rPr>
        <w:t>R4-168814</w:t>
      </w:r>
      <w:r w:rsidRPr="001A279E">
        <w:rPr>
          <w:rFonts w:eastAsia="SimSun" w:cs="v5.0.0"/>
          <w:color w:val="0070C0"/>
          <w:lang w:val="en-US" w:eastAsia="zh-CN"/>
        </w:rPr>
        <w:t>]</w:t>
      </w:r>
    </w:p>
    <w:p w14:paraId="005599BD" w14:textId="77777777" w:rsidR="000F26F9" w:rsidRPr="001A279E" w:rsidRDefault="000F26F9" w:rsidP="000F26F9">
      <w:pPr>
        <w:numPr>
          <w:ilvl w:val="0"/>
          <w:numId w:val="39"/>
        </w:numPr>
        <w:tabs>
          <w:tab w:val="clear" w:pos="720"/>
          <w:tab w:val="num" w:pos="1288"/>
        </w:tabs>
        <w:overflowPunct w:val="0"/>
        <w:autoSpaceDE w:val="0"/>
        <w:autoSpaceDN w:val="0"/>
        <w:adjustRightInd w:val="0"/>
        <w:ind w:left="1288"/>
        <w:textAlignment w:val="baseline"/>
        <w:rPr>
          <w:b/>
          <w:color w:val="0070C0"/>
          <w:lang w:val="en-US"/>
        </w:rPr>
      </w:pPr>
      <w:r w:rsidRPr="001A279E">
        <w:rPr>
          <w:b/>
          <w:color w:val="0070C0"/>
          <w:lang w:val="en-US"/>
        </w:rPr>
        <w:t xml:space="preserve">Carrier spectrum utilization, denoted by Y, is assumed to be higher than 90% in RAN4 future study and RAN4 requirements should be defined based on this assumption. </w:t>
      </w:r>
    </w:p>
    <w:p w14:paraId="6EF7924B" w14:textId="77777777" w:rsidR="000F26F9" w:rsidRPr="001A279E" w:rsidRDefault="000F26F9" w:rsidP="000F26F9">
      <w:pPr>
        <w:numPr>
          <w:ilvl w:val="1"/>
          <w:numId w:val="39"/>
        </w:numPr>
        <w:tabs>
          <w:tab w:val="clear" w:pos="1440"/>
          <w:tab w:val="num" w:pos="2008"/>
        </w:tabs>
        <w:overflowPunct w:val="0"/>
        <w:autoSpaceDE w:val="0"/>
        <w:autoSpaceDN w:val="0"/>
        <w:adjustRightInd w:val="0"/>
        <w:ind w:left="2008"/>
        <w:textAlignment w:val="baseline"/>
        <w:rPr>
          <w:color w:val="0070C0"/>
          <w:lang w:val="en-US"/>
        </w:rPr>
      </w:pPr>
      <w:r w:rsidRPr="001A279E">
        <w:rPr>
          <w:color w:val="0070C0"/>
          <w:lang w:val="en-US"/>
        </w:rPr>
        <w:t xml:space="preserve">Y may depend on specific numerology and carrier bandwidth. </w:t>
      </w:r>
    </w:p>
    <w:p w14:paraId="2AB42EA6" w14:textId="77777777" w:rsidR="000F26F9" w:rsidRPr="001A279E" w:rsidRDefault="000F26F9" w:rsidP="000F26F9">
      <w:pPr>
        <w:numPr>
          <w:ilvl w:val="1"/>
          <w:numId w:val="39"/>
        </w:numPr>
        <w:tabs>
          <w:tab w:val="clear" w:pos="1440"/>
          <w:tab w:val="num" w:pos="2008"/>
        </w:tabs>
        <w:overflowPunct w:val="0"/>
        <w:autoSpaceDE w:val="0"/>
        <w:autoSpaceDN w:val="0"/>
        <w:adjustRightInd w:val="0"/>
        <w:ind w:left="2008"/>
        <w:textAlignment w:val="baseline"/>
        <w:rPr>
          <w:color w:val="0070C0"/>
          <w:lang w:val="en-US"/>
        </w:rPr>
      </w:pPr>
      <w:r w:rsidRPr="001A279E">
        <w:rPr>
          <w:color w:val="0070C0"/>
          <w:lang w:val="en-US"/>
        </w:rPr>
        <w:t>Y may depend on the BS/UE implementation complexity and declared capability. It is possible to define different value of Y for different BS/UE capabilities with compliance of related RF requirements, e.g. EVM, ACLR, SEM, etc.</w:t>
      </w:r>
    </w:p>
    <w:p w14:paraId="5D6E71A4" w14:textId="77777777" w:rsidR="000F26F9" w:rsidRPr="001A279E" w:rsidRDefault="000F26F9" w:rsidP="000F26F9">
      <w:pPr>
        <w:tabs>
          <w:tab w:val="left" w:pos="3218"/>
        </w:tabs>
        <w:ind w:left="568"/>
        <w:rPr>
          <w:rFonts w:eastAsia="SimSun" w:cs="v5.0.0"/>
          <w:color w:val="0070C0"/>
          <w:lang w:val="en-US" w:eastAsia="zh-CN"/>
        </w:rPr>
      </w:pPr>
      <w:r w:rsidRPr="001A279E">
        <w:rPr>
          <w:rFonts w:eastAsia="SimSun" w:cs="v5.0.0" w:hint="eastAsia"/>
          <w:color w:val="0070C0"/>
          <w:lang w:val="en-US" w:eastAsia="zh-CN"/>
        </w:rPr>
        <w:t>In [R4</w:t>
      </w:r>
      <w:r w:rsidRPr="001A279E">
        <w:rPr>
          <w:rFonts w:eastAsia="SimSun" w:cs="v5.0.0"/>
          <w:color w:val="0070C0"/>
          <w:lang w:val="en-US" w:eastAsia="zh-CN"/>
        </w:rPr>
        <w:t>-1610922], it was further agreed that,</w:t>
      </w:r>
    </w:p>
    <w:p w14:paraId="710A8A86" w14:textId="77777777" w:rsidR="000F26F9" w:rsidRPr="001A279E" w:rsidRDefault="000F26F9" w:rsidP="000F26F9">
      <w:pPr>
        <w:numPr>
          <w:ilvl w:val="0"/>
          <w:numId w:val="40"/>
        </w:numPr>
        <w:tabs>
          <w:tab w:val="clear" w:pos="720"/>
          <w:tab w:val="num" w:pos="1288"/>
          <w:tab w:val="left" w:pos="3218"/>
        </w:tabs>
        <w:overflowPunct w:val="0"/>
        <w:autoSpaceDE w:val="0"/>
        <w:autoSpaceDN w:val="0"/>
        <w:adjustRightInd w:val="0"/>
        <w:ind w:left="1288"/>
        <w:textAlignment w:val="baseline"/>
        <w:rPr>
          <w:rFonts w:eastAsia="SimSun" w:cs="v5.0.0"/>
          <w:b/>
          <w:color w:val="0070C0"/>
          <w:lang w:val="en-US" w:eastAsia="zh-CN"/>
        </w:rPr>
      </w:pPr>
      <w:r w:rsidRPr="001A279E">
        <w:rPr>
          <w:rFonts w:eastAsia="SimSun" w:cs="v5.0.0"/>
          <w:b/>
          <w:color w:val="0070C0"/>
          <w:lang w:val="en-US" w:eastAsia="zh-CN"/>
        </w:rPr>
        <w:t xml:space="preserve">For some combinations of bandwidth and subcarrier spacing e.g. 10MHz@120kHz and 5MHz@60kHz, the theoretic maximum spectrum utilization Y will be below 90% when integer number of PRBs are used for the transmission bandwidth configuration as in LTE.  </w:t>
      </w:r>
    </w:p>
    <w:p w14:paraId="3C7130BD" w14:textId="77777777" w:rsidR="000F26F9" w:rsidRPr="001A279E" w:rsidRDefault="000F26F9" w:rsidP="000F26F9">
      <w:pPr>
        <w:numPr>
          <w:ilvl w:val="1"/>
          <w:numId w:val="40"/>
        </w:numPr>
        <w:tabs>
          <w:tab w:val="clear" w:pos="1440"/>
          <w:tab w:val="num" w:pos="2008"/>
          <w:tab w:val="left" w:pos="3218"/>
        </w:tabs>
        <w:overflowPunct w:val="0"/>
        <w:autoSpaceDE w:val="0"/>
        <w:autoSpaceDN w:val="0"/>
        <w:adjustRightInd w:val="0"/>
        <w:ind w:left="2008"/>
        <w:textAlignment w:val="baseline"/>
        <w:rPr>
          <w:rFonts w:eastAsia="SimSun" w:cs="v5.0.0"/>
          <w:color w:val="0070C0"/>
          <w:lang w:val="en-US" w:eastAsia="zh-CN"/>
        </w:rPr>
      </w:pPr>
      <w:r w:rsidRPr="001A279E">
        <w:rPr>
          <w:rFonts w:eastAsia="SimSun" w:cs="v5.0.0"/>
          <w:color w:val="0070C0"/>
          <w:lang w:val="en-US" w:eastAsia="zh-CN"/>
        </w:rPr>
        <w:t>How to improve Y over 90% is FFS.</w:t>
      </w:r>
    </w:p>
    <w:p w14:paraId="5D679874" w14:textId="1CE2342A" w:rsidR="000F26F9" w:rsidRPr="001A279E" w:rsidRDefault="000F26F9" w:rsidP="000F26F9">
      <w:pPr>
        <w:numPr>
          <w:ilvl w:val="0"/>
          <w:numId w:val="40"/>
        </w:numPr>
        <w:tabs>
          <w:tab w:val="clear" w:pos="720"/>
          <w:tab w:val="num" w:pos="1288"/>
          <w:tab w:val="left" w:pos="3218"/>
        </w:tabs>
        <w:overflowPunct w:val="0"/>
        <w:autoSpaceDE w:val="0"/>
        <w:autoSpaceDN w:val="0"/>
        <w:adjustRightInd w:val="0"/>
        <w:ind w:left="1288"/>
        <w:textAlignment w:val="baseline"/>
        <w:rPr>
          <w:rFonts w:eastAsia="SimSun" w:cs="v5.0.0"/>
          <w:color w:val="0070C0"/>
          <w:lang w:val="en-US" w:eastAsia="zh-CN"/>
        </w:rPr>
      </w:pPr>
      <w:r w:rsidRPr="001A279E">
        <w:rPr>
          <w:rFonts w:eastAsia="SimSun" w:cs="v5.0.0"/>
          <w:color w:val="0070C0"/>
          <w:lang w:val="en-US" w:eastAsia="zh-CN"/>
        </w:rPr>
        <w:t>The maximum spectrum utilization based on RAN4 requirements may vary with numerology, carrier bandwidth and different BS/UE capabilities, considering the capabilities of spectrum confinement techniques including both filtering and windowing , e.g., indicated as a range [Y</w:t>
      </w:r>
      <w:r w:rsidRPr="001A279E">
        <w:rPr>
          <w:rFonts w:eastAsia="SimSun" w:cs="v5.0.0"/>
          <w:color w:val="0070C0"/>
          <w:vertAlign w:val="subscript"/>
          <w:lang w:val="en-US" w:eastAsia="zh-CN"/>
        </w:rPr>
        <w:t>L</w:t>
      </w:r>
      <w:r w:rsidRPr="001A279E">
        <w:rPr>
          <w:rFonts w:eastAsia="SimSun" w:cs="v5.0.0"/>
          <w:color w:val="0070C0"/>
          <w:lang w:val="en-US" w:eastAsia="zh-CN"/>
        </w:rPr>
        <w:t>, Y</w:t>
      </w:r>
      <w:r w:rsidRPr="001A279E">
        <w:rPr>
          <w:rFonts w:eastAsia="SimSun" w:cs="v5.0.0"/>
          <w:color w:val="0070C0"/>
          <w:vertAlign w:val="subscript"/>
          <w:lang w:val="en-US" w:eastAsia="zh-CN"/>
        </w:rPr>
        <w:t>H</w:t>
      </w:r>
      <w:r w:rsidRPr="001A279E">
        <w:rPr>
          <w:rFonts w:eastAsia="SimSun" w:cs="v5.0.0"/>
          <w:color w:val="0070C0"/>
          <w:lang w:val="en-US" w:eastAsia="zh-CN"/>
        </w:rPr>
        <w:t xml:space="preserve">] for each group of (BW subset @ SCS subset) .  </w:t>
      </w:r>
    </w:p>
    <w:p w14:paraId="6A507327" w14:textId="77777777" w:rsidR="000F26F9" w:rsidRPr="001A279E" w:rsidRDefault="000F26F9" w:rsidP="000F26F9">
      <w:pPr>
        <w:numPr>
          <w:ilvl w:val="1"/>
          <w:numId w:val="40"/>
        </w:numPr>
        <w:tabs>
          <w:tab w:val="clear" w:pos="1440"/>
          <w:tab w:val="num" w:pos="2008"/>
          <w:tab w:val="left" w:pos="3218"/>
        </w:tabs>
        <w:overflowPunct w:val="0"/>
        <w:autoSpaceDE w:val="0"/>
        <w:autoSpaceDN w:val="0"/>
        <w:adjustRightInd w:val="0"/>
        <w:ind w:left="2008"/>
        <w:textAlignment w:val="baseline"/>
        <w:rPr>
          <w:rFonts w:eastAsia="SimSun" w:cs="v5.0.0"/>
          <w:color w:val="0070C0"/>
          <w:lang w:val="en-US" w:eastAsia="zh-CN"/>
        </w:rPr>
      </w:pPr>
      <w:r w:rsidRPr="001A279E">
        <w:rPr>
          <w:rFonts w:eastAsia="SimSun" w:cs="v5.0.0"/>
          <w:color w:val="0070C0"/>
          <w:lang w:val="en-US" w:eastAsia="zh-CN"/>
        </w:rPr>
        <w:t xml:space="preserve">How to group (BW subset @ SCS subset) is FFS. </w:t>
      </w:r>
    </w:p>
    <w:p w14:paraId="2B5E9748" w14:textId="77777777" w:rsidR="000F26F9" w:rsidRPr="001A279E" w:rsidRDefault="000F26F9" w:rsidP="000F26F9">
      <w:pPr>
        <w:numPr>
          <w:ilvl w:val="1"/>
          <w:numId w:val="40"/>
        </w:numPr>
        <w:tabs>
          <w:tab w:val="clear" w:pos="1440"/>
          <w:tab w:val="num" w:pos="2008"/>
          <w:tab w:val="left" w:pos="3218"/>
        </w:tabs>
        <w:overflowPunct w:val="0"/>
        <w:autoSpaceDE w:val="0"/>
        <w:autoSpaceDN w:val="0"/>
        <w:adjustRightInd w:val="0"/>
        <w:ind w:left="2008"/>
        <w:textAlignment w:val="baseline"/>
        <w:rPr>
          <w:rFonts w:eastAsia="SimSun" w:cs="v5.0.0"/>
          <w:color w:val="0070C0"/>
          <w:lang w:val="en-US" w:eastAsia="zh-CN"/>
        </w:rPr>
      </w:pPr>
      <w:r w:rsidRPr="001A279E">
        <w:rPr>
          <w:rFonts w:eastAsia="SimSun" w:cs="v5.0.0"/>
          <w:color w:val="0070C0"/>
          <w:lang w:val="en-US" w:eastAsia="zh-CN"/>
        </w:rPr>
        <w:t>Y</w:t>
      </w:r>
      <w:r w:rsidRPr="001A279E">
        <w:rPr>
          <w:rFonts w:eastAsia="SimSun" w:cs="v5.0.0"/>
          <w:color w:val="0070C0"/>
          <w:vertAlign w:val="subscript"/>
          <w:lang w:val="en-US" w:eastAsia="zh-CN"/>
        </w:rPr>
        <w:t>L</w:t>
      </w:r>
      <w:r w:rsidRPr="001A279E">
        <w:rPr>
          <w:rFonts w:eastAsia="SimSun" w:cs="v5.0.0"/>
          <w:color w:val="0070C0"/>
          <w:lang w:val="en-US" w:eastAsia="zh-CN"/>
        </w:rPr>
        <w:t xml:space="preserve"> and Y</w:t>
      </w:r>
      <w:r w:rsidRPr="001A279E">
        <w:rPr>
          <w:rFonts w:eastAsia="SimSun" w:cs="v5.0.0"/>
          <w:color w:val="0070C0"/>
          <w:vertAlign w:val="subscript"/>
          <w:lang w:val="en-US" w:eastAsia="zh-CN"/>
        </w:rPr>
        <w:t>H</w:t>
      </w:r>
      <w:r w:rsidRPr="001A279E">
        <w:rPr>
          <w:rFonts w:eastAsia="SimSun" w:cs="v5.0.0"/>
          <w:color w:val="0070C0"/>
          <w:lang w:val="en-US" w:eastAsia="zh-CN"/>
        </w:rPr>
        <w:t xml:space="preserve"> are with compliance of related RF requirements, e.g. EVM, ACLR, SEM, selectivity, demodulation etc. </w:t>
      </w:r>
    </w:p>
    <w:p w14:paraId="66DE5F26" w14:textId="77777777" w:rsidR="000F26F9" w:rsidRPr="001A279E" w:rsidRDefault="000F26F9" w:rsidP="000F26F9">
      <w:pPr>
        <w:numPr>
          <w:ilvl w:val="2"/>
          <w:numId w:val="40"/>
        </w:numPr>
        <w:tabs>
          <w:tab w:val="clear" w:pos="2160"/>
          <w:tab w:val="num" w:pos="2728"/>
          <w:tab w:val="left" w:pos="3218"/>
        </w:tabs>
        <w:overflowPunct w:val="0"/>
        <w:autoSpaceDE w:val="0"/>
        <w:autoSpaceDN w:val="0"/>
        <w:adjustRightInd w:val="0"/>
        <w:ind w:left="2728"/>
        <w:textAlignment w:val="baseline"/>
        <w:rPr>
          <w:rFonts w:eastAsia="SimSun" w:cs="v5.0.0"/>
          <w:color w:val="0070C0"/>
          <w:lang w:val="en-US" w:eastAsia="zh-CN"/>
        </w:rPr>
      </w:pPr>
      <w:r w:rsidRPr="001A279E">
        <w:rPr>
          <w:rFonts w:eastAsia="SimSun" w:cs="v5.0.0"/>
          <w:color w:val="0070C0"/>
          <w:lang w:val="en-US" w:eastAsia="zh-CN"/>
        </w:rPr>
        <w:t>EVM evaluation should include high order modulations up to 256QAM.</w:t>
      </w:r>
    </w:p>
    <w:p w14:paraId="7BF52545" w14:textId="77777777" w:rsidR="000F26F9" w:rsidRPr="001A279E" w:rsidRDefault="000F26F9" w:rsidP="000F26F9">
      <w:pPr>
        <w:numPr>
          <w:ilvl w:val="1"/>
          <w:numId w:val="40"/>
        </w:numPr>
        <w:tabs>
          <w:tab w:val="clear" w:pos="1440"/>
          <w:tab w:val="num" w:pos="2008"/>
          <w:tab w:val="left" w:pos="3218"/>
        </w:tabs>
        <w:overflowPunct w:val="0"/>
        <w:autoSpaceDE w:val="0"/>
        <w:autoSpaceDN w:val="0"/>
        <w:adjustRightInd w:val="0"/>
        <w:ind w:left="2008"/>
        <w:textAlignment w:val="baseline"/>
        <w:rPr>
          <w:rFonts w:eastAsia="SimSun" w:cs="v5.0.0"/>
          <w:color w:val="0070C0"/>
          <w:lang w:val="en-US" w:eastAsia="zh-CN"/>
        </w:rPr>
      </w:pPr>
      <w:r w:rsidRPr="001A279E">
        <w:rPr>
          <w:rFonts w:eastAsia="SimSun" w:cs="v5.0.0"/>
          <w:color w:val="0070C0"/>
          <w:lang w:val="en-US" w:eastAsia="zh-CN"/>
        </w:rPr>
        <w:t>FFS for UE capability needed or not</w:t>
      </w:r>
    </w:p>
    <w:p w14:paraId="4FDAF0A9" w14:textId="2744E750" w:rsidR="00464EDE" w:rsidRDefault="00BA5C29" w:rsidP="00274514">
      <w:pPr>
        <w:spacing w:after="0"/>
        <w:rPr>
          <w:lang w:val="en-US"/>
        </w:rPr>
      </w:pPr>
      <w:r>
        <w:rPr>
          <w:lang w:val="en-US"/>
        </w:rPr>
        <w:t>Additionally,</w:t>
      </w:r>
      <w:r w:rsidR="00464EDE">
        <w:rPr>
          <w:lang w:val="en-US"/>
        </w:rPr>
        <w:t xml:space="preserve"> in the section of 6.1.8 “NR in-band requirements” of TR 38.803</w:t>
      </w:r>
      <w:r w:rsidR="005C57A8">
        <w:rPr>
          <w:lang w:val="en-US"/>
        </w:rPr>
        <w:t>,</w:t>
      </w:r>
      <w:r w:rsidR="00464EDE">
        <w:rPr>
          <w:lang w:val="en-US"/>
        </w:rPr>
        <w:t xml:space="preserve"> RAN4 agreed and captured that “</w:t>
      </w:r>
      <w:r w:rsidR="00464EDE" w:rsidRPr="00464EDE">
        <w:rPr>
          <w:rFonts w:eastAsia="SimSun" w:cs="v5.0.0"/>
          <w:i/>
          <w:lang w:val="en-US" w:eastAsia="zh-CN"/>
        </w:rPr>
        <w:t>When RAN4 defines 5G NR requirements, RAN4 should ensure sufficiently good spectral efficiency in both single and mixed numerology cases</w:t>
      </w:r>
      <w:r w:rsidR="00464EDE">
        <w:rPr>
          <w:rFonts w:eastAsia="SimSun" w:cs="v5.0.0"/>
          <w:i/>
          <w:lang w:val="en-US" w:eastAsia="zh-CN"/>
        </w:rPr>
        <w:t>”.</w:t>
      </w:r>
    </w:p>
    <w:p w14:paraId="67955612" w14:textId="77777777" w:rsidR="000F26F9" w:rsidRDefault="000F26F9" w:rsidP="00274514">
      <w:pPr>
        <w:spacing w:after="0"/>
        <w:rPr>
          <w:sz w:val="18"/>
          <w:lang w:val="en-US"/>
        </w:rPr>
      </w:pPr>
    </w:p>
    <w:p w14:paraId="4248FACA" w14:textId="77B412F0" w:rsidR="000F26F9" w:rsidRDefault="00DB4430" w:rsidP="00274514">
      <w:pPr>
        <w:spacing w:after="0"/>
        <w:rPr>
          <w:bCs/>
          <w:lang w:val="en-US"/>
        </w:rPr>
      </w:pPr>
      <w:r>
        <w:rPr>
          <w:bCs/>
          <w:lang w:val="en-US"/>
        </w:rPr>
        <w:t xml:space="preserve">In this </w:t>
      </w:r>
      <w:r w:rsidR="00BA5C29">
        <w:rPr>
          <w:bCs/>
          <w:lang w:val="en-US"/>
        </w:rPr>
        <w:t>contribution,</w:t>
      </w:r>
      <w:r>
        <w:rPr>
          <w:bCs/>
          <w:lang w:val="en-US"/>
        </w:rPr>
        <w:t xml:space="preserve"> we discuss NR UE Tx o</w:t>
      </w:r>
      <w:r w:rsidR="00024127">
        <w:rPr>
          <w:bCs/>
          <w:lang w:val="en-US"/>
        </w:rPr>
        <w:t>ut of band emission performance</w:t>
      </w:r>
      <w:r w:rsidR="00464EDE">
        <w:rPr>
          <w:bCs/>
          <w:lang w:val="en-US"/>
        </w:rPr>
        <w:t>, which enable enhanced spectrum utilization compared to LTE,</w:t>
      </w:r>
      <w:r>
        <w:rPr>
          <w:bCs/>
          <w:lang w:val="en-US"/>
        </w:rPr>
        <w:t xml:space="preserve"> how to capture spectrum utilization in the NR specifications</w:t>
      </w:r>
      <w:r w:rsidR="00464EDE">
        <w:rPr>
          <w:bCs/>
          <w:lang w:val="en-US"/>
        </w:rPr>
        <w:t xml:space="preserve"> and also how to ensure good spectral efficiency for NR.</w:t>
      </w:r>
    </w:p>
    <w:p w14:paraId="1FA1617C" w14:textId="77777777" w:rsidR="00CD4C7B" w:rsidRPr="006E13D1" w:rsidRDefault="00C608C8" w:rsidP="00CD4C7B">
      <w:pPr>
        <w:pStyle w:val="Heading1"/>
      </w:pPr>
      <w:r>
        <w:lastRenderedPageBreak/>
        <w:t>2</w:t>
      </w:r>
      <w:r>
        <w:tab/>
        <w:t>Discussion</w:t>
      </w:r>
    </w:p>
    <w:p w14:paraId="2425AC51" w14:textId="77777777" w:rsidR="00877F26" w:rsidRDefault="00877F26" w:rsidP="006A28E7">
      <w:pPr>
        <w:spacing w:after="0"/>
        <w:rPr>
          <w:sz w:val="18"/>
        </w:rPr>
      </w:pPr>
    </w:p>
    <w:p w14:paraId="153378F1" w14:textId="093F5D00" w:rsidR="00FB1480" w:rsidRDefault="00464EDE" w:rsidP="00357FD7">
      <w:r>
        <w:t xml:space="preserve">LTE specification TS36.101 defines </w:t>
      </w:r>
      <w:r w:rsidR="00C54DD0">
        <w:t xml:space="preserve">spectrum utilization indirectly by specifying how many PRBs are </w:t>
      </w:r>
      <w:r w:rsidR="00BC3936">
        <w:t>supported per channel bandwidth as follows:</w:t>
      </w:r>
    </w:p>
    <w:p w14:paraId="11ACBA59" w14:textId="77777777" w:rsidR="00BC3936" w:rsidRPr="0032110F" w:rsidRDefault="00BC3936" w:rsidP="00BC3936">
      <w:pPr>
        <w:pStyle w:val="Heading2"/>
      </w:pPr>
      <w:bookmarkStart w:id="0" w:name="_Toc368026198"/>
      <w:r w:rsidRPr="0032110F">
        <w:t>5.6</w:t>
      </w:r>
      <w:r w:rsidRPr="0032110F">
        <w:tab/>
        <w:t>Channel bandwidth</w:t>
      </w:r>
      <w:bookmarkEnd w:id="0"/>
    </w:p>
    <w:p w14:paraId="2A75A9D2" w14:textId="77777777" w:rsidR="00BC3936" w:rsidRPr="0032110F" w:rsidRDefault="00BC3936" w:rsidP="00BC3936">
      <w:r w:rsidRPr="0032110F">
        <w:t>Requirements in present document are specified for the channel bandwidths listed in Table 5.6-1.</w:t>
      </w:r>
    </w:p>
    <w:p w14:paraId="7F00ADAF" w14:textId="77777777" w:rsidR="00BC3936" w:rsidRPr="0032110F" w:rsidRDefault="00BC3936" w:rsidP="00BC3936">
      <w:pPr>
        <w:pStyle w:val="TH"/>
      </w:pPr>
      <w:r w:rsidRPr="0032110F">
        <w:t>Table 5.6-1: Transmission bandwidth configuration N</w:t>
      </w:r>
      <w:r w:rsidRPr="0032110F">
        <w:rPr>
          <w:vertAlign w:val="subscript"/>
        </w:rPr>
        <w:t>RB</w:t>
      </w:r>
      <w:r w:rsidRPr="0032110F">
        <w:t xml:space="preserve"> in E-UTRA channel bandwidths</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BC3936" w:rsidRPr="0032110F" w14:paraId="13C1ADA8" w14:textId="77777777" w:rsidTr="002825F7">
        <w:trPr>
          <w:trHeight w:val="20"/>
          <w:jc w:val="center"/>
        </w:trPr>
        <w:tc>
          <w:tcPr>
            <w:tcW w:w="2337" w:type="dxa"/>
            <w:vAlign w:val="center"/>
          </w:tcPr>
          <w:p w14:paraId="58140EF4" w14:textId="77777777" w:rsidR="00BC3936" w:rsidRPr="00320140" w:rsidRDefault="00BC3936" w:rsidP="002825F7">
            <w:pPr>
              <w:pStyle w:val="TAH"/>
              <w:rPr>
                <w:rFonts w:cs="Arial"/>
              </w:rPr>
            </w:pPr>
            <w:r w:rsidRPr="00320140">
              <w:rPr>
                <w:rFonts w:cs="Arial"/>
              </w:rPr>
              <w:t>Channel bandwidth BW</w:t>
            </w:r>
            <w:r w:rsidRPr="00320140">
              <w:rPr>
                <w:rFonts w:cs="Arial"/>
                <w:vertAlign w:val="subscript"/>
              </w:rPr>
              <w:t>Channel</w:t>
            </w:r>
            <w:r w:rsidRPr="00320140">
              <w:rPr>
                <w:rFonts w:cs="Arial"/>
              </w:rPr>
              <w:t xml:space="preserve"> [MHz]</w:t>
            </w:r>
          </w:p>
        </w:tc>
        <w:tc>
          <w:tcPr>
            <w:tcW w:w="804" w:type="dxa"/>
            <w:vAlign w:val="center"/>
          </w:tcPr>
          <w:p w14:paraId="148E9490" w14:textId="77777777" w:rsidR="00BC3936" w:rsidRPr="00320140" w:rsidRDefault="00BC3936" w:rsidP="002825F7">
            <w:pPr>
              <w:pStyle w:val="TAH"/>
              <w:rPr>
                <w:rFonts w:cs="Arial"/>
              </w:rPr>
            </w:pPr>
            <w:r w:rsidRPr="00320140">
              <w:rPr>
                <w:rFonts w:cs="Arial"/>
              </w:rPr>
              <w:t>1.4</w:t>
            </w:r>
          </w:p>
        </w:tc>
        <w:tc>
          <w:tcPr>
            <w:tcW w:w="746" w:type="dxa"/>
            <w:shd w:val="clear" w:color="auto" w:fill="auto"/>
            <w:vAlign w:val="center"/>
          </w:tcPr>
          <w:p w14:paraId="3CE61DB2" w14:textId="77777777" w:rsidR="00BC3936" w:rsidRPr="00320140" w:rsidRDefault="00BC3936" w:rsidP="002825F7">
            <w:pPr>
              <w:pStyle w:val="TAH"/>
              <w:rPr>
                <w:rFonts w:cs="Arial"/>
              </w:rPr>
            </w:pPr>
            <w:r w:rsidRPr="00320140">
              <w:rPr>
                <w:rFonts w:cs="Arial"/>
              </w:rPr>
              <w:t xml:space="preserve">3 </w:t>
            </w:r>
          </w:p>
        </w:tc>
        <w:tc>
          <w:tcPr>
            <w:tcW w:w="708" w:type="dxa"/>
            <w:vAlign w:val="center"/>
          </w:tcPr>
          <w:p w14:paraId="630E1725" w14:textId="77777777" w:rsidR="00BC3936" w:rsidRPr="00320140" w:rsidRDefault="00BC3936" w:rsidP="002825F7">
            <w:pPr>
              <w:pStyle w:val="TAH"/>
              <w:rPr>
                <w:rFonts w:cs="Arial"/>
              </w:rPr>
            </w:pPr>
            <w:r w:rsidRPr="00320140">
              <w:rPr>
                <w:rFonts w:cs="Arial"/>
              </w:rPr>
              <w:t>5</w:t>
            </w:r>
          </w:p>
        </w:tc>
        <w:tc>
          <w:tcPr>
            <w:tcW w:w="709" w:type="dxa"/>
            <w:vAlign w:val="center"/>
          </w:tcPr>
          <w:p w14:paraId="2E9ACC58" w14:textId="77777777" w:rsidR="00BC3936" w:rsidRPr="00320140" w:rsidRDefault="00BC3936" w:rsidP="002825F7">
            <w:pPr>
              <w:pStyle w:val="TAH"/>
              <w:rPr>
                <w:rFonts w:cs="Arial"/>
              </w:rPr>
            </w:pPr>
            <w:r w:rsidRPr="00320140">
              <w:rPr>
                <w:rFonts w:cs="Arial"/>
              </w:rPr>
              <w:t>10</w:t>
            </w:r>
          </w:p>
        </w:tc>
        <w:tc>
          <w:tcPr>
            <w:tcW w:w="709" w:type="dxa"/>
            <w:vAlign w:val="center"/>
          </w:tcPr>
          <w:p w14:paraId="039E2703" w14:textId="77777777" w:rsidR="00BC3936" w:rsidRPr="00320140" w:rsidRDefault="00BC3936" w:rsidP="002825F7">
            <w:pPr>
              <w:pStyle w:val="TAH"/>
              <w:rPr>
                <w:rFonts w:cs="Arial"/>
              </w:rPr>
            </w:pPr>
            <w:r w:rsidRPr="00320140">
              <w:rPr>
                <w:rFonts w:cs="Arial"/>
              </w:rPr>
              <w:t>15</w:t>
            </w:r>
          </w:p>
        </w:tc>
        <w:tc>
          <w:tcPr>
            <w:tcW w:w="731" w:type="dxa"/>
            <w:vAlign w:val="center"/>
          </w:tcPr>
          <w:p w14:paraId="654B45CD" w14:textId="77777777" w:rsidR="00BC3936" w:rsidRPr="00320140" w:rsidRDefault="00BC3936" w:rsidP="002825F7">
            <w:pPr>
              <w:pStyle w:val="TAH"/>
              <w:rPr>
                <w:rFonts w:cs="Arial"/>
              </w:rPr>
            </w:pPr>
            <w:r w:rsidRPr="00320140">
              <w:rPr>
                <w:rFonts w:cs="Arial"/>
              </w:rPr>
              <w:t>20</w:t>
            </w:r>
          </w:p>
        </w:tc>
      </w:tr>
      <w:tr w:rsidR="00BC3936" w:rsidRPr="0032110F" w14:paraId="5581D9D6" w14:textId="77777777" w:rsidTr="002825F7">
        <w:trPr>
          <w:trHeight w:val="20"/>
          <w:jc w:val="center"/>
        </w:trPr>
        <w:tc>
          <w:tcPr>
            <w:tcW w:w="2337" w:type="dxa"/>
            <w:vAlign w:val="center"/>
          </w:tcPr>
          <w:p w14:paraId="082FB3E4" w14:textId="77777777" w:rsidR="00BC3936" w:rsidRPr="00320140" w:rsidRDefault="00BC3936" w:rsidP="002825F7">
            <w:pPr>
              <w:pStyle w:val="TAC"/>
              <w:rPr>
                <w:rFonts w:cs="Arial"/>
              </w:rPr>
            </w:pPr>
            <w:r w:rsidRPr="00320140">
              <w:rPr>
                <w:rFonts w:cs="Arial"/>
              </w:rPr>
              <w:t>Transmission bandwidth configuration N</w:t>
            </w:r>
            <w:r w:rsidRPr="00320140">
              <w:rPr>
                <w:rFonts w:cs="Arial"/>
                <w:vertAlign w:val="subscript"/>
              </w:rPr>
              <w:t>RB</w:t>
            </w:r>
          </w:p>
        </w:tc>
        <w:tc>
          <w:tcPr>
            <w:tcW w:w="804" w:type="dxa"/>
            <w:vAlign w:val="center"/>
          </w:tcPr>
          <w:p w14:paraId="2914EB99" w14:textId="77777777" w:rsidR="00BC3936" w:rsidRPr="00320140" w:rsidRDefault="00BC3936" w:rsidP="002825F7">
            <w:pPr>
              <w:pStyle w:val="TAC"/>
              <w:rPr>
                <w:rFonts w:cs="Arial"/>
              </w:rPr>
            </w:pPr>
            <w:r w:rsidRPr="00320140">
              <w:rPr>
                <w:rFonts w:cs="Arial"/>
              </w:rPr>
              <w:t>6</w:t>
            </w:r>
          </w:p>
        </w:tc>
        <w:tc>
          <w:tcPr>
            <w:tcW w:w="746" w:type="dxa"/>
            <w:shd w:val="clear" w:color="auto" w:fill="auto"/>
            <w:vAlign w:val="center"/>
          </w:tcPr>
          <w:p w14:paraId="229F2826" w14:textId="77777777" w:rsidR="00BC3936" w:rsidRPr="00320140" w:rsidRDefault="00BC3936" w:rsidP="002825F7">
            <w:pPr>
              <w:pStyle w:val="TAC"/>
              <w:rPr>
                <w:rFonts w:cs="Arial"/>
              </w:rPr>
            </w:pPr>
            <w:r w:rsidRPr="00320140">
              <w:rPr>
                <w:rFonts w:cs="Arial"/>
              </w:rPr>
              <w:t xml:space="preserve">15 </w:t>
            </w:r>
          </w:p>
        </w:tc>
        <w:tc>
          <w:tcPr>
            <w:tcW w:w="708" w:type="dxa"/>
            <w:vAlign w:val="center"/>
          </w:tcPr>
          <w:p w14:paraId="4ED3EBEE" w14:textId="77777777" w:rsidR="00BC3936" w:rsidRPr="00320140" w:rsidRDefault="00BC3936" w:rsidP="002825F7">
            <w:pPr>
              <w:pStyle w:val="TAC"/>
              <w:rPr>
                <w:rFonts w:cs="Arial"/>
              </w:rPr>
            </w:pPr>
            <w:r w:rsidRPr="00320140">
              <w:rPr>
                <w:rFonts w:cs="Arial"/>
              </w:rPr>
              <w:t>25</w:t>
            </w:r>
          </w:p>
        </w:tc>
        <w:tc>
          <w:tcPr>
            <w:tcW w:w="709" w:type="dxa"/>
            <w:vAlign w:val="center"/>
          </w:tcPr>
          <w:p w14:paraId="330EF728" w14:textId="77777777" w:rsidR="00BC3936" w:rsidRPr="00320140" w:rsidRDefault="00BC3936" w:rsidP="002825F7">
            <w:pPr>
              <w:pStyle w:val="TAC"/>
              <w:rPr>
                <w:rFonts w:cs="Arial"/>
              </w:rPr>
            </w:pPr>
            <w:r w:rsidRPr="00320140">
              <w:rPr>
                <w:rFonts w:cs="Arial"/>
              </w:rPr>
              <w:t>50</w:t>
            </w:r>
          </w:p>
        </w:tc>
        <w:tc>
          <w:tcPr>
            <w:tcW w:w="709" w:type="dxa"/>
            <w:vAlign w:val="center"/>
          </w:tcPr>
          <w:p w14:paraId="602C905F" w14:textId="77777777" w:rsidR="00BC3936" w:rsidRPr="00320140" w:rsidRDefault="00BC3936" w:rsidP="002825F7">
            <w:pPr>
              <w:pStyle w:val="TAC"/>
              <w:rPr>
                <w:rFonts w:cs="Arial"/>
              </w:rPr>
            </w:pPr>
            <w:r w:rsidRPr="00320140">
              <w:rPr>
                <w:rFonts w:cs="Arial"/>
              </w:rPr>
              <w:t>75</w:t>
            </w:r>
          </w:p>
        </w:tc>
        <w:tc>
          <w:tcPr>
            <w:tcW w:w="731" w:type="dxa"/>
            <w:vAlign w:val="center"/>
          </w:tcPr>
          <w:p w14:paraId="28AB7A5C" w14:textId="77777777" w:rsidR="00BC3936" w:rsidRPr="00320140" w:rsidRDefault="00BC3936" w:rsidP="002825F7">
            <w:pPr>
              <w:pStyle w:val="TAC"/>
              <w:rPr>
                <w:rFonts w:cs="Arial"/>
              </w:rPr>
            </w:pPr>
            <w:r w:rsidRPr="00320140">
              <w:rPr>
                <w:rFonts w:cs="Arial"/>
              </w:rPr>
              <w:t>100</w:t>
            </w:r>
          </w:p>
        </w:tc>
      </w:tr>
    </w:tbl>
    <w:p w14:paraId="78AA84E4" w14:textId="40B917B0" w:rsidR="00BC3936" w:rsidRDefault="00BC3936" w:rsidP="00357FD7"/>
    <w:p w14:paraId="17CE9454" w14:textId="3A79EFD7" w:rsidR="00BC3936" w:rsidRDefault="00BC3936" w:rsidP="00357FD7">
      <w:r>
        <w:t xml:space="preserve">We see that similar requirement definition would be suitable for NR as well, naturally by </w:t>
      </w:r>
      <w:r w:rsidR="00F304D2">
        <w:t>considering</w:t>
      </w:r>
      <w:r>
        <w:t xml:space="preserve"> NR channel BWs supported for below and above 6 GHz and different sub-carrier spacings supported for different frequency ranges. </w:t>
      </w:r>
      <w:r w:rsidR="00BF3950">
        <w:t>NR spectrum utilization could be defined using similar t</w:t>
      </w:r>
      <w:r w:rsidR="00BF3950" w:rsidRPr="0032110F">
        <w:t xml:space="preserve">ransmission bandwidth configuration </w:t>
      </w:r>
      <w:r w:rsidR="00BF3950">
        <w:t>(</w:t>
      </w:r>
      <w:r w:rsidR="00BF3950" w:rsidRPr="0032110F">
        <w:t>N</w:t>
      </w:r>
      <w:r w:rsidR="00BF3950" w:rsidRPr="0032110F">
        <w:rPr>
          <w:vertAlign w:val="subscript"/>
        </w:rPr>
        <w:t>RB</w:t>
      </w:r>
      <w:r w:rsidR="00BF3950">
        <w:t>) as for LTE but also considering valid NR subcarrier spacings in addition to NR channel bandwidths.</w:t>
      </w:r>
    </w:p>
    <w:p w14:paraId="587AC8C8" w14:textId="12C10333" w:rsidR="00310CA3" w:rsidRDefault="00F02705" w:rsidP="00310CA3">
      <w:r>
        <w:t>Additionally,</w:t>
      </w:r>
      <w:r w:rsidR="00205460">
        <w:t xml:space="preserve"> </w:t>
      </w:r>
      <w:r w:rsidR="00BF7AD4">
        <w:t>RAN4</w:t>
      </w:r>
      <w:r w:rsidR="00205460">
        <w:t xml:space="preserve"> has</w:t>
      </w:r>
      <w:r w:rsidR="00BF7AD4">
        <w:t xml:space="preserve"> already agreed</w:t>
      </w:r>
      <w:r w:rsidR="00205460">
        <w:t xml:space="preserve"> the following subcarrier spacings in the LS to RAN1 in [4]:</w:t>
      </w:r>
    </w:p>
    <w:p w14:paraId="1AC55E07" w14:textId="77777777" w:rsidR="00205460" w:rsidRPr="001A279E" w:rsidRDefault="00205460" w:rsidP="00205460">
      <w:pPr>
        <w:numPr>
          <w:ilvl w:val="0"/>
          <w:numId w:val="42"/>
        </w:numPr>
        <w:spacing w:after="0"/>
        <w:rPr>
          <w:rFonts w:ascii="Arial" w:hAnsi="Arial" w:cs="Arial"/>
          <w:bCs/>
          <w:color w:val="0070C0"/>
          <w:lang w:val="en-US" w:eastAsia="zh-CN"/>
        </w:rPr>
      </w:pPr>
      <w:r w:rsidRPr="001A279E">
        <w:rPr>
          <w:rFonts w:ascii="Arial" w:hAnsi="Arial" w:cs="Arial"/>
          <w:bCs/>
          <w:color w:val="0070C0"/>
          <w:lang w:val="en-US" w:eastAsia="zh-CN"/>
        </w:rPr>
        <w:t>For sub 6GHz</w:t>
      </w:r>
    </w:p>
    <w:p w14:paraId="20B4FB73" w14:textId="77777777" w:rsidR="00205460" w:rsidRPr="001A279E" w:rsidRDefault="00205460" w:rsidP="00205460">
      <w:pPr>
        <w:numPr>
          <w:ilvl w:val="1"/>
          <w:numId w:val="42"/>
        </w:numPr>
        <w:spacing w:after="0"/>
        <w:rPr>
          <w:rFonts w:ascii="Arial" w:hAnsi="Arial" w:cs="Arial"/>
          <w:bCs/>
          <w:color w:val="0070C0"/>
          <w:lang w:val="en-US" w:eastAsia="zh-CN"/>
        </w:rPr>
      </w:pPr>
      <w:r w:rsidRPr="001A279E">
        <w:rPr>
          <w:rFonts w:ascii="Arial" w:hAnsi="Arial" w:cs="Arial"/>
          <w:bCs/>
          <w:color w:val="0070C0"/>
          <w:lang w:val="en-US" w:eastAsia="zh-CN"/>
        </w:rPr>
        <w:t>15kHz, 30kHz, and 60kHz are feasible SCS</w:t>
      </w:r>
    </w:p>
    <w:p w14:paraId="5A1F3A80" w14:textId="77777777" w:rsidR="00205460" w:rsidRPr="001A279E" w:rsidRDefault="00205460" w:rsidP="00205460">
      <w:pPr>
        <w:numPr>
          <w:ilvl w:val="0"/>
          <w:numId w:val="42"/>
        </w:numPr>
        <w:spacing w:after="0"/>
        <w:rPr>
          <w:rFonts w:ascii="Arial" w:hAnsi="Arial" w:cs="Arial"/>
          <w:bCs/>
          <w:color w:val="0070C0"/>
          <w:lang w:val="en-US" w:eastAsia="zh-CN"/>
        </w:rPr>
      </w:pPr>
      <w:r w:rsidRPr="001A279E">
        <w:rPr>
          <w:rFonts w:ascii="Arial" w:hAnsi="Arial" w:cs="Arial"/>
          <w:bCs/>
          <w:color w:val="0070C0"/>
          <w:lang w:val="en-US" w:eastAsia="zh-CN"/>
        </w:rPr>
        <w:t>For above 6GHz</w:t>
      </w:r>
    </w:p>
    <w:p w14:paraId="7B142487" w14:textId="77777777" w:rsidR="00205460" w:rsidRPr="001A279E" w:rsidRDefault="00205460" w:rsidP="00205460">
      <w:pPr>
        <w:numPr>
          <w:ilvl w:val="1"/>
          <w:numId w:val="42"/>
        </w:numPr>
        <w:spacing w:after="0"/>
        <w:rPr>
          <w:rFonts w:ascii="Arial" w:hAnsi="Arial" w:cs="Arial"/>
          <w:bCs/>
          <w:color w:val="0070C0"/>
          <w:lang w:val="en-US" w:eastAsia="zh-CN"/>
        </w:rPr>
      </w:pPr>
      <w:r w:rsidRPr="001A279E">
        <w:rPr>
          <w:rFonts w:ascii="Arial" w:hAnsi="Arial" w:cs="Arial"/>
          <w:bCs/>
          <w:color w:val="0070C0"/>
          <w:lang w:val="en-US" w:eastAsia="zh-CN"/>
        </w:rPr>
        <w:t>RAN4 has not yet reached a decision on which SCS are feasible</w:t>
      </w:r>
    </w:p>
    <w:p w14:paraId="4ECA3BB0" w14:textId="77777777" w:rsidR="00205460" w:rsidRPr="001A279E" w:rsidRDefault="00205460" w:rsidP="00205460">
      <w:pPr>
        <w:numPr>
          <w:ilvl w:val="1"/>
          <w:numId w:val="42"/>
        </w:numPr>
        <w:spacing w:after="0"/>
        <w:rPr>
          <w:rFonts w:ascii="Arial" w:hAnsi="Arial" w:cs="Arial"/>
          <w:bCs/>
          <w:color w:val="0070C0"/>
          <w:lang w:val="en-US" w:eastAsia="zh-CN"/>
        </w:rPr>
      </w:pPr>
      <w:r w:rsidRPr="001A279E">
        <w:rPr>
          <w:rFonts w:ascii="Arial" w:hAnsi="Arial" w:cs="Arial"/>
          <w:bCs/>
          <w:color w:val="0070C0"/>
          <w:lang w:val="en-US" w:eastAsia="zh-CN"/>
        </w:rPr>
        <w:t>60kHz, 120kHz and 240kHz are potential candidates for SCS</w:t>
      </w:r>
    </w:p>
    <w:p w14:paraId="3F60B776" w14:textId="77777777" w:rsidR="00205460" w:rsidRPr="001A279E" w:rsidRDefault="00205460" w:rsidP="00205460">
      <w:pPr>
        <w:numPr>
          <w:ilvl w:val="2"/>
          <w:numId w:val="42"/>
        </w:numPr>
        <w:spacing w:after="0"/>
        <w:rPr>
          <w:rFonts w:ascii="Arial" w:hAnsi="Arial" w:cs="Arial"/>
          <w:bCs/>
          <w:color w:val="0070C0"/>
          <w:lang w:val="en-US" w:eastAsia="zh-CN"/>
        </w:rPr>
      </w:pPr>
      <w:r w:rsidRPr="001A279E">
        <w:rPr>
          <w:rFonts w:ascii="Arial" w:hAnsi="Arial" w:cs="Arial"/>
          <w:bCs/>
          <w:color w:val="0070C0"/>
          <w:lang w:val="en-US" w:eastAsia="zh-CN"/>
        </w:rPr>
        <w:t>Feasibility of 480kHz is FFS</w:t>
      </w:r>
    </w:p>
    <w:p w14:paraId="31B8D4B8" w14:textId="4DE0C8E4" w:rsidR="00205460" w:rsidRDefault="00205460" w:rsidP="00310CA3"/>
    <w:p w14:paraId="4387B6EF" w14:textId="664DCF16" w:rsidR="001135EC" w:rsidRPr="00B82E70" w:rsidRDefault="001135EC" w:rsidP="00310CA3">
      <w:r w:rsidRPr="00B82E70">
        <w:t>For maximum channel BWs RAN4 agreed following [6]:</w:t>
      </w:r>
    </w:p>
    <w:p w14:paraId="740F2D79" w14:textId="4138523C" w:rsidR="002825F7" w:rsidRPr="00B82E70" w:rsidRDefault="002825F7" w:rsidP="007C6F88">
      <w:pPr>
        <w:numPr>
          <w:ilvl w:val="0"/>
          <w:numId w:val="42"/>
        </w:numPr>
        <w:spacing w:after="0"/>
        <w:rPr>
          <w:rFonts w:ascii="Arial" w:hAnsi="Arial" w:cs="Arial"/>
          <w:bCs/>
          <w:color w:val="0070C0"/>
          <w:lang w:val="en-US" w:eastAsia="zh-CN"/>
        </w:rPr>
      </w:pPr>
      <w:r w:rsidRPr="00B82E70">
        <w:rPr>
          <w:rFonts w:ascii="Arial" w:hAnsi="Arial" w:cs="Arial"/>
          <w:bCs/>
          <w:color w:val="0070C0"/>
          <w:lang w:val="en-US" w:eastAsia="zh-CN"/>
        </w:rPr>
        <w:t>For sub 6GH</w:t>
      </w:r>
      <w:r w:rsidR="001135EC" w:rsidRPr="00B82E70">
        <w:rPr>
          <w:rFonts w:ascii="Arial" w:hAnsi="Arial" w:cs="Arial"/>
          <w:bCs/>
          <w:color w:val="0070C0"/>
          <w:lang w:val="en-US" w:eastAsia="zh-CN"/>
        </w:rPr>
        <w:t>z</w:t>
      </w:r>
    </w:p>
    <w:p w14:paraId="05506EBA" w14:textId="15F79E8E" w:rsidR="002825F7" w:rsidRPr="00B82E70" w:rsidRDefault="002825F7" w:rsidP="007C6F88">
      <w:pPr>
        <w:numPr>
          <w:ilvl w:val="1"/>
          <w:numId w:val="42"/>
        </w:numPr>
        <w:spacing w:after="0"/>
        <w:rPr>
          <w:rFonts w:ascii="Arial" w:hAnsi="Arial" w:cs="Arial"/>
          <w:bCs/>
          <w:color w:val="0070C0"/>
          <w:lang w:val="en-US" w:eastAsia="zh-CN"/>
        </w:rPr>
      </w:pPr>
      <w:r w:rsidRPr="00B82E70">
        <w:rPr>
          <w:rFonts w:ascii="Arial" w:hAnsi="Arial" w:cs="Arial"/>
          <w:bCs/>
          <w:color w:val="0070C0"/>
          <w:lang w:val="en-US" w:eastAsia="zh-CN"/>
        </w:rPr>
        <w:t>Maximum CBW will be further studied in range of 100MHz ~ 200MHz</w:t>
      </w:r>
    </w:p>
    <w:p w14:paraId="1BE3BB17" w14:textId="3CBBD203" w:rsidR="002825F7" w:rsidRPr="00B82E70" w:rsidRDefault="002825F7" w:rsidP="007C6F88">
      <w:pPr>
        <w:numPr>
          <w:ilvl w:val="0"/>
          <w:numId w:val="42"/>
        </w:numPr>
        <w:spacing w:after="0"/>
        <w:rPr>
          <w:rFonts w:ascii="Arial" w:hAnsi="Arial" w:cs="Arial"/>
          <w:bCs/>
          <w:color w:val="0070C0"/>
          <w:lang w:val="en-US" w:eastAsia="zh-CN"/>
        </w:rPr>
      </w:pPr>
      <w:r w:rsidRPr="00B82E70">
        <w:rPr>
          <w:rFonts w:ascii="Arial" w:hAnsi="Arial" w:cs="Arial"/>
          <w:bCs/>
          <w:color w:val="0070C0"/>
          <w:lang w:val="en-US" w:eastAsia="zh-CN"/>
        </w:rPr>
        <w:t>For above 6GHz</w:t>
      </w:r>
    </w:p>
    <w:p w14:paraId="0A8D13A3" w14:textId="77777777" w:rsidR="002825F7" w:rsidRPr="00B82E70" w:rsidRDefault="002825F7" w:rsidP="007C6F88">
      <w:pPr>
        <w:numPr>
          <w:ilvl w:val="1"/>
          <w:numId w:val="42"/>
        </w:numPr>
        <w:spacing w:after="0"/>
        <w:rPr>
          <w:rFonts w:ascii="Arial" w:hAnsi="Arial" w:cs="Arial"/>
          <w:bCs/>
          <w:color w:val="0070C0"/>
          <w:lang w:val="en-US" w:eastAsia="zh-CN"/>
        </w:rPr>
      </w:pPr>
      <w:r w:rsidRPr="00B82E70">
        <w:rPr>
          <w:rFonts w:ascii="Arial" w:hAnsi="Arial" w:cs="Arial"/>
          <w:bCs/>
          <w:color w:val="0070C0"/>
          <w:lang w:val="en-US" w:eastAsia="zh-CN"/>
        </w:rPr>
        <w:t>Maximum CBW will be further studied in range of 100MHz ~ 1GHz.</w:t>
      </w:r>
    </w:p>
    <w:p w14:paraId="6137031E" w14:textId="77777777" w:rsidR="002825F7" w:rsidRPr="00B82E70" w:rsidRDefault="002825F7" w:rsidP="007C6F88">
      <w:pPr>
        <w:numPr>
          <w:ilvl w:val="0"/>
          <w:numId w:val="42"/>
        </w:numPr>
        <w:spacing w:after="0"/>
        <w:rPr>
          <w:rFonts w:ascii="Arial" w:hAnsi="Arial" w:cs="Arial"/>
          <w:bCs/>
          <w:color w:val="0070C0"/>
          <w:lang w:val="en-US" w:eastAsia="zh-CN"/>
        </w:rPr>
      </w:pPr>
      <w:r w:rsidRPr="00B82E70">
        <w:rPr>
          <w:rFonts w:ascii="Arial" w:hAnsi="Arial" w:cs="Arial"/>
          <w:bCs/>
          <w:color w:val="0070C0"/>
          <w:lang w:val="en-US" w:eastAsia="zh-CN"/>
        </w:rPr>
        <w:t>Maximum CBW to be supported for NR bands will be discussed in WI phase</w:t>
      </w:r>
    </w:p>
    <w:p w14:paraId="167F8ADD" w14:textId="77777777" w:rsidR="002825F7" w:rsidRPr="00B82E70" w:rsidRDefault="002825F7" w:rsidP="007C6F88">
      <w:pPr>
        <w:numPr>
          <w:ilvl w:val="1"/>
          <w:numId w:val="42"/>
        </w:numPr>
        <w:spacing w:after="0"/>
        <w:rPr>
          <w:rFonts w:ascii="Arial" w:hAnsi="Arial" w:cs="Arial"/>
          <w:bCs/>
          <w:color w:val="0070C0"/>
          <w:lang w:val="en-US" w:eastAsia="zh-CN"/>
        </w:rPr>
      </w:pPr>
      <w:r w:rsidRPr="00B82E70">
        <w:rPr>
          <w:rFonts w:ascii="Arial" w:hAnsi="Arial" w:cs="Arial"/>
          <w:bCs/>
          <w:color w:val="0070C0"/>
          <w:lang w:val="en-US" w:eastAsia="zh-CN"/>
        </w:rPr>
        <w:t>Maximum CBW mentioned above may be not applicable to all bands, e.g. for low frequency bands</w:t>
      </w:r>
    </w:p>
    <w:p w14:paraId="35FF0884" w14:textId="77777777" w:rsidR="002825F7" w:rsidRPr="00B82E70" w:rsidRDefault="002825F7" w:rsidP="007C6F88">
      <w:pPr>
        <w:numPr>
          <w:ilvl w:val="1"/>
          <w:numId w:val="42"/>
        </w:numPr>
        <w:spacing w:after="0"/>
        <w:rPr>
          <w:rFonts w:ascii="Arial" w:hAnsi="Arial" w:cs="Arial"/>
          <w:bCs/>
          <w:color w:val="0070C0"/>
          <w:lang w:val="en-US" w:eastAsia="zh-CN"/>
        </w:rPr>
      </w:pPr>
      <w:r w:rsidRPr="00B82E70">
        <w:rPr>
          <w:rFonts w:ascii="Arial" w:hAnsi="Arial" w:cs="Arial"/>
          <w:bCs/>
          <w:color w:val="0070C0"/>
          <w:lang w:val="en-US" w:eastAsia="zh-CN"/>
        </w:rPr>
        <w:t>In case operator has spectrum higher than the maximum CBW, CA can be used to utilize whole spectrum</w:t>
      </w:r>
    </w:p>
    <w:p w14:paraId="13F68DB1" w14:textId="77777777" w:rsidR="002825F7" w:rsidRPr="00B82E70" w:rsidRDefault="002825F7" w:rsidP="007C6F88">
      <w:pPr>
        <w:numPr>
          <w:ilvl w:val="0"/>
          <w:numId w:val="42"/>
        </w:numPr>
        <w:spacing w:after="0"/>
        <w:rPr>
          <w:rFonts w:ascii="Arial" w:hAnsi="Arial" w:cs="Arial"/>
          <w:bCs/>
          <w:color w:val="0070C0"/>
          <w:lang w:val="en-US" w:eastAsia="zh-CN"/>
        </w:rPr>
      </w:pPr>
      <w:r w:rsidRPr="00B82E70">
        <w:rPr>
          <w:rFonts w:ascii="Arial" w:hAnsi="Arial" w:cs="Arial"/>
          <w:bCs/>
          <w:color w:val="0070C0"/>
          <w:lang w:val="en-US" w:eastAsia="zh-CN"/>
        </w:rPr>
        <w:t>Subsets of CBW will be discussed in WI phase.</w:t>
      </w:r>
    </w:p>
    <w:p w14:paraId="74A67BB1" w14:textId="77777777" w:rsidR="002825F7" w:rsidRPr="00B82E70" w:rsidRDefault="002825F7" w:rsidP="007C6F88">
      <w:pPr>
        <w:numPr>
          <w:ilvl w:val="0"/>
          <w:numId w:val="42"/>
        </w:numPr>
        <w:spacing w:after="0"/>
        <w:rPr>
          <w:rFonts w:ascii="Arial" w:hAnsi="Arial" w:cs="Arial"/>
          <w:bCs/>
          <w:color w:val="0070C0"/>
          <w:lang w:val="en-US" w:eastAsia="zh-CN"/>
        </w:rPr>
      </w:pPr>
      <w:r w:rsidRPr="00B82E70">
        <w:rPr>
          <w:rFonts w:ascii="Arial" w:hAnsi="Arial" w:cs="Arial"/>
          <w:bCs/>
          <w:color w:val="0070C0"/>
          <w:lang w:val="en-US" w:eastAsia="zh-CN"/>
        </w:rPr>
        <w:t>Whether it is possible to support the maximum CBW with CA is FFS</w:t>
      </w:r>
    </w:p>
    <w:p w14:paraId="6B153E07" w14:textId="520E686A" w:rsidR="001135EC" w:rsidRPr="004C42C2" w:rsidRDefault="001135EC" w:rsidP="00310CA3">
      <w:pPr>
        <w:rPr>
          <w:lang w:val="en-US"/>
        </w:rPr>
      </w:pPr>
    </w:p>
    <w:p w14:paraId="0DC89A28" w14:textId="30DEB587" w:rsidR="001135EC" w:rsidRPr="002825F7" w:rsidRDefault="001135EC" w:rsidP="00310CA3">
      <w:r w:rsidRPr="00B82E70">
        <w:t>For the maximum FFT size 4096 was</w:t>
      </w:r>
      <w:r w:rsidR="002825F7" w:rsidRPr="00B82E70">
        <w:t xml:space="preserve"> found feasible with the note there is no mandate on UE and BS implementation with respect to FFT size.</w:t>
      </w:r>
      <w:r w:rsidR="002825F7">
        <w:t xml:space="preserve"> </w:t>
      </w:r>
    </w:p>
    <w:p w14:paraId="11816395" w14:textId="09FEA5EF" w:rsidR="0031006D" w:rsidRPr="00082151" w:rsidRDefault="00205460" w:rsidP="0053584A">
      <w:r>
        <w:t xml:space="preserve">Considering that </w:t>
      </w:r>
      <w:r w:rsidRPr="00082151">
        <w:t xml:space="preserve">the subcarrier spacings for </w:t>
      </w:r>
      <w:r w:rsidR="00F304D2" w:rsidRPr="00082151">
        <w:t>sub 6 GHz</w:t>
      </w:r>
      <w:r w:rsidR="00F304D2" w:rsidRPr="00082151">
        <w:t xml:space="preserve"> </w:t>
      </w:r>
      <w:r w:rsidRPr="00082151">
        <w:t>fr</w:t>
      </w:r>
      <w:r w:rsidR="00F304D2">
        <w:t>equency bands</w:t>
      </w:r>
      <w:r w:rsidRPr="00082151">
        <w:t xml:space="preserve"> are already decided, RAN4 could already start developing the corresponding requirements for the number of PRBs for a NR given channel BW</w:t>
      </w:r>
      <w:r w:rsidR="00032075" w:rsidRPr="00082151">
        <w:t>.</w:t>
      </w:r>
      <w:r w:rsidR="0053584A" w:rsidRPr="00082151">
        <w:t xml:space="preserve"> RAN4 has no</w:t>
      </w:r>
      <w:r w:rsidR="005C57A8">
        <w:t>t</w:t>
      </w:r>
      <w:r w:rsidR="0053584A" w:rsidRPr="00082151">
        <w:t xml:space="preserve"> yet agreed the actual channel bandwidth options for NR, even for sub 6 GHz</w:t>
      </w:r>
      <w:r w:rsidR="00920F04" w:rsidRPr="007C6F88">
        <w:t xml:space="preserve">. </w:t>
      </w:r>
      <w:r w:rsidR="00082151" w:rsidRPr="007C6F88">
        <w:t xml:space="preserve">As a starting point for the smallest NR channel bandwidths RAN4 should </w:t>
      </w:r>
      <w:r w:rsidR="00F304D2" w:rsidRPr="007C6F88">
        <w:t>consider</w:t>
      </w:r>
      <w:r w:rsidR="00082151" w:rsidRPr="007C6F88">
        <w:t xml:space="preserve"> control channel bandwidths like NR-SS and NR-PBCH. </w:t>
      </w:r>
      <w:r w:rsidR="00540544" w:rsidRPr="00082151">
        <w:t>RAN1</w:t>
      </w:r>
      <w:r w:rsidR="00920F04" w:rsidRPr="007C6F88">
        <w:t>#88</w:t>
      </w:r>
      <w:r w:rsidR="00540544" w:rsidRPr="00082151">
        <w:t xml:space="preserve"> has</w:t>
      </w:r>
      <w:r w:rsidR="00920F04" w:rsidRPr="007C6F88">
        <w:t xml:space="preserve"> made the following agreements related to NR-SS and P-BCH bandwidths [</w:t>
      </w:r>
      <w:r w:rsidR="00082151">
        <w:t>5</w:t>
      </w:r>
      <w:r w:rsidR="00920F04" w:rsidRPr="007C6F88">
        <w:t>]</w:t>
      </w:r>
      <w:r w:rsidR="00082151">
        <w:t>:</w:t>
      </w:r>
    </w:p>
    <w:p w14:paraId="3A9F4E5A" w14:textId="77777777" w:rsidR="0031006D" w:rsidRPr="007C6F88" w:rsidRDefault="0031006D" w:rsidP="0031006D">
      <w:pPr>
        <w:pStyle w:val="ListParagraph"/>
        <w:numPr>
          <w:ilvl w:val="0"/>
          <w:numId w:val="43"/>
        </w:numPr>
        <w:overflowPunct w:val="0"/>
        <w:autoSpaceDE w:val="0"/>
        <w:autoSpaceDN w:val="0"/>
        <w:adjustRightInd w:val="0"/>
        <w:spacing w:after="180"/>
        <w:textAlignment w:val="baseline"/>
        <w:rPr>
          <w:color w:val="0070C0"/>
          <w:sz w:val="20"/>
          <w:lang w:val="en-US"/>
        </w:rPr>
      </w:pPr>
      <w:r w:rsidRPr="007C6F88">
        <w:rPr>
          <w:color w:val="0070C0"/>
          <w:sz w:val="20"/>
          <w:lang w:val="en-US"/>
        </w:rPr>
        <w:t>RAN1 considers following parameter sets with associated default subcarrier spacing and possible maximum transmission bandwidth for NR-SS design</w:t>
      </w:r>
    </w:p>
    <w:p w14:paraId="0C8D9FE0" w14:textId="77777777" w:rsidR="0031006D" w:rsidRPr="007C6F88" w:rsidRDefault="0031006D" w:rsidP="0031006D">
      <w:pPr>
        <w:pStyle w:val="ListParagraph"/>
        <w:numPr>
          <w:ilvl w:val="1"/>
          <w:numId w:val="43"/>
        </w:numPr>
        <w:overflowPunct w:val="0"/>
        <w:autoSpaceDE w:val="0"/>
        <w:autoSpaceDN w:val="0"/>
        <w:adjustRightInd w:val="0"/>
        <w:spacing w:after="180"/>
        <w:textAlignment w:val="baseline"/>
        <w:rPr>
          <w:color w:val="0070C0"/>
          <w:sz w:val="20"/>
          <w:lang w:val="en-US"/>
        </w:rPr>
      </w:pPr>
      <w:r w:rsidRPr="007C6F88">
        <w:rPr>
          <w:color w:val="0070C0"/>
          <w:sz w:val="20"/>
          <w:lang w:val="en-US"/>
        </w:rPr>
        <w:t>Parameter set #W associated with 15 kHz subcarrier spacing and NR-SS transmission bandwidth no larger than 5 MHz</w:t>
      </w:r>
    </w:p>
    <w:p w14:paraId="303B0B4C" w14:textId="6A23C6E8" w:rsidR="0031006D" w:rsidRPr="007C6F88" w:rsidRDefault="0031006D" w:rsidP="0031006D">
      <w:pPr>
        <w:pStyle w:val="ListParagraph"/>
        <w:numPr>
          <w:ilvl w:val="1"/>
          <w:numId w:val="43"/>
        </w:numPr>
        <w:overflowPunct w:val="0"/>
        <w:autoSpaceDE w:val="0"/>
        <w:autoSpaceDN w:val="0"/>
        <w:adjustRightInd w:val="0"/>
        <w:spacing w:after="180"/>
        <w:textAlignment w:val="baseline"/>
        <w:rPr>
          <w:color w:val="0070C0"/>
          <w:sz w:val="20"/>
          <w:lang w:val="en-US"/>
        </w:rPr>
      </w:pPr>
      <w:r w:rsidRPr="007C6F88">
        <w:rPr>
          <w:color w:val="0070C0"/>
          <w:sz w:val="20"/>
          <w:lang w:val="en-US"/>
        </w:rPr>
        <w:t xml:space="preserve"> Parameter set #X associated with 30 kHz subcarrier spacing and NR-SS transmission bandwidth no larger than 10 MHz</w:t>
      </w:r>
    </w:p>
    <w:p w14:paraId="642D41EB" w14:textId="77777777" w:rsidR="0031006D" w:rsidRPr="007C6F88" w:rsidRDefault="0031006D" w:rsidP="0031006D">
      <w:pPr>
        <w:pStyle w:val="ListParagraph"/>
        <w:numPr>
          <w:ilvl w:val="1"/>
          <w:numId w:val="43"/>
        </w:numPr>
        <w:overflowPunct w:val="0"/>
        <w:autoSpaceDE w:val="0"/>
        <w:autoSpaceDN w:val="0"/>
        <w:adjustRightInd w:val="0"/>
        <w:spacing w:after="180"/>
        <w:textAlignment w:val="baseline"/>
        <w:rPr>
          <w:color w:val="0070C0"/>
          <w:sz w:val="20"/>
          <w:lang w:val="en-US"/>
        </w:rPr>
      </w:pPr>
      <w:r w:rsidRPr="007C6F88">
        <w:rPr>
          <w:color w:val="0070C0"/>
          <w:sz w:val="20"/>
          <w:lang w:val="en-US"/>
        </w:rPr>
        <w:lastRenderedPageBreak/>
        <w:t xml:space="preserve"> Parameter set #Y associated with 120 kHz subcarrier spacing and NR-SS transmission bandwidth no larger than 40 MHz</w:t>
      </w:r>
    </w:p>
    <w:p w14:paraId="3746B002" w14:textId="77777777" w:rsidR="0031006D" w:rsidRPr="007C6F88" w:rsidRDefault="0031006D" w:rsidP="0031006D">
      <w:pPr>
        <w:pStyle w:val="ListParagraph"/>
        <w:numPr>
          <w:ilvl w:val="1"/>
          <w:numId w:val="43"/>
        </w:numPr>
        <w:overflowPunct w:val="0"/>
        <w:autoSpaceDE w:val="0"/>
        <w:autoSpaceDN w:val="0"/>
        <w:adjustRightInd w:val="0"/>
        <w:spacing w:after="180"/>
        <w:textAlignment w:val="baseline"/>
        <w:rPr>
          <w:color w:val="0070C0"/>
          <w:sz w:val="20"/>
          <w:lang w:val="en-US"/>
        </w:rPr>
      </w:pPr>
      <w:r w:rsidRPr="007C6F88">
        <w:rPr>
          <w:color w:val="0070C0"/>
          <w:sz w:val="20"/>
          <w:lang w:val="en-US"/>
        </w:rPr>
        <w:t xml:space="preserve"> Parameter set #Z associated with 240 kHz subcarrier spacing and NR-SS transmission bandwidth no larger than 80 MHz</w:t>
      </w:r>
    </w:p>
    <w:p w14:paraId="70455864" w14:textId="77777777" w:rsidR="00920F04" w:rsidRPr="007C6F88" w:rsidRDefault="00920F04" w:rsidP="00920F04">
      <w:pPr>
        <w:pStyle w:val="ListParagraph"/>
        <w:numPr>
          <w:ilvl w:val="0"/>
          <w:numId w:val="43"/>
        </w:numPr>
        <w:overflowPunct w:val="0"/>
        <w:autoSpaceDE w:val="0"/>
        <w:autoSpaceDN w:val="0"/>
        <w:adjustRightInd w:val="0"/>
        <w:spacing w:after="180"/>
        <w:textAlignment w:val="baseline"/>
        <w:rPr>
          <w:rFonts w:eastAsia="MS Mincho"/>
          <w:color w:val="0070C0"/>
          <w:sz w:val="20"/>
          <w:lang w:val="en-US"/>
        </w:rPr>
      </w:pPr>
      <w:r w:rsidRPr="007C6F88">
        <w:rPr>
          <w:rFonts w:eastAsia="MS Mincho"/>
          <w:color w:val="0070C0"/>
          <w:sz w:val="20"/>
          <w:lang w:val="en-US"/>
        </w:rPr>
        <w:t>RAN1 considers following parameter sets with associated default subcarrier spacing and possible maximum transmission bandwidth for NR-PBCH design</w:t>
      </w:r>
    </w:p>
    <w:p w14:paraId="2F5CEAA4" w14:textId="77777777" w:rsidR="00920F04" w:rsidRPr="007C6F88" w:rsidRDefault="00920F04" w:rsidP="00920F04">
      <w:pPr>
        <w:pStyle w:val="ListParagraph"/>
        <w:numPr>
          <w:ilvl w:val="1"/>
          <w:numId w:val="43"/>
        </w:numPr>
        <w:overflowPunct w:val="0"/>
        <w:autoSpaceDE w:val="0"/>
        <w:autoSpaceDN w:val="0"/>
        <w:adjustRightInd w:val="0"/>
        <w:spacing w:after="180"/>
        <w:textAlignment w:val="baseline"/>
        <w:rPr>
          <w:rFonts w:eastAsia="MS Mincho"/>
          <w:color w:val="0070C0"/>
          <w:sz w:val="20"/>
          <w:lang w:val="en-US"/>
        </w:rPr>
      </w:pPr>
      <w:r w:rsidRPr="007C6F88">
        <w:rPr>
          <w:rFonts w:eastAsia="MS Mincho"/>
          <w:color w:val="0070C0"/>
          <w:sz w:val="20"/>
          <w:lang w:val="en-US"/>
        </w:rPr>
        <w:t>Parameter set #W associated with 15 kHz subcarrier spacing and NR-PBCH transmission bandwidth no larger than 5 MHz</w:t>
      </w:r>
    </w:p>
    <w:p w14:paraId="1AA2683A" w14:textId="77777777" w:rsidR="00920F04" w:rsidRPr="007C6F88" w:rsidRDefault="00920F04" w:rsidP="00920F04">
      <w:pPr>
        <w:pStyle w:val="ListParagraph"/>
        <w:numPr>
          <w:ilvl w:val="1"/>
          <w:numId w:val="43"/>
        </w:numPr>
        <w:overflowPunct w:val="0"/>
        <w:autoSpaceDE w:val="0"/>
        <w:autoSpaceDN w:val="0"/>
        <w:adjustRightInd w:val="0"/>
        <w:spacing w:after="180"/>
        <w:textAlignment w:val="baseline"/>
        <w:rPr>
          <w:rFonts w:eastAsia="MS Mincho"/>
          <w:color w:val="0070C0"/>
          <w:sz w:val="20"/>
          <w:lang w:val="en-US"/>
        </w:rPr>
      </w:pPr>
      <w:r w:rsidRPr="007C6F88">
        <w:rPr>
          <w:rFonts w:eastAsia="MS Mincho"/>
          <w:color w:val="0070C0"/>
          <w:sz w:val="20"/>
          <w:lang w:val="en-US"/>
        </w:rPr>
        <w:t>Parameter set #X associated with 30 kHz subcarrier spacing and NR-PBCH transmission bandwidth no larger than 10 MHz</w:t>
      </w:r>
    </w:p>
    <w:p w14:paraId="638539F5" w14:textId="77777777" w:rsidR="00920F04" w:rsidRPr="007C6F88" w:rsidRDefault="00920F04" w:rsidP="00920F04">
      <w:pPr>
        <w:pStyle w:val="ListParagraph"/>
        <w:numPr>
          <w:ilvl w:val="1"/>
          <w:numId w:val="43"/>
        </w:numPr>
        <w:overflowPunct w:val="0"/>
        <w:autoSpaceDE w:val="0"/>
        <w:autoSpaceDN w:val="0"/>
        <w:adjustRightInd w:val="0"/>
        <w:spacing w:after="180"/>
        <w:textAlignment w:val="baseline"/>
        <w:rPr>
          <w:rFonts w:eastAsia="MS Mincho"/>
          <w:color w:val="0070C0"/>
          <w:sz w:val="20"/>
          <w:lang w:val="en-US"/>
        </w:rPr>
      </w:pPr>
      <w:r w:rsidRPr="007C6F88">
        <w:rPr>
          <w:rFonts w:eastAsia="MS Mincho"/>
          <w:color w:val="0070C0"/>
          <w:sz w:val="20"/>
          <w:lang w:val="en-US"/>
        </w:rPr>
        <w:t>Parameter set #Y associated with 120 kHz subcarrier spacing and NR-PBCH transmission bandwidth no larger than 40 MHz</w:t>
      </w:r>
    </w:p>
    <w:p w14:paraId="090D5163" w14:textId="77777777" w:rsidR="00920F04" w:rsidRPr="007C6F88" w:rsidRDefault="00920F04" w:rsidP="00920F04">
      <w:pPr>
        <w:pStyle w:val="ListParagraph"/>
        <w:numPr>
          <w:ilvl w:val="1"/>
          <w:numId w:val="43"/>
        </w:numPr>
        <w:overflowPunct w:val="0"/>
        <w:autoSpaceDE w:val="0"/>
        <w:autoSpaceDN w:val="0"/>
        <w:adjustRightInd w:val="0"/>
        <w:spacing w:after="180"/>
        <w:textAlignment w:val="baseline"/>
        <w:rPr>
          <w:rFonts w:eastAsia="MS Mincho"/>
          <w:color w:val="0070C0"/>
          <w:sz w:val="20"/>
          <w:lang w:val="en-US"/>
        </w:rPr>
      </w:pPr>
      <w:r w:rsidRPr="007C6F88">
        <w:rPr>
          <w:rFonts w:eastAsia="MS Mincho"/>
          <w:color w:val="0070C0"/>
          <w:sz w:val="20"/>
          <w:lang w:val="en-US"/>
        </w:rPr>
        <w:t>Parameter set #Z associated with 240 kHz subcarrier spacing and NR-PBCH transmission bandwidth no larger than 80 MHz</w:t>
      </w:r>
    </w:p>
    <w:p w14:paraId="07CF867C" w14:textId="6227E9A3" w:rsidR="0053584A" w:rsidRDefault="0053584A" w:rsidP="0053584A">
      <w:r>
        <w:t>Thus,</w:t>
      </w:r>
      <w:r w:rsidR="00082151">
        <w:t xml:space="preserve"> for 15 kHz subcarrier spacing 5 MHz could be considered as the smallest channel bandwidth and for 30 kHz</w:t>
      </w:r>
      <w:r w:rsidR="00E02474">
        <w:t xml:space="preserve"> and 60 kHz no less than 10 MHz. For 60 kHz even 20 MHz could be the minimum channel BW. </w:t>
      </w:r>
      <w:r w:rsidR="00082151">
        <w:t xml:space="preserve"> </w:t>
      </w:r>
    </w:p>
    <w:p w14:paraId="331882C0" w14:textId="07DC716C" w:rsidR="002825F7" w:rsidRPr="00B82E70" w:rsidRDefault="002825F7" w:rsidP="0053584A">
      <w:r w:rsidRPr="00B82E70">
        <w:t>As presented in our document [7]</w:t>
      </w:r>
      <w:r w:rsidR="00A823E0" w:rsidRPr="00B82E70">
        <w:t xml:space="preserve"> we consider 100 MHz as the Nominal max component carrier BW for sub 6 GHz but not for all SCSs. Our previous analysis considered 2048 FFT size. Based on RAN4 agree</w:t>
      </w:r>
      <w:r w:rsidR="004B4C7A" w:rsidRPr="00B82E70">
        <w:t xml:space="preserve">ment on 4096 FFT size we </w:t>
      </w:r>
      <w:r w:rsidR="00E466EA">
        <w:t xml:space="preserve">find </w:t>
      </w:r>
      <w:r w:rsidR="00A823E0" w:rsidRPr="00B82E70">
        <w:t>following</w:t>
      </w:r>
      <w:r w:rsidR="004B4C7A" w:rsidRPr="00B82E70">
        <w:t xml:space="preserve"> as reasonable values</w:t>
      </w:r>
      <w:r w:rsidR="00A823E0" w:rsidRPr="00B82E70">
        <w:t xml:space="preserve"> for sub GHz:</w:t>
      </w:r>
    </w:p>
    <w:p w14:paraId="560C8D5D" w14:textId="039FF9E8" w:rsidR="004B4C7A" w:rsidRPr="00B82E70" w:rsidRDefault="004B4C7A" w:rsidP="007C6F88">
      <w:pPr>
        <w:pStyle w:val="Caption"/>
        <w:overflowPunct w:val="0"/>
        <w:autoSpaceDE w:val="0"/>
        <w:autoSpaceDN w:val="0"/>
        <w:adjustRightInd w:val="0"/>
        <w:spacing w:before="120" w:after="120"/>
        <w:jc w:val="center"/>
        <w:textAlignment w:val="baseline"/>
        <w:rPr>
          <w:rFonts w:eastAsia="SimSun"/>
          <w:b/>
          <w:i w:val="0"/>
          <w:iCs w:val="0"/>
          <w:color w:val="auto"/>
          <w:sz w:val="20"/>
          <w:szCs w:val="20"/>
          <w:lang w:val="x-none" w:eastAsia="x-none"/>
        </w:rPr>
      </w:pPr>
      <w:r w:rsidRPr="00B82E70">
        <w:rPr>
          <w:rFonts w:eastAsia="SimSun"/>
          <w:b/>
          <w:i w:val="0"/>
          <w:iCs w:val="0"/>
          <w:color w:val="auto"/>
          <w:sz w:val="20"/>
          <w:szCs w:val="20"/>
          <w:lang w:val="x-none" w:eastAsia="x-none"/>
        </w:rPr>
        <w:t>Table 1: Set of numerologies for sub 6 GHz</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3"/>
        <w:gridCol w:w="1244"/>
        <w:gridCol w:w="1109"/>
        <w:gridCol w:w="1390"/>
      </w:tblGrid>
      <w:tr w:rsidR="004B4C7A" w:rsidRPr="00B82E70" w14:paraId="044F8583" w14:textId="77777777" w:rsidTr="007C6F88">
        <w:trPr>
          <w:jc w:val="center"/>
        </w:trPr>
        <w:tc>
          <w:tcPr>
            <w:tcW w:w="3433" w:type="dxa"/>
            <w:shd w:val="clear" w:color="auto" w:fill="auto"/>
          </w:tcPr>
          <w:p w14:paraId="3A980360" w14:textId="77777777" w:rsidR="004B4C7A" w:rsidRPr="00B82E70" w:rsidRDefault="004B4C7A" w:rsidP="004A402F">
            <w:pPr>
              <w:pStyle w:val="00BodyText"/>
              <w:spacing w:after="0"/>
              <w:rPr>
                <w:rFonts w:ascii="Times New Roman" w:hAnsi="Times New Roman"/>
                <w:b/>
                <w:sz w:val="20"/>
                <w:lang w:val="en-GB"/>
              </w:rPr>
            </w:pPr>
            <w:r w:rsidRPr="00B82E70">
              <w:rPr>
                <w:rFonts w:ascii="Times New Roman" w:hAnsi="Times New Roman"/>
                <w:b/>
                <w:sz w:val="20"/>
                <w:lang w:val="en-GB"/>
              </w:rPr>
              <w:t>Subcarrier spacing [kHz]</w:t>
            </w:r>
          </w:p>
        </w:tc>
        <w:tc>
          <w:tcPr>
            <w:tcW w:w="1244" w:type="dxa"/>
            <w:shd w:val="clear" w:color="auto" w:fill="E7E6E6" w:themeFill="background2"/>
          </w:tcPr>
          <w:p w14:paraId="74C64480" w14:textId="77777777" w:rsidR="004B4C7A" w:rsidRPr="00B82E70" w:rsidRDefault="004B4C7A" w:rsidP="004A402F">
            <w:pPr>
              <w:pStyle w:val="00BodyText"/>
              <w:spacing w:after="0"/>
              <w:jc w:val="center"/>
              <w:rPr>
                <w:rFonts w:ascii="Times New Roman" w:hAnsi="Times New Roman"/>
                <w:b/>
                <w:sz w:val="20"/>
                <w:lang w:val="en-GB"/>
              </w:rPr>
            </w:pPr>
            <w:r w:rsidRPr="00B82E70">
              <w:rPr>
                <w:rFonts w:ascii="Times New Roman" w:hAnsi="Times New Roman"/>
                <w:b/>
                <w:sz w:val="20"/>
                <w:lang w:val="en-GB"/>
              </w:rPr>
              <w:t>15</w:t>
            </w:r>
          </w:p>
        </w:tc>
        <w:tc>
          <w:tcPr>
            <w:tcW w:w="1109" w:type="dxa"/>
            <w:shd w:val="clear" w:color="auto" w:fill="E7E6E6" w:themeFill="background2"/>
          </w:tcPr>
          <w:p w14:paraId="753EDF67" w14:textId="77777777" w:rsidR="004B4C7A" w:rsidRPr="00B82E70" w:rsidRDefault="004B4C7A" w:rsidP="004A402F">
            <w:pPr>
              <w:pStyle w:val="00BodyText"/>
              <w:spacing w:after="0"/>
              <w:jc w:val="center"/>
              <w:rPr>
                <w:rFonts w:ascii="Times New Roman" w:hAnsi="Times New Roman"/>
                <w:b/>
                <w:sz w:val="20"/>
                <w:lang w:val="en-GB"/>
              </w:rPr>
            </w:pPr>
            <w:r w:rsidRPr="00B82E70">
              <w:rPr>
                <w:rFonts w:ascii="Times New Roman" w:hAnsi="Times New Roman"/>
                <w:b/>
                <w:sz w:val="20"/>
                <w:lang w:val="en-GB"/>
              </w:rPr>
              <w:t>30</w:t>
            </w:r>
          </w:p>
        </w:tc>
        <w:tc>
          <w:tcPr>
            <w:tcW w:w="1390" w:type="dxa"/>
            <w:shd w:val="clear" w:color="auto" w:fill="E7E6E6" w:themeFill="background2"/>
          </w:tcPr>
          <w:p w14:paraId="080D6AD5" w14:textId="77777777" w:rsidR="004B4C7A" w:rsidRPr="00B82E70" w:rsidRDefault="004B4C7A" w:rsidP="004A402F">
            <w:pPr>
              <w:pStyle w:val="00BodyText"/>
              <w:spacing w:after="0"/>
              <w:jc w:val="center"/>
              <w:rPr>
                <w:rFonts w:ascii="Times New Roman" w:hAnsi="Times New Roman"/>
                <w:b/>
                <w:sz w:val="20"/>
                <w:lang w:val="en-GB"/>
              </w:rPr>
            </w:pPr>
            <w:r w:rsidRPr="00B82E70">
              <w:rPr>
                <w:rFonts w:ascii="Times New Roman" w:hAnsi="Times New Roman"/>
                <w:b/>
                <w:sz w:val="20"/>
                <w:lang w:val="en-GB"/>
              </w:rPr>
              <w:t>60</w:t>
            </w:r>
          </w:p>
        </w:tc>
      </w:tr>
      <w:tr w:rsidR="004B4C7A" w:rsidRPr="00B82E70" w14:paraId="16B17414" w14:textId="77777777" w:rsidTr="007C6F88">
        <w:trPr>
          <w:jc w:val="center"/>
        </w:trPr>
        <w:tc>
          <w:tcPr>
            <w:tcW w:w="3433" w:type="dxa"/>
            <w:shd w:val="clear" w:color="auto" w:fill="auto"/>
          </w:tcPr>
          <w:p w14:paraId="2B332B05" w14:textId="77777777" w:rsidR="004B4C7A" w:rsidRPr="00B82E70" w:rsidRDefault="004B4C7A" w:rsidP="004A402F">
            <w:pPr>
              <w:pStyle w:val="00BodyText"/>
              <w:spacing w:after="0"/>
              <w:rPr>
                <w:rFonts w:ascii="Times New Roman" w:hAnsi="Times New Roman"/>
                <w:sz w:val="18"/>
                <w:szCs w:val="18"/>
                <w:lang w:val="en-GB"/>
              </w:rPr>
            </w:pPr>
            <w:r w:rsidRPr="00B82E70">
              <w:rPr>
                <w:rFonts w:ascii="Times New Roman" w:hAnsi="Times New Roman"/>
                <w:sz w:val="18"/>
                <w:szCs w:val="18"/>
                <w:lang w:val="en-GB"/>
              </w:rPr>
              <w:t>Nominal max component carrier BW [MHz]</w:t>
            </w:r>
          </w:p>
        </w:tc>
        <w:tc>
          <w:tcPr>
            <w:tcW w:w="1244" w:type="dxa"/>
            <w:shd w:val="clear" w:color="auto" w:fill="E7E6E6" w:themeFill="background2"/>
          </w:tcPr>
          <w:p w14:paraId="65063B6D" w14:textId="08BD14C8" w:rsidR="004B4C7A" w:rsidRPr="00B82E70" w:rsidRDefault="004B4C7A" w:rsidP="004A402F">
            <w:pPr>
              <w:pStyle w:val="00BodyText"/>
              <w:spacing w:after="0"/>
              <w:jc w:val="center"/>
              <w:rPr>
                <w:rFonts w:ascii="Times New Roman" w:hAnsi="Times New Roman"/>
                <w:sz w:val="18"/>
                <w:szCs w:val="18"/>
                <w:lang w:val="en-GB"/>
              </w:rPr>
            </w:pPr>
            <w:r w:rsidRPr="00B82E70">
              <w:rPr>
                <w:rFonts w:ascii="Times New Roman" w:hAnsi="Times New Roman"/>
                <w:sz w:val="18"/>
                <w:szCs w:val="18"/>
                <w:lang w:val="en-GB"/>
              </w:rPr>
              <w:t>50</w:t>
            </w:r>
          </w:p>
        </w:tc>
        <w:tc>
          <w:tcPr>
            <w:tcW w:w="1109" w:type="dxa"/>
            <w:shd w:val="clear" w:color="auto" w:fill="E7E6E6" w:themeFill="background2"/>
          </w:tcPr>
          <w:p w14:paraId="3B22B1EB" w14:textId="5626E3EE" w:rsidR="004B4C7A" w:rsidRPr="00B82E70" w:rsidRDefault="004B4C7A" w:rsidP="004A402F">
            <w:pPr>
              <w:pStyle w:val="00BodyText"/>
              <w:spacing w:after="0"/>
              <w:jc w:val="center"/>
              <w:rPr>
                <w:rFonts w:ascii="Times New Roman" w:hAnsi="Times New Roman"/>
                <w:sz w:val="18"/>
                <w:szCs w:val="18"/>
                <w:lang w:val="en-GB"/>
              </w:rPr>
            </w:pPr>
            <w:r w:rsidRPr="00B82E70">
              <w:rPr>
                <w:rFonts w:ascii="Times New Roman" w:hAnsi="Times New Roman"/>
                <w:sz w:val="18"/>
                <w:szCs w:val="18"/>
                <w:lang w:val="en-GB"/>
              </w:rPr>
              <w:t>100</w:t>
            </w:r>
          </w:p>
        </w:tc>
        <w:tc>
          <w:tcPr>
            <w:tcW w:w="1390" w:type="dxa"/>
            <w:shd w:val="clear" w:color="auto" w:fill="E7E6E6" w:themeFill="background2"/>
          </w:tcPr>
          <w:p w14:paraId="3D105EBC" w14:textId="7396C211" w:rsidR="004B4C7A" w:rsidRPr="00B82E70" w:rsidRDefault="004B4C7A" w:rsidP="004A402F">
            <w:pPr>
              <w:pStyle w:val="00BodyText"/>
              <w:spacing w:after="0"/>
              <w:jc w:val="center"/>
              <w:rPr>
                <w:rFonts w:ascii="Times New Roman" w:hAnsi="Times New Roman"/>
                <w:sz w:val="18"/>
                <w:szCs w:val="18"/>
                <w:lang w:val="en-GB"/>
              </w:rPr>
            </w:pPr>
            <w:r w:rsidRPr="00B82E70">
              <w:rPr>
                <w:rFonts w:ascii="Times New Roman" w:hAnsi="Times New Roman"/>
                <w:sz w:val="18"/>
                <w:szCs w:val="18"/>
                <w:lang w:val="en-GB"/>
              </w:rPr>
              <w:t>FFS</w:t>
            </w:r>
          </w:p>
        </w:tc>
      </w:tr>
    </w:tbl>
    <w:p w14:paraId="07365633" w14:textId="66C28061" w:rsidR="004B4C7A" w:rsidRPr="00B82E70" w:rsidRDefault="004B4C7A" w:rsidP="0053584A"/>
    <w:p w14:paraId="310C7BC4" w14:textId="63D0009A" w:rsidR="00A823E0" w:rsidRDefault="001751AC" w:rsidP="00A823E0">
      <w:r w:rsidRPr="00B82E70">
        <w:t>50 MHz max BW could be c</w:t>
      </w:r>
      <w:r w:rsidR="00E466EA">
        <w:t>onsidered for lower frequencies</w:t>
      </w:r>
      <w:r w:rsidRPr="00B82E70">
        <w:t xml:space="preserve"> and 100 MHz for spectrum &lt; </w:t>
      </w:r>
      <w:r w:rsidR="009332E9" w:rsidRPr="00B82E70">
        <w:t>6</w:t>
      </w:r>
      <w:r w:rsidRPr="00B82E70">
        <w:t xml:space="preserve"> GHz. 60 kHz SCS we consider</w:t>
      </w:r>
      <w:r w:rsidR="004B4C7A" w:rsidRPr="00B82E70">
        <w:t xml:space="preserve"> as an option for 5 GHz unlicensed operation but further studies are required to finalize the value</w:t>
      </w:r>
      <w:r w:rsidR="00EB0560" w:rsidRPr="00B82E70">
        <w:t xml:space="preserve">. It could be </w:t>
      </w:r>
      <w:r w:rsidRPr="00B82E70">
        <w:t xml:space="preserve">somewhere </w:t>
      </w:r>
      <w:r w:rsidR="00EB0560" w:rsidRPr="00B82E70">
        <w:t xml:space="preserve">in the range below 200 kHz, depending </w:t>
      </w:r>
      <w:r w:rsidR="00E159F4" w:rsidRPr="00B82E70">
        <w:t xml:space="preserve">on the analysis </w:t>
      </w:r>
      <w:r w:rsidR="00E466EA" w:rsidRPr="00B82E70">
        <w:t>and</w:t>
      </w:r>
      <w:r w:rsidR="00E466EA">
        <w:t xml:space="preserve"> </w:t>
      </w:r>
      <w:r w:rsidR="00EB0560" w:rsidRPr="00B82E70">
        <w:t>the availability of the spectrum.</w:t>
      </w:r>
    </w:p>
    <w:p w14:paraId="67A6720D" w14:textId="16BD8072" w:rsidR="00A23FC4" w:rsidRDefault="00A23FC4" w:rsidP="0053584A">
      <w:r>
        <w:t xml:space="preserve">In </w:t>
      </w:r>
      <w:fldSimple w:instr=" REF _Ref477944390 ">
        <w:r w:rsidR="002F0D27">
          <w:t xml:space="preserve">Figure </w:t>
        </w:r>
        <w:r w:rsidR="002F0D27">
          <w:rPr>
            <w:noProof/>
          </w:rPr>
          <w:t>1</w:t>
        </w:r>
      </w:fldSimple>
      <w:r w:rsidR="00D631E3">
        <w:t>,</w:t>
      </w:r>
      <w:r w:rsidR="002F0D27">
        <w:t xml:space="preserve"> </w:t>
      </w:r>
      <w:fldSimple w:instr=" REF _Ref477944392 ">
        <w:r w:rsidR="002F0D27">
          <w:t xml:space="preserve">Figure </w:t>
        </w:r>
        <w:r w:rsidR="002F0D27">
          <w:rPr>
            <w:noProof/>
          </w:rPr>
          <w:t>2</w:t>
        </w:r>
      </w:fldSimple>
      <w:r w:rsidR="00D631E3">
        <w:t xml:space="preserve"> and </w:t>
      </w:r>
      <w:fldSimple w:instr=" REF _Ref477946266 ">
        <w:r w:rsidR="00D631E3">
          <w:t xml:space="preserve">Figure </w:t>
        </w:r>
        <w:r w:rsidR="00D631E3">
          <w:rPr>
            <w:noProof/>
          </w:rPr>
          <w:t>3</w:t>
        </w:r>
      </w:fldSimple>
      <w:r w:rsidR="002F0D27">
        <w:t xml:space="preserve"> we present </w:t>
      </w:r>
      <w:r w:rsidR="00D93AE1">
        <w:t xml:space="preserve">simulation results for </w:t>
      </w:r>
      <w:r w:rsidR="002F0D27">
        <w:t>UE transmit spectrum f</w:t>
      </w:r>
      <w:r w:rsidR="00D93AE1">
        <w:t xml:space="preserve">or CP-OFDM waveform with </w:t>
      </w:r>
      <w:r w:rsidR="004C42C2">
        <w:t xml:space="preserve">QPSK modulation and </w:t>
      </w:r>
      <w:r w:rsidR="00D93AE1">
        <w:t>15 kHz</w:t>
      </w:r>
      <w:r w:rsidR="00D631E3">
        <w:t>, 30 kHz</w:t>
      </w:r>
      <w:r w:rsidR="002F0D27">
        <w:t xml:space="preserve"> and 60 kHz subcarrier spacings respectively. </w:t>
      </w:r>
      <w:r w:rsidR="004C42C2">
        <w:t>The QPSK EVM requirement of 17,5% is met in all the simulations.</w:t>
      </w:r>
    </w:p>
    <w:p w14:paraId="191383C1" w14:textId="585215E5" w:rsidR="00D93AE1" w:rsidRDefault="00D93AE1" w:rsidP="00D93AE1">
      <w:r>
        <w:t>In the simulations, we have used polynomial PA-model (below 6GHz model) [</w:t>
      </w:r>
      <w:r w:rsidR="00C801C2">
        <w:t>8</w:t>
      </w:r>
      <w:r>
        <w:t xml:space="preserve">]. </w:t>
      </w:r>
      <w:r w:rsidR="007E7646">
        <w:t>The simulated channel bandwidth is 10 MH</w:t>
      </w:r>
      <w:r w:rsidR="00D631E3">
        <w:t>z. The number of PRBs is 52</w:t>
      </w:r>
      <w:r w:rsidR="007E7646">
        <w:t xml:space="preserve"> for</w:t>
      </w:r>
      <w:r w:rsidR="00D631E3">
        <w:t xml:space="preserve"> 15 kHz SCS, 26 for 30 kHz SCS and</w:t>
      </w:r>
      <w:r w:rsidR="007E7646">
        <w:t xml:space="preserve"> 13 for 60 kHz SCS. </w:t>
      </w:r>
      <w:r w:rsidR="00D631E3">
        <w:t>For all the cases</w:t>
      </w:r>
      <w:r w:rsidR="007E7646">
        <w:t xml:space="preserve"> this would mean spectrum utilization of 93,6 % (more than 90% as agreed in the study item phase). At least these initial simulation results indicate that this level of spectrum utilizati</w:t>
      </w:r>
      <w:r w:rsidR="00D631E3">
        <w:t xml:space="preserve">on enhancement could be feasible for 10 MHz CBW with </w:t>
      </w:r>
      <w:r w:rsidR="007E7646">
        <w:t>15</w:t>
      </w:r>
      <w:r w:rsidR="00D631E3">
        <w:t>, 30</w:t>
      </w:r>
      <w:r w:rsidR="007E7646">
        <w:t xml:space="preserve"> and 60 kHz SCS. </w:t>
      </w:r>
      <w:r w:rsidR="00024127">
        <w:t xml:space="preserve">The simulated cases and PRBs allow still additional UE impletion margin for taking into account </w:t>
      </w:r>
      <w:r w:rsidR="002A2C53">
        <w:t xml:space="preserve">the </w:t>
      </w:r>
      <w:r w:rsidR="00024127">
        <w:t>other UE implementation imperfections. Before concluding the number of PRBs per CBW and SCS e.g. for UL it is also important to validate BS receiver adjacent channel selectivity performance. Furthermore, it would be attractive to define symmetric UL and DL channel bandwidths and supported number of PRBs, it is also important to validate BS Tx and UE Rx performance for OOB emission and adjacent channel selectiv</w:t>
      </w:r>
      <w:r w:rsidR="003E2AFA">
        <w:t>it</w:t>
      </w:r>
      <w:r w:rsidR="00024127">
        <w:t xml:space="preserve">y. </w:t>
      </w:r>
    </w:p>
    <w:p w14:paraId="1C1E13CD" w14:textId="7376D625" w:rsidR="00D93AE1" w:rsidRDefault="00D93AE1" w:rsidP="0053584A"/>
    <w:p w14:paraId="392FAE48" w14:textId="77777777" w:rsidR="00A23FC4" w:rsidRDefault="00A23FC4" w:rsidP="00A23FC4">
      <w:pPr>
        <w:keepNext/>
        <w:jc w:val="center"/>
      </w:pPr>
      <w:r>
        <w:rPr>
          <w:noProof/>
          <w:lang w:val="fi-FI" w:eastAsia="fi-FI"/>
        </w:rPr>
        <w:lastRenderedPageBreak/>
        <w:drawing>
          <wp:inline distT="0" distB="0" distL="0" distR="0" wp14:anchorId="2D3C33D4" wp14:editId="77FC7355">
            <wp:extent cx="3552825" cy="360982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ec_15kHz_52RB.png"/>
                    <pic:cNvPicPr/>
                  </pic:nvPicPr>
                  <pic:blipFill>
                    <a:blip r:embed="rId8">
                      <a:extLst>
                        <a:ext uri="{28A0092B-C50C-407E-A947-70E740481C1C}">
                          <a14:useLocalDpi xmlns:a14="http://schemas.microsoft.com/office/drawing/2010/main" val="0"/>
                        </a:ext>
                      </a:extLst>
                    </a:blip>
                    <a:stretch>
                      <a:fillRect/>
                    </a:stretch>
                  </pic:blipFill>
                  <pic:spPr>
                    <a:xfrm>
                      <a:off x="0" y="0"/>
                      <a:ext cx="3567621" cy="3624855"/>
                    </a:xfrm>
                    <a:prstGeom prst="rect">
                      <a:avLst/>
                    </a:prstGeom>
                  </pic:spPr>
                </pic:pic>
              </a:graphicData>
            </a:graphic>
          </wp:inline>
        </w:drawing>
      </w:r>
    </w:p>
    <w:p w14:paraId="103AF5D9" w14:textId="7A9A53F3" w:rsidR="00A23FC4" w:rsidRDefault="00A23FC4" w:rsidP="00A23FC4">
      <w:pPr>
        <w:pStyle w:val="Caption"/>
        <w:jc w:val="center"/>
      </w:pPr>
      <w:bookmarkStart w:id="1" w:name="_Ref477944390"/>
      <w:r>
        <w:t xml:space="preserve">Figure </w:t>
      </w:r>
      <w:fldSimple w:instr=" SEQ Figure \* ARABIC ">
        <w:r w:rsidR="003B430D">
          <w:rPr>
            <w:noProof/>
          </w:rPr>
          <w:t>1</w:t>
        </w:r>
      </w:fldSimple>
      <w:bookmarkEnd w:id="1"/>
      <w:r>
        <w:t>: UE Transmit spectrum for CP-OFDM waveform with 15 kHz subcarrier spacing, 52 PRBs and QPSK</w:t>
      </w:r>
    </w:p>
    <w:p w14:paraId="1FFB0601" w14:textId="3C117D8F" w:rsidR="00A23FC4" w:rsidRDefault="00293EBB" w:rsidP="00A23FC4">
      <w:pPr>
        <w:keepNext/>
        <w:jc w:val="center"/>
      </w:pPr>
      <w:r>
        <w:rPr>
          <w:noProof/>
          <w:lang w:val="fi-FI" w:eastAsia="fi-FI"/>
        </w:rPr>
        <w:drawing>
          <wp:inline distT="0" distB="0" distL="0" distR="0" wp14:anchorId="060AA75A" wp14:editId="1F280E43">
            <wp:extent cx="3448050" cy="3503366"/>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pec_30kHz_26RB.png"/>
                    <pic:cNvPicPr/>
                  </pic:nvPicPr>
                  <pic:blipFill>
                    <a:blip r:embed="rId9">
                      <a:extLst>
                        <a:ext uri="{28A0092B-C50C-407E-A947-70E740481C1C}">
                          <a14:useLocalDpi xmlns:a14="http://schemas.microsoft.com/office/drawing/2010/main" val="0"/>
                        </a:ext>
                      </a:extLst>
                    </a:blip>
                    <a:stretch>
                      <a:fillRect/>
                    </a:stretch>
                  </pic:blipFill>
                  <pic:spPr>
                    <a:xfrm>
                      <a:off x="0" y="0"/>
                      <a:ext cx="3480773" cy="3536614"/>
                    </a:xfrm>
                    <a:prstGeom prst="rect">
                      <a:avLst/>
                    </a:prstGeom>
                  </pic:spPr>
                </pic:pic>
              </a:graphicData>
            </a:graphic>
          </wp:inline>
        </w:drawing>
      </w:r>
    </w:p>
    <w:p w14:paraId="77447A36" w14:textId="16AB1EEE" w:rsidR="00A23FC4" w:rsidRDefault="00A23FC4" w:rsidP="00A23FC4">
      <w:pPr>
        <w:pStyle w:val="Caption"/>
        <w:jc w:val="center"/>
      </w:pPr>
      <w:bookmarkStart w:id="2" w:name="_Ref477944392"/>
      <w:r>
        <w:t xml:space="preserve">Figure </w:t>
      </w:r>
      <w:fldSimple w:instr=" SEQ Figure \* ARABIC ">
        <w:r w:rsidR="003B430D">
          <w:rPr>
            <w:noProof/>
          </w:rPr>
          <w:t>2</w:t>
        </w:r>
      </w:fldSimple>
      <w:bookmarkEnd w:id="2"/>
      <w:r>
        <w:t xml:space="preserve">: UE Transmit spectrum for CP-OFDM waveform with </w:t>
      </w:r>
      <w:r w:rsidR="003B430D">
        <w:t>3</w:t>
      </w:r>
      <w:r>
        <w:t>0 kHz subcarrier spacing</w:t>
      </w:r>
      <w:r w:rsidR="003B430D">
        <w:t>, 26</w:t>
      </w:r>
      <w:r>
        <w:t xml:space="preserve"> PRBs and QPSK</w:t>
      </w:r>
    </w:p>
    <w:p w14:paraId="55F5DA9C" w14:textId="77777777" w:rsidR="003B430D" w:rsidRDefault="003B430D" w:rsidP="003B430D">
      <w:pPr>
        <w:keepNext/>
        <w:jc w:val="center"/>
      </w:pPr>
      <w:r>
        <w:rPr>
          <w:noProof/>
          <w:lang w:val="fi-FI" w:eastAsia="fi-FI"/>
        </w:rPr>
        <w:lastRenderedPageBreak/>
        <w:drawing>
          <wp:inline distT="0" distB="0" distL="0" distR="0" wp14:anchorId="20FD57C8" wp14:editId="321D46C2">
            <wp:extent cx="3457575" cy="351304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ec_60kHz_13RB.png"/>
                    <pic:cNvPicPr/>
                  </pic:nvPicPr>
                  <pic:blipFill>
                    <a:blip r:embed="rId10">
                      <a:extLst>
                        <a:ext uri="{28A0092B-C50C-407E-A947-70E740481C1C}">
                          <a14:useLocalDpi xmlns:a14="http://schemas.microsoft.com/office/drawing/2010/main" val="0"/>
                        </a:ext>
                      </a:extLst>
                    </a:blip>
                    <a:stretch>
                      <a:fillRect/>
                    </a:stretch>
                  </pic:blipFill>
                  <pic:spPr>
                    <a:xfrm>
                      <a:off x="0" y="0"/>
                      <a:ext cx="3474146" cy="3529880"/>
                    </a:xfrm>
                    <a:prstGeom prst="rect">
                      <a:avLst/>
                    </a:prstGeom>
                  </pic:spPr>
                </pic:pic>
              </a:graphicData>
            </a:graphic>
          </wp:inline>
        </w:drawing>
      </w:r>
    </w:p>
    <w:p w14:paraId="343D0FB2" w14:textId="6B98E6FD" w:rsidR="0053584A" w:rsidRDefault="003B430D" w:rsidP="003B430D">
      <w:pPr>
        <w:pStyle w:val="Caption"/>
        <w:jc w:val="center"/>
      </w:pPr>
      <w:bookmarkStart w:id="3" w:name="_Ref477946266"/>
      <w:r>
        <w:t xml:space="preserve">Figure </w:t>
      </w:r>
      <w:fldSimple w:instr=" SEQ Figure \* ARABIC ">
        <w:r>
          <w:rPr>
            <w:noProof/>
          </w:rPr>
          <w:t>3</w:t>
        </w:r>
      </w:fldSimple>
      <w:bookmarkEnd w:id="3"/>
      <w:r>
        <w:t>: UE Transmit spectrum for CP-OFDM waveform with 60 kHz subcarrier spacing, 13 PRBs and QPSK</w:t>
      </w:r>
    </w:p>
    <w:p w14:paraId="57E1ECD8" w14:textId="1ADB016A" w:rsidR="00D20433" w:rsidRDefault="00D20433" w:rsidP="0053584A">
      <w:r>
        <w:t>Following the LTE specification principles for defining the spectrum utilization indirectly by specifying t</w:t>
      </w:r>
      <w:r w:rsidRPr="0032110F">
        <w:t>ransmission bandwidth configuration N</w:t>
      </w:r>
      <w:r w:rsidRPr="0032110F">
        <w:rPr>
          <w:vertAlign w:val="subscript"/>
        </w:rPr>
        <w:t>RB</w:t>
      </w:r>
      <w:r w:rsidRPr="0032110F">
        <w:t xml:space="preserve"> </w:t>
      </w:r>
      <w:r>
        <w:t xml:space="preserve">per channel bandwidth and subcarrier spacing for NR frequency bands below and above 6 GHz, we could use e.g. the following table for specifying NR UE transmission BW configurations below 6 GHz. </w:t>
      </w:r>
      <w:r w:rsidR="00024127">
        <w:t xml:space="preserve">In the table we have added also </w:t>
      </w:r>
      <w:r w:rsidR="00E525FC">
        <w:t xml:space="preserve">the </w:t>
      </w:r>
      <w:r w:rsidR="00024127">
        <w:t>first tentative figures for the number of PRBs supported for 10 MHz CBW with 15 kHz</w:t>
      </w:r>
      <w:r w:rsidR="00E525FC">
        <w:t xml:space="preserve">, </w:t>
      </w:r>
      <w:r w:rsidR="005C57A8">
        <w:t xml:space="preserve"> 30 kH</w:t>
      </w:r>
      <w:r w:rsidR="00D268AF">
        <w:t>z</w:t>
      </w:r>
      <w:r w:rsidR="00024127">
        <w:t xml:space="preserve"> and 60 kHz SCS. However, further studies are still needed to finalize these figures</w:t>
      </w:r>
      <w:r w:rsidR="00D12882">
        <w:t xml:space="preserve">. </w:t>
      </w:r>
    </w:p>
    <w:p w14:paraId="68D2F5F8" w14:textId="0D21F4EB" w:rsidR="0053584A" w:rsidRPr="0032110F" w:rsidRDefault="006754CA" w:rsidP="0053584A">
      <w:pPr>
        <w:pStyle w:val="TH"/>
      </w:pPr>
      <w:r>
        <w:t>Table x.y-z</w:t>
      </w:r>
      <w:r w:rsidR="0053584A" w:rsidRPr="0032110F">
        <w:t>: Transmission bandwidth configuration N</w:t>
      </w:r>
      <w:r w:rsidR="0053584A" w:rsidRPr="0032110F">
        <w:rPr>
          <w:vertAlign w:val="subscript"/>
        </w:rPr>
        <w:t>RB</w:t>
      </w:r>
      <w:r w:rsidR="0053584A" w:rsidRPr="0032110F">
        <w:t xml:space="preserve"> </w:t>
      </w:r>
      <w:r w:rsidR="001109B9">
        <w:t>for NR frequency bands below 6GHz</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109B9" w:rsidRPr="0032110F" w14:paraId="52C28EB8" w14:textId="77777777" w:rsidTr="002825F7">
        <w:trPr>
          <w:trHeight w:val="20"/>
          <w:jc w:val="center"/>
        </w:trPr>
        <w:tc>
          <w:tcPr>
            <w:tcW w:w="2337" w:type="dxa"/>
            <w:vAlign w:val="center"/>
          </w:tcPr>
          <w:p w14:paraId="0033272E" w14:textId="0E441FE2" w:rsidR="001109B9" w:rsidRPr="00320140" w:rsidRDefault="001109B9" w:rsidP="002825F7">
            <w:pPr>
              <w:pStyle w:val="TAH"/>
              <w:rPr>
                <w:rFonts w:cs="Arial"/>
              </w:rPr>
            </w:pPr>
            <w:r>
              <w:rPr>
                <w:rFonts w:cs="Arial"/>
              </w:rPr>
              <w:t>Subcarrier spacing [kHz]</w:t>
            </w:r>
          </w:p>
        </w:tc>
        <w:tc>
          <w:tcPr>
            <w:tcW w:w="4407" w:type="dxa"/>
            <w:gridSpan w:val="6"/>
            <w:vAlign w:val="center"/>
          </w:tcPr>
          <w:p w14:paraId="5A42E11A" w14:textId="76866A9E" w:rsidR="001109B9" w:rsidRPr="00320140" w:rsidRDefault="001109B9" w:rsidP="002825F7">
            <w:pPr>
              <w:pStyle w:val="TAH"/>
              <w:rPr>
                <w:rFonts w:cs="Arial"/>
              </w:rPr>
            </w:pPr>
            <w:r>
              <w:rPr>
                <w:rFonts w:cs="Arial"/>
              </w:rPr>
              <w:t xml:space="preserve">15 </w:t>
            </w:r>
          </w:p>
        </w:tc>
      </w:tr>
      <w:tr w:rsidR="002C6146" w:rsidRPr="0032110F" w14:paraId="2F3E2C3C" w14:textId="77777777" w:rsidTr="00E525FC">
        <w:trPr>
          <w:trHeight w:val="20"/>
          <w:jc w:val="center"/>
        </w:trPr>
        <w:tc>
          <w:tcPr>
            <w:tcW w:w="2337" w:type="dxa"/>
            <w:vAlign w:val="center"/>
          </w:tcPr>
          <w:p w14:paraId="2B2B9DD5" w14:textId="1519A846" w:rsidR="002C6146" w:rsidRPr="00320140" w:rsidRDefault="002C6146" w:rsidP="002825F7">
            <w:pPr>
              <w:pStyle w:val="TAH"/>
              <w:rPr>
                <w:rFonts w:cs="Arial"/>
              </w:rPr>
            </w:pPr>
            <w:r w:rsidRPr="00320140">
              <w:rPr>
                <w:rFonts w:cs="Arial"/>
              </w:rPr>
              <w:t>Channel bandwidth BW</w:t>
            </w:r>
            <w:r w:rsidRPr="00320140">
              <w:rPr>
                <w:rFonts w:cs="Arial"/>
                <w:vertAlign w:val="subscript"/>
              </w:rPr>
              <w:t>Channel</w:t>
            </w:r>
            <w:r w:rsidRPr="00320140">
              <w:rPr>
                <w:rFonts w:cs="Arial"/>
              </w:rPr>
              <w:t xml:space="preserve"> [MHz]</w:t>
            </w:r>
          </w:p>
        </w:tc>
        <w:tc>
          <w:tcPr>
            <w:tcW w:w="804" w:type="dxa"/>
            <w:vAlign w:val="center"/>
          </w:tcPr>
          <w:p w14:paraId="4352AF6C" w14:textId="049CAF95" w:rsidR="002C6146" w:rsidRDefault="00540544" w:rsidP="002825F7">
            <w:pPr>
              <w:pStyle w:val="TAH"/>
              <w:rPr>
                <w:rFonts w:cs="Arial"/>
              </w:rPr>
            </w:pPr>
            <w:r>
              <w:rPr>
                <w:rFonts w:cs="Arial"/>
              </w:rPr>
              <w:t>[5]</w:t>
            </w:r>
          </w:p>
        </w:tc>
        <w:tc>
          <w:tcPr>
            <w:tcW w:w="746" w:type="dxa"/>
            <w:shd w:val="clear" w:color="auto" w:fill="auto"/>
            <w:vAlign w:val="center"/>
          </w:tcPr>
          <w:p w14:paraId="5620A12B" w14:textId="5776C801" w:rsidR="002C6146" w:rsidRPr="00320140" w:rsidRDefault="001109B9" w:rsidP="002825F7">
            <w:pPr>
              <w:pStyle w:val="TAH"/>
              <w:rPr>
                <w:rFonts w:cs="Arial"/>
              </w:rPr>
            </w:pPr>
            <w:r>
              <w:rPr>
                <w:rFonts w:cs="Arial"/>
              </w:rPr>
              <w:t>10</w:t>
            </w:r>
          </w:p>
        </w:tc>
        <w:tc>
          <w:tcPr>
            <w:tcW w:w="708" w:type="dxa"/>
            <w:vAlign w:val="center"/>
          </w:tcPr>
          <w:p w14:paraId="3CD3CDC8" w14:textId="0B0997B2" w:rsidR="002C6146" w:rsidRPr="00320140" w:rsidRDefault="001109B9" w:rsidP="002825F7">
            <w:pPr>
              <w:pStyle w:val="TAH"/>
              <w:rPr>
                <w:rFonts w:cs="Arial"/>
              </w:rPr>
            </w:pPr>
            <w:r>
              <w:rPr>
                <w:rFonts w:cs="Arial"/>
              </w:rPr>
              <w:t>15</w:t>
            </w:r>
          </w:p>
        </w:tc>
        <w:tc>
          <w:tcPr>
            <w:tcW w:w="709" w:type="dxa"/>
            <w:vAlign w:val="center"/>
          </w:tcPr>
          <w:p w14:paraId="248A3F5C" w14:textId="405ACA38" w:rsidR="002C6146" w:rsidRPr="00320140" w:rsidRDefault="001109B9" w:rsidP="002825F7">
            <w:pPr>
              <w:pStyle w:val="TAH"/>
              <w:rPr>
                <w:rFonts w:cs="Arial"/>
              </w:rPr>
            </w:pPr>
            <w:r>
              <w:rPr>
                <w:rFonts w:cs="Arial"/>
              </w:rPr>
              <w:t>20</w:t>
            </w:r>
          </w:p>
        </w:tc>
        <w:tc>
          <w:tcPr>
            <w:tcW w:w="709" w:type="dxa"/>
            <w:vAlign w:val="center"/>
          </w:tcPr>
          <w:p w14:paraId="66AD6DC2" w14:textId="406AE35E" w:rsidR="002C6146" w:rsidRPr="00320140" w:rsidRDefault="001109B9" w:rsidP="002825F7">
            <w:pPr>
              <w:pStyle w:val="TAH"/>
              <w:rPr>
                <w:rFonts w:cs="Arial"/>
              </w:rPr>
            </w:pPr>
            <w:r>
              <w:rPr>
                <w:rFonts w:cs="Arial"/>
              </w:rPr>
              <w:t>TBD</w:t>
            </w:r>
          </w:p>
        </w:tc>
        <w:tc>
          <w:tcPr>
            <w:tcW w:w="731" w:type="dxa"/>
            <w:shd w:val="clear" w:color="auto" w:fill="auto"/>
            <w:vAlign w:val="center"/>
          </w:tcPr>
          <w:p w14:paraId="2658944E" w14:textId="2E46CF44" w:rsidR="002C6146" w:rsidRPr="00E525FC" w:rsidRDefault="00974C31" w:rsidP="002825F7">
            <w:pPr>
              <w:pStyle w:val="TAH"/>
              <w:rPr>
                <w:rFonts w:cs="Arial"/>
              </w:rPr>
            </w:pPr>
            <w:r w:rsidRPr="00E525FC">
              <w:rPr>
                <w:rFonts w:cs="Arial"/>
              </w:rPr>
              <w:t>[50]</w:t>
            </w:r>
          </w:p>
        </w:tc>
      </w:tr>
      <w:tr w:rsidR="0053584A" w:rsidRPr="0032110F" w14:paraId="653CB1D5" w14:textId="77777777" w:rsidTr="00E525FC">
        <w:trPr>
          <w:trHeight w:val="20"/>
          <w:jc w:val="center"/>
        </w:trPr>
        <w:tc>
          <w:tcPr>
            <w:tcW w:w="2337" w:type="dxa"/>
            <w:vAlign w:val="center"/>
          </w:tcPr>
          <w:p w14:paraId="0CE9F9D8" w14:textId="77777777" w:rsidR="0053584A" w:rsidRPr="00320140" w:rsidRDefault="0053584A" w:rsidP="002825F7">
            <w:pPr>
              <w:pStyle w:val="TAC"/>
              <w:rPr>
                <w:rFonts w:cs="Arial"/>
              </w:rPr>
            </w:pPr>
            <w:r w:rsidRPr="00320140">
              <w:rPr>
                <w:rFonts w:cs="Arial"/>
              </w:rPr>
              <w:t>Transmission bandwidth configuration N</w:t>
            </w:r>
            <w:r w:rsidRPr="00320140">
              <w:rPr>
                <w:rFonts w:cs="Arial"/>
                <w:vertAlign w:val="subscript"/>
              </w:rPr>
              <w:t>RB</w:t>
            </w:r>
          </w:p>
        </w:tc>
        <w:tc>
          <w:tcPr>
            <w:tcW w:w="804" w:type="dxa"/>
            <w:vAlign w:val="center"/>
          </w:tcPr>
          <w:p w14:paraId="07229483" w14:textId="70024B67" w:rsidR="0053584A" w:rsidRPr="00320140" w:rsidRDefault="0053584A" w:rsidP="002825F7">
            <w:pPr>
              <w:pStyle w:val="TAC"/>
              <w:rPr>
                <w:rFonts w:cs="Arial"/>
              </w:rPr>
            </w:pPr>
          </w:p>
        </w:tc>
        <w:tc>
          <w:tcPr>
            <w:tcW w:w="746" w:type="dxa"/>
            <w:shd w:val="clear" w:color="auto" w:fill="auto"/>
            <w:vAlign w:val="center"/>
          </w:tcPr>
          <w:p w14:paraId="54A80C2D" w14:textId="4005D8A6" w:rsidR="0053584A" w:rsidRPr="00320140" w:rsidRDefault="00D20433" w:rsidP="002825F7">
            <w:pPr>
              <w:pStyle w:val="TAC"/>
              <w:rPr>
                <w:rFonts w:cs="Arial"/>
              </w:rPr>
            </w:pPr>
            <w:r>
              <w:rPr>
                <w:rFonts w:cs="Arial"/>
              </w:rPr>
              <w:t>[52]</w:t>
            </w:r>
          </w:p>
        </w:tc>
        <w:tc>
          <w:tcPr>
            <w:tcW w:w="708" w:type="dxa"/>
            <w:vAlign w:val="center"/>
          </w:tcPr>
          <w:p w14:paraId="4DE80917" w14:textId="2572FCA9" w:rsidR="0053584A" w:rsidRPr="00320140" w:rsidRDefault="0053584A" w:rsidP="002825F7">
            <w:pPr>
              <w:pStyle w:val="TAC"/>
              <w:rPr>
                <w:rFonts w:cs="Arial"/>
              </w:rPr>
            </w:pPr>
          </w:p>
        </w:tc>
        <w:tc>
          <w:tcPr>
            <w:tcW w:w="709" w:type="dxa"/>
            <w:vAlign w:val="center"/>
          </w:tcPr>
          <w:p w14:paraId="59B1A307" w14:textId="19D5E044" w:rsidR="0053584A" w:rsidRPr="00320140" w:rsidRDefault="0053584A" w:rsidP="002825F7">
            <w:pPr>
              <w:pStyle w:val="TAC"/>
              <w:rPr>
                <w:rFonts w:cs="Arial"/>
              </w:rPr>
            </w:pPr>
          </w:p>
        </w:tc>
        <w:tc>
          <w:tcPr>
            <w:tcW w:w="709" w:type="dxa"/>
            <w:vAlign w:val="center"/>
          </w:tcPr>
          <w:p w14:paraId="0EC81E0F" w14:textId="76F9143F" w:rsidR="0053584A" w:rsidRPr="00320140" w:rsidRDefault="0053584A" w:rsidP="001109B9">
            <w:pPr>
              <w:pStyle w:val="TAC"/>
              <w:jc w:val="left"/>
              <w:rPr>
                <w:rFonts w:cs="Arial"/>
              </w:rPr>
            </w:pPr>
          </w:p>
        </w:tc>
        <w:tc>
          <w:tcPr>
            <w:tcW w:w="731" w:type="dxa"/>
            <w:shd w:val="clear" w:color="auto" w:fill="auto"/>
            <w:vAlign w:val="center"/>
          </w:tcPr>
          <w:p w14:paraId="2E35E91C" w14:textId="3DE23104" w:rsidR="0053584A" w:rsidRPr="00E525FC" w:rsidRDefault="0053584A" w:rsidP="001109B9">
            <w:pPr>
              <w:pStyle w:val="TAC"/>
              <w:jc w:val="left"/>
              <w:rPr>
                <w:rFonts w:cs="Arial"/>
              </w:rPr>
            </w:pPr>
          </w:p>
        </w:tc>
      </w:tr>
      <w:tr w:rsidR="001109B9" w:rsidRPr="0032110F" w14:paraId="3EA84F21" w14:textId="77777777" w:rsidTr="00E525FC">
        <w:trPr>
          <w:trHeight w:val="20"/>
          <w:jc w:val="center"/>
        </w:trPr>
        <w:tc>
          <w:tcPr>
            <w:tcW w:w="2337" w:type="dxa"/>
            <w:vAlign w:val="center"/>
          </w:tcPr>
          <w:p w14:paraId="3384BFB4" w14:textId="4D2F65B9" w:rsidR="001109B9" w:rsidRPr="001109B9" w:rsidRDefault="001109B9" w:rsidP="002825F7">
            <w:pPr>
              <w:pStyle w:val="TAC"/>
              <w:rPr>
                <w:rFonts w:cs="Arial"/>
                <w:b/>
              </w:rPr>
            </w:pPr>
            <w:r w:rsidRPr="001109B9">
              <w:rPr>
                <w:rFonts w:cs="Arial"/>
                <w:b/>
              </w:rPr>
              <w:t>Subcarrier spacing [kHz]</w:t>
            </w:r>
          </w:p>
        </w:tc>
        <w:tc>
          <w:tcPr>
            <w:tcW w:w="4407" w:type="dxa"/>
            <w:gridSpan w:val="6"/>
            <w:shd w:val="clear" w:color="auto" w:fill="auto"/>
            <w:vAlign w:val="center"/>
          </w:tcPr>
          <w:p w14:paraId="485D4EE4" w14:textId="74732EDA" w:rsidR="001109B9" w:rsidRPr="00E525FC" w:rsidRDefault="001109B9" w:rsidP="001109B9">
            <w:pPr>
              <w:pStyle w:val="TAC"/>
              <w:rPr>
                <w:rFonts w:cs="Arial"/>
                <w:b/>
              </w:rPr>
            </w:pPr>
            <w:r w:rsidRPr="00E525FC">
              <w:rPr>
                <w:rFonts w:cs="Arial"/>
                <w:b/>
              </w:rPr>
              <w:t>30</w:t>
            </w:r>
          </w:p>
        </w:tc>
      </w:tr>
      <w:tr w:rsidR="00D20433" w:rsidRPr="0032110F" w14:paraId="1E44D93E" w14:textId="77777777" w:rsidTr="00E525FC">
        <w:trPr>
          <w:trHeight w:val="20"/>
          <w:jc w:val="center"/>
        </w:trPr>
        <w:tc>
          <w:tcPr>
            <w:tcW w:w="2337" w:type="dxa"/>
            <w:vAlign w:val="center"/>
          </w:tcPr>
          <w:p w14:paraId="024163B7" w14:textId="1B1264BD" w:rsidR="00D20433" w:rsidRPr="001109B9" w:rsidRDefault="00D20433" w:rsidP="00D20433">
            <w:pPr>
              <w:pStyle w:val="TAC"/>
              <w:rPr>
                <w:rFonts w:cs="Arial"/>
                <w:b/>
              </w:rPr>
            </w:pPr>
            <w:r w:rsidRPr="001109B9">
              <w:rPr>
                <w:rFonts w:cs="Arial"/>
                <w:b/>
              </w:rPr>
              <w:t>Channel bandwidth BW</w:t>
            </w:r>
            <w:r w:rsidRPr="001109B9">
              <w:rPr>
                <w:rFonts w:cs="Arial"/>
                <w:b/>
                <w:vertAlign w:val="subscript"/>
              </w:rPr>
              <w:t>Channel</w:t>
            </w:r>
            <w:r w:rsidRPr="001109B9">
              <w:rPr>
                <w:rFonts w:cs="Arial"/>
                <w:b/>
              </w:rPr>
              <w:t xml:space="preserve"> [MHz]</w:t>
            </w:r>
          </w:p>
        </w:tc>
        <w:tc>
          <w:tcPr>
            <w:tcW w:w="804" w:type="dxa"/>
            <w:vAlign w:val="center"/>
          </w:tcPr>
          <w:p w14:paraId="219B10AA" w14:textId="6D8A2809" w:rsidR="00D20433" w:rsidRPr="00D20433" w:rsidRDefault="00D20433" w:rsidP="00D20433">
            <w:pPr>
              <w:pStyle w:val="TAC"/>
              <w:rPr>
                <w:rFonts w:cs="Arial"/>
                <w:b/>
              </w:rPr>
            </w:pPr>
          </w:p>
        </w:tc>
        <w:tc>
          <w:tcPr>
            <w:tcW w:w="746" w:type="dxa"/>
            <w:shd w:val="clear" w:color="auto" w:fill="auto"/>
            <w:vAlign w:val="center"/>
          </w:tcPr>
          <w:p w14:paraId="54DB118A" w14:textId="32665D71" w:rsidR="00D20433" w:rsidRPr="00D20433" w:rsidRDefault="00D20433" w:rsidP="00D20433">
            <w:pPr>
              <w:pStyle w:val="TAC"/>
              <w:rPr>
                <w:rFonts w:cs="Arial"/>
                <w:b/>
              </w:rPr>
            </w:pPr>
            <w:r w:rsidRPr="00D20433">
              <w:rPr>
                <w:rFonts w:cs="Arial"/>
                <w:b/>
              </w:rPr>
              <w:t>10</w:t>
            </w:r>
          </w:p>
        </w:tc>
        <w:tc>
          <w:tcPr>
            <w:tcW w:w="708" w:type="dxa"/>
            <w:vAlign w:val="center"/>
          </w:tcPr>
          <w:p w14:paraId="733CCC6C" w14:textId="46D06143" w:rsidR="00D20433" w:rsidRPr="00D20433" w:rsidRDefault="00D20433" w:rsidP="00D20433">
            <w:pPr>
              <w:pStyle w:val="TAC"/>
              <w:rPr>
                <w:rFonts w:cs="Arial"/>
                <w:b/>
              </w:rPr>
            </w:pPr>
            <w:r w:rsidRPr="00D20433">
              <w:rPr>
                <w:rFonts w:cs="Arial"/>
                <w:b/>
              </w:rPr>
              <w:t>15</w:t>
            </w:r>
          </w:p>
        </w:tc>
        <w:tc>
          <w:tcPr>
            <w:tcW w:w="709" w:type="dxa"/>
            <w:vAlign w:val="center"/>
          </w:tcPr>
          <w:p w14:paraId="7E7B3DA5" w14:textId="688D8B70" w:rsidR="00D20433" w:rsidRPr="00D20433" w:rsidRDefault="00D20433" w:rsidP="00D20433">
            <w:pPr>
              <w:pStyle w:val="TAC"/>
              <w:rPr>
                <w:rFonts w:cs="Arial"/>
                <w:b/>
              </w:rPr>
            </w:pPr>
            <w:r w:rsidRPr="00D20433">
              <w:rPr>
                <w:rFonts w:cs="Arial"/>
                <w:b/>
              </w:rPr>
              <w:t>20</w:t>
            </w:r>
          </w:p>
        </w:tc>
        <w:tc>
          <w:tcPr>
            <w:tcW w:w="709" w:type="dxa"/>
            <w:vAlign w:val="center"/>
          </w:tcPr>
          <w:p w14:paraId="58F8F13B" w14:textId="192B3888" w:rsidR="00D20433" w:rsidRPr="00D20433" w:rsidRDefault="00D20433" w:rsidP="00D20433">
            <w:pPr>
              <w:pStyle w:val="TAC"/>
              <w:jc w:val="left"/>
              <w:rPr>
                <w:rFonts w:cs="Arial"/>
                <w:b/>
              </w:rPr>
            </w:pPr>
            <w:r w:rsidRPr="00D20433">
              <w:rPr>
                <w:rFonts w:cs="Arial"/>
                <w:b/>
              </w:rPr>
              <w:t>TBD</w:t>
            </w:r>
          </w:p>
        </w:tc>
        <w:tc>
          <w:tcPr>
            <w:tcW w:w="731" w:type="dxa"/>
            <w:shd w:val="clear" w:color="auto" w:fill="auto"/>
            <w:vAlign w:val="center"/>
          </w:tcPr>
          <w:p w14:paraId="614B3BE0" w14:textId="556062E5" w:rsidR="00D20433" w:rsidRPr="00E525FC" w:rsidRDefault="00974C31" w:rsidP="00D20433">
            <w:pPr>
              <w:pStyle w:val="TAC"/>
              <w:jc w:val="left"/>
              <w:rPr>
                <w:rFonts w:cs="Arial"/>
                <w:b/>
              </w:rPr>
            </w:pPr>
            <w:r w:rsidRPr="00E525FC">
              <w:rPr>
                <w:rFonts w:cs="Arial"/>
                <w:b/>
              </w:rPr>
              <w:t>[100</w:t>
            </w:r>
            <w:r w:rsidR="004E7AAA" w:rsidRPr="00E525FC">
              <w:rPr>
                <w:rFonts w:cs="Arial"/>
                <w:b/>
              </w:rPr>
              <w:t>]</w:t>
            </w:r>
          </w:p>
        </w:tc>
      </w:tr>
      <w:tr w:rsidR="001109B9" w:rsidRPr="0032110F" w14:paraId="06347D9E" w14:textId="77777777" w:rsidTr="002825F7">
        <w:trPr>
          <w:trHeight w:val="20"/>
          <w:jc w:val="center"/>
        </w:trPr>
        <w:tc>
          <w:tcPr>
            <w:tcW w:w="2337" w:type="dxa"/>
            <w:vAlign w:val="center"/>
          </w:tcPr>
          <w:p w14:paraId="5F765E0C" w14:textId="289C9407" w:rsidR="001109B9" w:rsidRPr="00320140" w:rsidRDefault="001109B9" w:rsidP="002825F7">
            <w:pPr>
              <w:pStyle w:val="TAC"/>
              <w:rPr>
                <w:rFonts w:cs="Arial"/>
              </w:rPr>
            </w:pPr>
            <w:r w:rsidRPr="00320140">
              <w:rPr>
                <w:rFonts w:cs="Arial"/>
              </w:rPr>
              <w:t>Transmission bandwidth configuration N</w:t>
            </w:r>
            <w:r w:rsidRPr="00320140">
              <w:rPr>
                <w:rFonts w:cs="Arial"/>
                <w:vertAlign w:val="subscript"/>
              </w:rPr>
              <w:t>RB</w:t>
            </w:r>
          </w:p>
        </w:tc>
        <w:tc>
          <w:tcPr>
            <w:tcW w:w="804" w:type="dxa"/>
            <w:vAlign w:val="center"/>
          </w:tcPr>
          <w:p w14:paraId="5B02D616" w14:textId="77777777" w:rsidR="001109B9" w:rsidRPr="00320140" w:rsidRDefault="001109B9" w:rsidP="002825F7">
            <w:pPr>
              <w:pStyle w:val="TAC"/>
              <w:rPr>
                <w:rFonts w:cs="Arial"/>
              </w:rPr>
            </w:pPr>
          </w:p>
        </w:tc>
        <w:tc>
          <w:tcPr>
            <w:tcW w:w="746" w:type="dxa"/>
            <w:shd w:val="clear" w:color="auto" w:fill="auto"/>
            <w:vAlign w:val="center"/>
          </w:tcPr>
          <w:p w14:paraId="16DC0122" w14:textId="5E805DB7" w:rsidR="001109B9" w:rsidRPr="00320140" w:rsidRDefault="00144775" w:rsidP="002825F7">
            <w:pPr>
              <w:pStyle w:val="TAC"/>
              <w:rPr>
                <w:rFonts w:cs="Arial"/>
              </w:rPr>
            </w:pPr>
            <w:r>
              <w:rPr>
                <w:rFonts w:cs="Arial"/>
              </w:rPr>
              <w:t>[26]</w:t>
            </w:r>
          </w:p>
        </w:tc>
        <w:tc>
          <w:tcPr>
            <w:tcW w:w="708" w:type="dxa"/>
            <w:vAlign w:val="center"/>
          </w:tcPr>
          <w:p w14:paraId="1124217D" w14:textId="77777777" w:rsidR="001109B9" w:rsidRPr="00320140" w:rsidRDefault="001109B9" w:rsidP="002825F7">
            <w:pPr>
              <w:pStyle w:val="TAC"/>
              <w:rPr>
                <w:rFonts w:cs="Arial"/>
              </w:rPr>
            </w:pPr>
          </w:p>
        </w:tc>
        <w:tc>
          <w:tcPr>
            <w:tcW w:w="709" w:type="dxa"/>
            <w:vAlign w:val="center"/>
          </w:tcPr>
          <w:p w14:paraId="32256B5D" w14:textId="77777777" w:rsidR="001109B9" w:rsidRPr="00320140" w:rsidRDefault="001109B9" w:rsidP="002825F7">
            <w:pPr>
              <w:pStyle w:val="TAC"/>
              <w:rPr>
                <w:rFonts w:cs="Arial"/>
              </w:rPr>
            </w:pPr>
          </w:p>
        </w:tc>
        <w:tc>
          <w:tcPr>
            <w:tcW w:w="709" w:type="dxa"/>
            <w:vAlign w:val="center"/>
          </w:tcPr>
          <w:p w14:paraId="6094960A" w14:textId="77777777" w:rsidR="001109B9" w:rsidRPr="00320140" w:rsidRDefault="001109B9" w:rsidP="001109B9">
            <w:pPr>
              <w:pStyle w:val="TAC"/>
              <w:jc w:val="left"/>
              <w:rPr>
                <w:rFonts w:cs="Arial"/>
              </w:rPr>
            </w:pPr>
          </w:p>
        </w:tc>
        <w:tc>
          <w:tcPr>
            <w:tcW w:w="731" w:type="dxa"/>
            <w:vAlign w:val="center"/>
          </w:tcPr>
          <w:p w14:paraId="3F4CF3DF" w14:textId="77777777" w:rsidR="001109B9" w:rsidRPr="00320140" w:rsidRDefault="001109B9" w:rsidP="001109B9">
            <w:pPr>
              <w:pStyle w:val="TAC"/>
              <w:jc w:val="left"/>
              <w:rPr>
                <w:rFonts w:cs="Arial"/>
              </w:rPr>
            </w:pPr>
          </w:p>
        </w:tc>
      </w:tr>
      <w:tr w:rsidR="001109B9" w:rsidRPr="0032110F" w14:paraId="45615403" w14:textId="77777777" w:rsidTr="002825F7">
        <w:trPr>
          <w:trHeight w:val="20"/>
          <w:jc w:val="center"/>
        </w:trPr>
        <w:tc>
          <w:tcPr>
            <w:tcW w:w="2337" w:type="dxa"/>
            <w:vAlign w:val="center"/>
          </w:tcPr>
          <w:p w14:paraId="493C5D74" w14:textId="27CFCC70" w:rsidR="001109B9" w:rsidRPr="00320140" w:rsidRDefault="001109B9" w:rsidP="001109B9">
            <w:pPr>
              <w:pStyle w:val="TAC"/>
              <w:rPr>
                <w:rFonts w:cs="Arial"/>
              </w:rPr>
            </w:pPr>
            <w:r w:rsidRPr="001109B9">
              <w:rPr>
                <w:rFonts w:cs="Arial"/>
                <w:b/>
              </w:rPr>
              <w:t>Subcarrier spacing [kHz]</w:t>
            </w:r>
          </w:p>
        </w:tc>
        <w:tc>
          <w:tcPr>
            <w:tcW w:w="4407" w:type="dxa"/>
            <w:gridSpan w:val="6"/>
            <w:vAlign w:val="center"/>
          </w:tcPr>
          <w:p w14:paraId="3AC57D36" w14:textId="51B1CC50" w:rsidR="001109B9" w:rsidRPr="009C11C3" w:rsidRDefault="001109B9" w:rsidP="009C11C3">
            <w:pPr>
              <w:pStyle w:val="TAC"/>
              <w:rPr>
                <w:rFonts w:cs="Arial"/>
                <w:b/>
              </w:rPr>
            </w:pPr>
            <w:r w:rsidRPr="009C11C3">
              <w:rPr>
                <w:rFonts w:cs="Arial"/>
                <w:b/>
              </w:rPr>
              <w:t>60</w:t>
            </w:r>
          </w:p>
        </w:tc>
      </w:tr>
      <w:tr w:rsidR="00D20433" w:rsidRPr="0032110F" w14:paraId="53251721" w14:textId="77777777" w:rsidTr="002825F7">
        <w:trPr>
          <w:trHeight w:val="20"/>
          <w:jc w:val="center"/>
        </w:trPr>
        <w:tc>
          <w:tcPr>
            <w:tcW w:w="2337" w:type="dxa"/>
            <w:vAlign w:val="center"/>
          </w:tcPr>
          <w:p w14:paraId="23120D57" w14:textId="69E2A0DA" w:rsidR="00D20433" w:rsidRPr="00320140" w:rsidRDefault="00D20433" w:rsidP="00D20433">
            <w:pPr>
              <w:pStyle w:val="TAC"/>
              <w:rPr>
                <w:rFonts w:cs="Arial"/>
              </w:rPr>
            </w:pPr>
            <w:r w:rsidRPr="001109B9">
              <w:rPr>
                <w:rFonts w:cs="Arial"/>
                <w:b/>
              </w:rPr>
              <w:t>Channel bandwidth BW</w:t>
            </w:r>
            <w:r w:rsidRPr="001109B9">
              <w:rPr>
                <w:rFonts w:cs="Arial"/>
                <w:b/>
                <w:vertAlign w:val="subscript"/>
              </w:rPr>
              <w:t>Channel</w:t>
            </w:r>
            <w:r w:rsidRPr="001109B9">
              <w:rPr>
                <w:rFonts w:cs="Arial"/>
                <w:b/>
              </w:rPr>
              <w:t xml:space="preserve"> [MHz]</w:t>
            </w:r>
          </w:p>
        </w:tc>
        <w:tc>
          <w:tcPr>
            <w:tcW w:w="804" w:type="dxa"/>
            <w:vAlign w:val="center"/>
          </w:tcPr>
          <w:p w14:paraId="069690AF" w14:textId="6792C777" w:rsidR="00D20433" w:rsidRPr="00D20433" w:rsidRDefault="00D20433" w:rsidP="00D20433">
            <w:pPr>
              <w:pStyle w:val="TAC"/>
              <w:rPr>
                <w:rFonts w:cs="Arial"/>
                <w:b/>
              </w:rPr>
            </w:pPr>
          </w:p>
        </w:tc>
        <w:tc>
          <w:tcPr>
            <w:tcW w:w="746" w:type="dxa"/>
            <w:shd w:val="clear" w:color="auto" w:fill="auto"/>
            <w:vAlign w:val="center"/>
          </w:tcPr>
          <w:p w14:paraId="59394764" w14:textId="7F1A8190" w:rsidR="00D20433" w:rsidRPr="00D20433" w:rsidRDefault="00CA5314" w:rsidP="00D20433">
            <w:pPr>
              <w:pStyle w:val="TAC"/>
              <w:rPr>
                <w:rFonts w:cs="Arial"/>
                <w:b/>
              </w:rPr>
            </w:pPr>
            <w:r>
              <w:rPr>
                <w:rFonts w:cs="Arial"/>
                <w:b/>
              </w:rPr>
              <w:t>[</w:t>
            </w:r>
            <w:r w:rsidR="00D20433" w:rsidRPr="00D20433">
              <w:rPr>
                <w:rFonts w:cs="Arial"/>
                <w:b/>
              </w:rPr>
              <w:t>10</w:t>
            </w:r>
            <w:r>
              <w:rPr>
                <w:rFonts w:cs="Arial"/>
                <w:b/>
              </w:rPr>
              <w:t>]</w:t>
            </w:r>
          </w:p>
        </w:tc>
        <w:tc>
          <w:tcPr>
            <w:tcW w:w="708" w:type="dxa"/>
            <w:vAlign w:val="center"/>
          </w:tcPr>
          <w:p w14:paraId="05749B8D" w14:textId="349DA7BC" w:rsidR="00D20433" w:rsidRPr="00D20433" w:rsidRDefault="00CA5314" w:rsidP="00D20433">
            <w:pPr>
              <w:pStyle w:val="TAC"/>
              <w:rPr>
                <w:rFonts w:cs="Arial"/>
                <w:b/>
              </w:rPr>
            </w:pPr>
            <w:r>
              <w:rPr>
                <w:rFonts w:cs="Arial"/>
                <w:b/>
              </w:rPr>
              <w:t>[</w:t>
            </w:r>
            <w:r w:rsidR="00D20433" w:rsidRPr="00D20433">
              <w:rPr>
                <w:rFonts w:cs="Arial"/>
                <w:b/>
              </w:rPr>
              <w:t>15</w:t>
            </w:r>
            <w:r>
              <w:rPr>
                <w:rFonts w:cs="Arial"/>
                <w:b/>
              </w:rPr>
              <w:t>]</w:t>
            </w:r>
          </w:p>
        </w:tc>
        <w:tc>
          <w:tcPr>
            <w:tcW w:w="709" w:type="dxa"/>
            <w:vAlign w:val="center"/>
          </w:tcPr>
          <w:p w14:paraId="658029FE" w14:textId="46FAC048" w:rsidR="00D20433" w:rsidRPr="00D20433" w:rsidRDefault="00D20433" w:rsidP="00D20433">
            <w:pPr>
              <w:pStyle w:val="TAC"/>
              <w:rPr>
                <w:rFonts w:cs="Arial"/>
                <w:b/>
              </w:rPr>
            </w:pPr>
            <w:r w:rsidRPr="00D20433">
              <w:rPr>
                <w:rFonts w:cs="Arial"/>
                <w:b/>
              </w:rPr>
              <w:t>20</w:t>
            </w:r>
          </w:p>
        </w:tc>
        <w:tc>
          <w:tcPr>
            <w:tcW w:w="709" w:type="dxa"/>
            <w:vAlign w:val="center"/>
          </w:tcPr>
          <w:p w14:paraId="00D7D0D7" w14:textId="1CAF72E9" w:rsidR="00D20433" w:rsidRPr="00D20433" w:rsidRDefault="00D20433" w:rsidP="00D20433">
            <w:pPr>
              <w:pStyle w:val="TAC"/>
              <w:jc w:val="left"/>
              <w:rPr>
                <w:rFonts w:cs="Arial"/>
                <w:b/>
              </w:rPr>
            </w:pPr>
            <w:r w:rsidRPr="00D20433">
              <w:rPr>
                <w:rFonts w:cs="Arial"/>
                <w:b/>
              </w:rPr>
              <w:t>TBD</w:t>
            </w:r>
          </w:p>
        </w:tc>
        <w:tc>
          <w:tcPr>
            <w:tcW w:w="731" w:type="dxa"/>
            <w:vAlign w:val="center"/>
          </w:tcPr>
          <w:p w14:paraId="72737A3B" w14:textId="11D80593" w:rsidR="00D20433" w:rsidRPr="00D20433" w:rsidRDefault="00D20433" w:rsidP="00D20433">
            <w:pPr>
              <w:pStyle w:val="TAC"/>
              <w:jc w:val="left"/>
              <w:rPr>
                <w:rFonts w:cs="Arial"/>
                <w:b/>
              </w:rPr>
            </w:pPr>
            <w:r w:rsidRPr="00D20433">
              <w:rPr>
                <w:rFonts w:cs="Arial"/>
                <w:b/>
              </w:rPr>
              <w:t>TBD</w:t>
            </w:r>
          </w:p>
        </w:tc>
      </w:tr>
      <w:tr w:rsidR="001109B9" w:rsidRPr="0032110F" w14:paraId="75E2B71B" w14:textId="77777777" w:rsidTr="002825F7">
        <w:trPr>
          <w:trHeight w:val="20"/>
          <w:jc w:val="center"/>
        </w:trPr>
        <w:tc>
          <w:tcPr>
            <w:tcW w:w="2337" w:type="dxa"/>
            <w:vAlign w:val="center"/>
          </w:tcPr>
          <w:p w14:paraId="7002CA07" w14:textId="3641C5EE" w:rsidR="001109B9" w:rsidRPr="00320140" w:rsidRDefault="001109B9" w:rsidP="001109B9">
            <w:pPr>
              <w:pStyle w:val="TAC"/>
              <w:rPr>
                <w:rFonts w:cs="Arial"/>
              </w:rPr>
            </w:pPr>
            <w:r w:rsidRPr="00320140">
              <w:rPr>
                <w:rFonts w:cs="Arial"/>
              </w:rPr>
              <w:t>Transmission bandwidth configuration N</w:t>
            </w:r>
            <w:r w:rsidRPr="00320140">
              <w:rPr>
                <w:rFonts w:cs="Arial"/>
                <w:vertAlign w:val="subscript"/>
              </w:rPr>
              <w:t>RB</w:t>
            </w:r>
          </w:p>
        </w:tc>
        <w:tc>
          <w:tcPr>
            <w:tcW w:w="804" w:type="dxa"/>
            <w:vAlign w:val="center"/>
          </w:tcPr>
          <w:p w14:paraId="360D64B5" w14:textId="77777777" w:rsidR="001109B9" w:rsidRPr="00320140" w:rsidRDefault="001109B9" w:rsidP="001109B9">
            <w:pPr>
              <w:pStyle w:val="TAC"/>
              <w:rPr>
                <w:rFonts w:cs="Arial"/>
              </w:rPr>
            </w:pPr>
          </w:p>
        </w:tc>
        <w:tc>
          <w:tcPr>
            <w:tcW w:w="746" w:type="dxa"/>
            <w:shd w:val="clear" w:color="auto" w:fill="auto"/>
            <w:vAlign w:val="center"/>
          </w:tcPr>
          <w:p w14:paraId="3ADD3877" w14:textId="03DE7E06" w:rsidR="001109B9" w:rsidRPr="00320140" w:rsidRDefault="00D20433" w:rsidP="001109B9">
            <w:pPr>
              <w:pStyle w:val="TAC"/>
              <w:rPr>
                <w:rFonts w:cs="Arial"/>
              </w:rPr>
            </w:pPr>
            <w:r>
              <w:rPr>
                <w:rFonts w:cs="Arial"/>
              </w:rPr>
              <w:t>[13]</w:t>
            </w:r>
          </w:p>
        </w:tc>
        <w:tc>
          <w:tcPr>
            <w:tcW w:w="708" w:type="dxa"/>
            <w:vAlign w:val="center"/>
          </w:tcPr>
          <w:p w14:paraId="53CBF65C" w14:textId="77777777" w:rsidR="001109B9" w:rsidRPr="00320140" w:rsidRDefault="001109B9" w:rsidP="001109B9">
            <w:pPr>
              <w:pStyle w:val="TAC"/>
              <w:rPr>
                <w:rFonts w:cs="Arial"/>
              </w:rPr>
            </w:pPr>
          </w:p>
        </w:tc>
        <w:tc>
          <w:tcPr>
            <w:tcW w:w="709" w:type="dxa"/>
            <w:vAlign w:val="center"/>
          </w:tcPr>
          <w:p w14:paraId="52B70C0D" w14:textId="77777777" w:rsidR="001109B9" w:rsidRPr="00320140" w:rsidRDefault="001109B9" w:rsidP="001109B9">
            <w:pPr>
              <w:pStyle w:val="TAC"/>
              <w:rPr>
                <w:rFonts w:cs="Arial"/>
              </w:rPr>
            </w:pPr>
          </w:p>
        </w:tc>
        <w:tc>
          <w:tcPr>
            <w:tcW w:w="709" w:type="dxa"/>
            <w:vAlign w:val="center"/>
          </w:tcPr>
          <w:p w14:paraId="53562663" w14:textId="77777777" w:rsidR="001109B9" w:rsidRPr="00320140" w:rsidRDefault="001109B9" w:rsidP="001109B9">
            <w:pPr>
              <w:pStyle w:val="TAC"/>
              <w:jc w:val="left"/>
              <w:rPr>
                <w:rFonts w:cs="Arial"/>
              </w:rPr>
            </w:pPr>
          </w:p>
        </w:tc>
        <w:tc>
          <w:tcPr>
            <w:tcW w:w="731" w:type="dxa"/>
            <w:vAlign w:val="center"/>
          </w:tcPr>
          <w:p w14:paraId="2B0B91BD" w14:textId="77777777" w:rsidR="001109B9" w:rsidRPr="00320140" w:rsidRDefault="001109B9" w:rsidP="001109B9">
            <w:pPr>
              <w:pStyle w:val="TAC"/>
              <w:jc w:val="left"/>
              <w:rPr>
                <w:rFonts w:cs="Arial"/>
              </w:rPr>
            </w:pPr>
          </w:p>
        </w:tc>
      </w:tr>
    </w:tbl>
    <w:p w14:paraId="647F3056" w14:textId="77777777" w:rsidR="0053584A" w:rsidRDefault="0053584A" w:rsidP="0053584A"/>
    <w:p w14:paraId="58B0CCC6" w14:textId="75D2F381" w:rsidR="00BC3936" w:rsidRDefault="00BC3936" w:rsidP="00357FD7"/>
    <w:p w14:paraId="4FBFC9C0" w14:textId="221D93AA" w:rsidR="00CD4C7B" w:rsidRPr="006E13D1" w:rsidRDefault="00C608C8" w:rsidP="00CD4C7B">
      <w:pPr>
        <w:pStyle w:val="Heading1"/>
      </w:pPr>
      <w:r>
        <w:t>3</w:t>
      </w:r>
      <w:r>
        <w:tab/>
        <w:t>Conclusion</w:t>
      </w:r>
      <w:r w:rsidR="00F909AE">
        <w:t>s</w:t>
      </w:r>
    </w:p>
    <w:p w14:paraId="0375D487" w14:textId="77777777" w:rsidR="00F02705" w:rsidRDefault="00F02705" w:rsidP="00F02705">
      <w:pPr>
        <w:spacing w:after="0"/>
        <w:rPr>
          <w:bCs/>
          <w:lang w:val="en-US"/>
        </w:rPr>
      </w:pPr>
      <w:r>
        <w:rPr>
          <w:bCs/>
          <w:lang w:val="en-US"/>
        </w:rPr>
        <w:t xml:space="preserve">In this contribution, we have discussed how to define spectrum utilization in NR and what aspects need to be studied further to conclude the necessary figures for the NR specifications. </w:t>
      </w:r>
    </w:p>
    <w:p w14:paraId="39A3B34D" w14:textId="77777777" w:rsidR="00F02705" w:rsidRDefault="00F02705" w:rsidP="00F02705">
      <w:pPr>
        <w:spacing w:after="0"/>
        <w:rPr>
          <w:bCs/>
          <w:lang w:val="en-US"/>
        </w:rPr>
      </w:pPr>
    </w:p>
    <w:p w14:paraId="3AA57838" w14:textId="6DBEC2B5" w:rsidR="00F02705" w:rsidRDefault="00F02705" w:rsidP="00F02705">
      <w:pPr>
        <w:spacing w:after="0"/>
        <w:rPr>
          <w:bCs/>
          <w:lang w:val="en-US"/>
        </w:rPr>
      </w:pPr>
      <w:r>
        <w:rPr>
          <w:bCs/>
          <w:lang w:val="en-US"/>
        </w:rPr>
        <w:t>Based on the discussions we propose, that similarly as for LTE, NR spectrum utilization is defined indirectly by specifying the number of PRBs per NR channel bandwidth and subcarrier spacings. As subcarrier spacings and channel bandwidth for below and above 6 GHz are expected to be different, separate below and above 6 GHz requiremen</w:t>
      </w:r>
      <w:r w:rsidR="0067475A">
        <w:rPr>
          <w:bCs/>
          <w:lang w:val="en-US"/>
        </w:rPr>
        <w:t>t</w:t>
      </w:r>
      <w:r>
        <w:rPr>
          <w:bCs/>
          <w:lang w:val="en-US"/>
        </w:rPr>
        <w:t xml:space="preserve">s </w:t>
      </w:r>
      <w:r>
        <w:rPr>
          <w:bCs/>
          <w:lang w:val="en-US"/>
        </w:rPr>
        <w:lastRenderedPageBreak/>
        <w:t>should be specified. In table below we have indicated how the requirements could be specified for NR frequency bands below 6 GHz in TS38.101:</w:t>
      </w:r>
    </w:p>
    <w:p w14:paraId="1AE5C8D8" w14:textId="77777777" w:rsidR="00F02705" w:rsidRDefault="00F02705" w:rsidP="00F02705">
      <w:pPr>
        <w:spacing w:after="0"/>
        <w:rPr>
          <w:bCs/>
          <w:lang w:val="en-US"/>
        </w:rPr>
      </w:pPr>
    </w:p>
    <w:p w14:paraId="4705F83D" w14:textId="77777777" w:rsidR="00F02705" w:rsidRPr="0032110F" w:rsidRDefault="00F02705" w:rsidP="00F02705">
      <w:pPr>
        <w:pStyle w:val="TH"/>
      </w:pPr>
      <w:r>
        <w:t>Table x.y-z</w:t>
      </w:r>
      <w:r w:rsidRPr="0032110F">
        <w:t>: Transmission bandwidth configuration N</w:t>
      </w:r>
      <w:r w:rsidRPr="0032110F">
        <w:rPr>
          <w:vertAlign w:val="subscript"/>
        </w:rPr>
        <w:t>RB</w:t>
      </w:r>
      <w:r w:rsidRPr="0032110F">
        <w:t xml:space="preserve"> </w:t>
      </w:r>
      <w:r>
        <w:t>for NR frequency bands below 6GHz</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F02705" w:rsidRPr="0032110F" w14:paraId="63426B53" w14:textId="77777777" w:rsidTr="002825F7">
        <w:trPr>
          <w:trHeight w:val="20"/>
          <w:jc w:val="center"/>
        </w:trPr>
        <w:tc>
          <w:tcPr>
            <w:tcW w:w="2337" w:type="dxa"/>
            <w:vAlign w:val="center"/>
          </w:tcPr>
          <w:p w14:paraId="4B111194" w14:textId="77777777" w:rsidR="00F02705" w:rsidRPr="00320140" w:rsidRDefault="00F02705" w:rsidP="002825F7">
            <w:pPr>
              <w:pStyle w:val="TAH"/>
              <w:rPr>
                <w:rFonts w:cs="Arial"/>
              </w:rPr>
            </w:pPr>
            <w:r>
              <w:rPr>
                <w:rFonts w:cs="Arial"/>
              </w:rPr>
              <w:t>Subcarrier spacing [kHz]</w:t>
            </w:r>
          </w:p>
        </w:tc>
        <w:tc>
          <w:tcPr>
            <w:tcW w:w="4407" w:type="dxa"/>
            <w:gridSpan w:val="6"/>
            <w:vAlign w:val="center"/>
          </w:tcPr>
          <w:p w14:paraId="68DC374D" w14:textId="77777777" w:rsidR="00F02705" w:rsidRPr="00320140" w:rsidRDefault="00F02705" w:rsidP="002825F7">
            <w:pPr>
              <w:pStyle w:val="TAH"/>
              <w:rPr>
                <w:rFonts w:cs="Arial"/>
              </w:rPr>
            </w:pPr>
            <w:r>
              <w:rPr>
                <w:rFonts w:cs="Arial"/>
              </w:rPr>
              <w:t xml:space="preserve">15 </w:t>
            </w:r>
          </w:p>
        </w:tc>
      </w:tr>
      <w:tr w:rsidR="00F02705" w:rsidRPr="0032110F" w14:paraId="5A38DB98" w14:textId="77777777" w:rsidTr="002825F7">
        <w:trPr>
          <w:trHeight w:val="20"/>
          <w:jc w:val="center"/>
        </w:trPr>
        <w:tc>
          <w:tcPr>
            <w:tcW w:w="2337" w:type="dxa"/>
            <w:vAlign w:val="center"/>
          </w:tcPr>
          <w:p w14:paraId="061C2DA4" w14:textId="77777777" w:rsidR="00F02705" w:rsidRPr="00320140" w:rsidRDefault="00F02705" w:rsidP="002825F7">
            <w:pPr>
              <w:pStyle w:val="TAH"/>
              <w:rPr>
                <w:rFonts w:cs="Arial"/>
              </w:rPr>
            </w:pPr>
            <w:r w:rsidRPr="00320140">
              <w:rPr>
                <w:rFonts w:cs="Arial"/>
              </w:rPr>
              <w:t>Channel bandwidth BW</w:t>
            </w:r>
            <w:r w:rsidRPr="00320140">
              <w:rPr>
                <w:rFonts w:cs="Arial"/>
                <w:vertAlign w:val="subscript"/>
              </w:rPr>
              <w:t>Channel</w:t>
            </w:r>
            <w:r w:rsidRPr="00320140">
              <w:rPr>
                <w:rFonts w:cs="Arial"/>
              </w:rPr>
              <w:t xml:space="preserve"> [MHz]</w:t>
            </w:r>
          </w:p>
        </w:tc>
        <w:tc>
          <w:tcPr>
            <w:tcW w:w="804" w:type="dxa"/>
            <w:vAlign w:val="center"/>
          </w:tcPr>
          <w:p w14:paraId="020FA1EE" w14:textId="04FAFCFF" w:rsidR="00F02705" w:rsidRDefault="00C120C0" w:rsidP="002825F7">
            <w:pPr>
              <w:pStyle w:val="TAH"/>
              <w:rPr>
                <w:rFonts w:cs="Arial"/>
              </w:rPr>
            </w:pPr>
            <w:r>
              <w:rPr>
                <w:rFonts w:cs="Arial"/>
              </w:rPr>
              <w:t>[5]</w:t>
            </w:r>
          </w:p>
        </w:tc>
        <w:tc>
          <w:tcPr>
            <w:tcW w:w="746" w:type="dxa"/>
            <w:shd w:val="clear" w:color="auto" w:fill="auto"/>
            <w:vAlign w:val="center"/>
          </w:tcPr>
          <w:p w14:paraId="2CC3E787" w14:textId="77777777" w:rsidR="00F02705" w:rsidRPr="00320140" w:rsidRDefault="00F02705" w:rsidP="002825F7">
            <w:pPr>
              <w:pStyle w:val="TAH"/>
              <w:rPr>
                <w:rFonts w:cs="Arial"/>
              </w:rPr>
            </w:pPr>
            <w:r>
              <w:rPr>
                <w:rFonts w:cs="Arial"/>
              </w:rPr>
              <w:t>10</w:t>
            </w:r>
          </w:p>
        </w:tc>
        <w:tc>
          <w:tcPr>
            <w:tcW w:w="708" w:type="dxa"/>
            <w:vAlign w:val="center"/>
          </w:tcPr>
          <w:p w14:paraId="7295E522" w14:textId="77777777" w:rsidR="00F02705" w:rsidRPr="00320140" w:rsidRDefault="00F02705" w:rsidP="002825F7">
            <w:pPr>
              <w:pStyle w:val="TAH"/>
              <w:rPr>
                <w:rFonts w:cs="Arial"/>
              </w:rPr>
            </w:pPr>
            <w:r>
              <w:rPr>
                <w:rFonts w:cs="Arial"/>
              </w:rPr>
              <w:t>15</w:t>
            </w:r>
          </w:p>
        </w:tc>
        <w:tc>
          <w:tcPr>
            <w:tcW w:w="709" w:type="dxa"/>
            <w:vAlign w:val="center"/>
          </w:tcPr>
          <w:p w14:paraId="7B8437F1" w14:textId="77777777" w:rsidR="00F02705" w:rsidRPr="00320140" w:rsidRDefault="00F02705" w:rsidP="002825F7">
            <w:pPr>
              <w:pStyle w:val="TAH"/>
              <w:rPr>
                <w:rFonts w:cs="Arial"/>
              </w:rPr>
            </w:pPr>
            <w:r>
              <w:rPr>
                <w:rFonts w:cs="Arial"/>
              </w:rPr>
              <w:t>20</w:t>
            </w:r>
          </w:p>
        </w:tc>
        <w:tc>
          <w:tcPr>
            <w:tcW w:w="709" w:type="dxa"/>
            <w:vAlign w:val="center"/>
          </w:tcPr>
          <w:p w14:paraId="1A631CA7" w14:textId="77777777" w:rsidR="00F02705" w:rsidRPr="00320140" w:rsidRDefault="00F02705" w:rsidP="002825F7">
            <w:pPr>
              <w:pStyle w:val="TAH"/>
              <w:rPr>
                <w:rFonts w:cs="Arial"/>
              </w:rPr>
            </w:pPr>
            <w:r>
              <w:rPr>
                <w:rFonts w:cs="Arial"/>
              </w:rPr>
              <w:t>TBD</w:t>
            </w:r>
          </w:p>
        </w:tc>
        <w:tc>
          <w:tcPr>
            <w:tcW w:w="731" w:type="dxa"/>
            <w:vAlign w:val="center"/>
          </w:tcPr>
          <w:p w14:paraId="674EEF22" w14:textId="2BC8712B" w:rsidR="00F02705" w:rsidRPr="001778D1" w:rsidRDefault="00974C31" w:rsidP="002825F7">
            <w:pPr>
              <w:pStyle w:val="TAH"/>
              <w:rPr>
                <w:rFonts w:cs="Arial"/>
              </w:rPr>
            </w:pPr>
            <w:r w:rsidRPr="001778D1">
              <w:rPr>
                <w:rFonts w:cs="Arial"/>
              </w:rPr>
              <w:t>[50]</w:t>
            </w:r>
          </w:p>
        </w:tc>
      </w:tr>
      <w:tr w:rsidR="00F02705" w:rsidRPr="0032110F" w14:paraId="0A4A5D2A" w14:textId="77777777" w:rsidTr="002825F7">
        <w:trPr>
          <w:trHeight w:val="20"/>
          <w:jc w:val="center"/>
        </w:trPr>
        <w:tc>
          <w:tcPr>
            <w:tcW w:w="2337" w:type="dxa"/>
            <w:vAlign w:val="center"/>
          </w:tcPr>
          <w:p w14:paraId="524D33CE" w14:textId="77777777" w:rsidR="00F02705" w:rsidRPr="00320140" w:rsidRDefault="00F02705" w:rsidP="002825F7">
            <w:pPr>
              <w:pStyle w:val="TAC"/>
              <w:rPr>
                <w:rFonts w:cs="Arial"/>
              </w:rPr>
            </w:pPr>
            <w:r w:rsidRPr="00320140">
              <w:rPr>
                <w:rFonts w:cs="Arial"/>
              </w:rPr>
              <w:t>Transmission bandwidth configuration N</w:t>
            </w:r>
            <w:r w:rsidRPr="00320140">
              <w:rPr>
                <w:rFonts w:cs="Arial"/>
                <w:vertAlign w:val="subscript"/>
              </w:rPr>
              <w:t>RB</w:t>
            </w:r>
          </w:p>
        </w:tc>
        <w:tc>
          <w:tcPr>
            <w:tcW w:w="804" w:type="dxa"/>
            <w:vAlign w:val="center"/>
          </w:tcPr>
          <w:p w14:paraId="76C93AA7" w14:textId="6211F63C" w:rsidR="00F02705" w:rsidRPr="00320140" w:rsidRDefault="00F02705" w:rsidP="002825F7">
            <w:pPr>
              <w:pStyle w:val="TAC"/>
              <w:rPr>
                <w:rFonts w:cs="Arial"/>
              </w:rPr>
            </w:pPr>
          </w:p>
        </w:tc>
        <w:tc>
          <w:tcPr>
            <w:tcW w:w="746" w:type="dxa"/>
            <w:shd w:val="clear" w:color="auto" w:fill="auto"/>
            <w:vAlign w:val="center"/>
          </w:tcPr>
          <w:p w14:paraId="20DC0A30" w14:textId="77777777" w:rsidR="00F02705" w:rsidRPr="00320140" w:rsidRDefault="00F02705" w:rsidP="002825F7">
            <w:pPr>
              <w:pStyle w:val="TAC"/>
              <w:rPr>
                <w:rFonts w:cs="Arial"/>
              </w:rPr>
            </w:pPr>
            <w:r>
              <w:rPr>
                <w:rFonts w:cs="Arial"/>
              </w:rPr>
              <w:t>[52]</w:t>
            </w:r>
          </w:p>
        </w:tc>
        <w:tc>
          <w:tcPr>
            <w:tcW w:w="708" w:type="dxa"/>
            <w:vAlign w:val="center"/>
          </w:tcPr>
          <w:p w14:paraId="347F8E1B" w14:textId="77777777" w:rsidR="00F02705" w:rsidRPr="00320140" w:rsidRDefault="00F02705" w:rsidP="002825F7">
            <w:pPr>
              <w:pStyle w:val="TAC"/>
              <w:rPr>
                <w:rFonts w:cs="Arial"/>
              </w:rPr>
            </w:pPr>
          </w:p>
        </w:tc>
        <w:tc>
          <w:tcPr>
            <w:tcW w:w="709" w:type="dxa"/>
            <w:vAlign w:val="center"/>
          </w:tcPr>
          <w:p w14:paraId="1C7B8444" w14:textId="77777777" w:rsidR="00F02705" w:rsidRPr="00320140" w:rsidRDefault="00F02705" w:rsidP="002825F7">
            <w:pPr>
              <w:pStyle w:val="TAC"/>
              <w:rPr>
                <w:rFonts w:cs="Arial"/>
              </w:rPr>
            </w:pPr>
          </w:p>
        </w:tc>
        <w:tc>
          <w:tcPr>
            <w:tcW w:w="709" w:type="dxa"/>
            <w:vAlign w:val="center"/>
          </w:tcPr>
          <w:p w14:paraId="498DF21B" w14:textId="77777777" w:rsidR="00F02705" w:rsidRPr="00320140" w:rsidRDefault="00F02705" w:rsidP="002825F7">
            <w:pPr>
              <w:pStyle w:val="TAC"/>
              <w:jc w:val="left"/>
              <w:rPr>
                <w:rFonts w:cs="Arial"/>
              </w:rPr>
            </w:pPr>
          </w:p>
        </w:tc>
        <w:tc>
          <w:tcPr>
            <w:tcW w:w="731" w:type="dxa"/>
            <w:vAlign w:val="center"/>
          </w:tcPr>
          <w:p w14:paraId="658DC1A2" w14:textId="77777777" w:rsidR="00F02705" w:rsidRPr="001778D1" w:rsidRDefault="00F02705" w:rsidP="002825F7">
            <w:pPr>
              <w:pStyle w:val="TAC"/>
              <w:jc w:val="left"/>
              <w:rPr>
                <w:rFonts w:cs="Arial"/>
              </w:rPr>
            </w:pPr>
          </w:p>
        </w:tc>
      </w:tr>
      <w:tr w:rsidR="00F02705" w:rsidRPr="0032110F" w14:paraId="17E94D39" w14:textId="77777777" w:rsidTr="002825F7">
        <w:trPr>
          <w:trHeight w:val="20"/>
          <w:jc w:val="center"/>
        </w:trPr>
        <w:tc>
          <w:tcPr>
            <w:tcW w:w="2337" w:type="dxa"/>
            <w:vAlign w:val="center"/>
          </w:tcPr>
          <w:p w14:paraId="61E4CAA7" w14:textId="77777777" w:rsidR="00F02705" w:rsidRPr="001109B9" w:rsidRDefault="00F02705" w:rsidP="002825F7">
            <w:pPr>
              <w:pStyle w:val="TAC"/>
              <w:rPr>
                <w:rFonts w:cs="Arial"/>
                <w:b/>
              </w:rPr>
            </w:pPr>
            <w:r w:rsidRPr="001109B9">
              <w:rPr>
                <w:rFonts w:cs="Arial"/>
                <w:b/>
              </w:rPr>
              <w:t>Subcarrier spacing [kHz]</w:t>
            </w:r>
          </w:p>
        </w:tc>
        <w:tc>
          <w:tcPr>
            <w:tcW w:w="4407" w:type="dxa"/>
            <w:gridSpan w:val="6"/>
            <w:vAlign w:val="center"/>
          </w:tcPr>
          <w:p w14:paraId="213F63ED" w14:textId="77777777" w:rsidR="00F02705" w:rsidRPr="001778D1" w:rsidRDefault="00F02705" w:rsidP="002825F7">
            <w:pPr>
              <w:pStyle w:val="TAC"/>
              <w:rPr>
                <w:rFonts w:cs="Arial"/>
                <w:b/>
              </w:rPr>
            </w:pPr>
            <w:r w:rsidRPr="001778D1">
              <w:rPr>
                <w:rFonts w:cs="Arial"/>
                <w:b/>
              </w:rPr>
              <w:t>30</w:t>
            </w:r>
          </w:p>
        </w:tc>
      </w:tr>
      <w:tr w:rsidR="00F02705" w:rsidRPr="0032110F" w14:paraId="209629E4" w14:textId="77777777" w:rsidTr="002825F7">
        <w:trPr>
          <w:trHeight w:val="20"/>
          <w:jc w:val="center"/>
        </w:trPr>
        <w:tc>
          <w:tcPr>
            <w:tcW w:w="2337" w:type="dxa"/>
            <w:vAlign w:val="center"/>
          </w:tcPr>
          <w:p w14:paraId="6C443A2D" w14:textId="77777777" w:rsidR="00F02705" w:rsidRPr="001109B9" w:rsidRDefault="00F02705" w:rsidP="002825F7">
            <w:pPr>
              <w:pStyle w:val="TAC"/>
              <w:rPr>
                <w:rFonts w:cs="Arial"/>
                <w:b/>
              </w:rPr>
            </w:pPr>
            <w:r w:rsidRPr="001109B9">
              <w:rPr>
                <w:rFonts w:cs="Arial"/>
                <w:b/>
              </w:rPr>
              <w:t>Channel bandwidth BW</w:t>
            </w:r>
            <w:r w:rsidRPr="001109B9">
              <w:rPr>
                <w:rFonts w:cs="Arial"/>
                <w:b/>
                <w:vertAlign w:val="subscript"/>
              </w:rPr>
              <w:t>Channel</w:t>
            </w:r>
            <w:r w:rsidRPr="001109B9">
              <w:rPr>
                <w:rFonts w:cs="Arial"/>
                <w:b/>
              </w:rPr>
              <w:t xml:space="preserve"> [MHz]</w:t>
            </w:r>
          </w:p>
        </w:tc>
        <w:tc>
          <w:tcPr>
            <w:tcW w:w="804" w:type="dxa"/>
            <w:vAlign w:val="center"/>
          </w:tcPr>
          <w:p w14:paraId="1078D294" w14:textId="77777777" w:rsidR="00F02705" w:rsidRPr="00D20433" w:rsidRDefault="00F02705" w:rsidP="002825F7">
            <w:pPr>
              <w:pStyle w:val="TAC"/>
              <w:rPr>
                <w:rFonts w:cs="Arial"/>
                <w:b/>
              </w:rPr>
            </w:pPr>
            <w:r w:rsidRPr="00D20433">
              <w:rPr>
                <w:rFonts w:cs="Arial"/>
                <w:b/>
              </w:rPr>
              <w:t>TBD</w:t>
            </w:r>
          </w:p>
        </w:tc>
        <w:tc>
          <w:tcPr>
            <w:tcW w:w="746" w:type="dxa"/>
            <w:shd w:val="clear" w:color="auto" w:fill="auto"/>
            <w:vAlign w:val="center"/>
          </w:tcPr>
          <w:p w14:paraId="06331F8E" w14:textId="77777777" w:rsidR="00F02705" w:rsidRPr="00D20433" w:rsidRDefault="00F02705" w:rsidP="002825F7">
            <w:pPr>
              <w:pStyle w:val="TAC"/>
              <w:rPr>
                <w:rFonts w:cs="Arial"/>
                <w:b/>
              </w:rPr>
            </w:pPr>
            <w:r w:rsidRPr="00D20433">
              <w:rPr>
                <w:rFonts w:cs="Arial"/>
                <w:b/>
              </w:rPr>
              <w:t>10</w:t>
            </w:r>
          </w:p>
        </w:tc>
        <w:tc>
          <w:tcPr>
            <w:tcW w:w="708" w:type="dxa"/>
            <w:vAlign w:val="center"/>
          </w:tcPr>
          <w:p w14:paraId="724E4F5E" w14:textId="77777777" w:rsidR="00F02705" w:rsidRPr="00D20433" w:rsidRDefault="00F02705" w:rsidP="002825F7">
            <w:pPr>
              <w:pStyle w:val="TAC"/>
              <w:rPr>
                <w:rFonts w:cs="Arial"/>
                <w:b/>
              </w:rPr>
            </w:pPr>
            <w:r w:rsidRPr="00D20433">
              <w:rPr>
                <w:rFonts w:cs="Arial"/>
                <w:b/>
              </w:rPr>
              <w:t>15</w:t>
            </w:r>
          </w:p>
        </w:tc>
        <w:tc>
          <w:tcPr>
            <w:tcW w:w="709" w:type="dxa"/>
            <w:vAlign w:val="center"/>
          </w:tcPr>
          <w:p w14:paraId="4147BF9C" w14:textId="77777777" w:rsidR="00F02705" w:rsidRPr="00D20433" w:rsidRDefault="00F02705" w:rsidP="002825F7">
            <w:pPr>
              <w:pStyle w:val="TAC"/>
              <w:rPr>
                <w:rFonts w:cs="Arial"/>
                <w:b/>
              </w:rPr>
            </w:pPr>
            <w:r w:rsidRPr="00D20433">
              <w:rPr>
                <w:rFonts w:cs="Arial"/>
                <w:b/>
              </w:rPr>
              <w:t>20</w:t>
            </w:r>
          </w:p>
        </w:tc>
        <w:tc>
          <w:tcPr>
            <w:tcW w:w="709" w:type="dxa"/>
            <w:vAlign w:val="center"/>
          </w:tcPr>
          <w:p w14:paraId="788EA440" w14:textId="77777777" w:rsidR="00F02705" w:rsidRPr="00D20433" w:rsidRDefault="00F02705" w:rsidP="002825F7">
            <w:pPr>
              <w:pStyle w:val="TAC"/>
              <w:jc w:val="left"/>
              <w:rPr>
                <w:rFonts w:cs="Arial"/>
                <w:b/>
              </w:rPr>
            </w:pPr>
            <w:r w:rsidRPr="00D20433">
              <w:rPr>
                <w:rFonts w:cs="Arial"/>
                <w:b/>
              </w:rPr>
              <w:t>TBD</w:t>
            </w:r>
          </w:p>
        </w:tc>
        <w:tc>
          <w:tcPr>
            <w:tcW w:w="731" w:type="dxa"/>
            <w:vAlign w:val="center"/>
          </w:tcPr>
          <w:p w14:paraId="134030A0" w14:textId="43AA50BE" w:rsidR="00F02705" w:rsidRPr="001778D1" w:rsidRDefault="00974C31" w:rsidP="002825F7">
            <w:pPr>
              <w:pStyle w:val="TAC"/>
              <w:jc w:val="left"/>
              <w:rPr>
                <w:rFonts w:cs="Arial"/>
                <w:b/>
              </w:rPr>
            </w:pPr>
            <w:r w:rsidRPr="001778D1">
              <w:rPr>
                <w:rFonts w:cs="Arial"/>
                <w:b/>
              </w:rPr>
              <w:t>[100]</w:t>
            </w:r>
          </w:p>
        </w:tc>
      </w:tr>
      <w:tr w:rsidR="00F02705" w:rsidRPr="0032110F" w14:paraId="24C6D953" w14:textId="77777777" w:rsidTr="002825F7">
        <w:trPr>
          <w:trHeight w:val="20"/>
          <w:jc w:val="center"/>
        </w:trPr>
        <w:tc>
          <w:tcPr>
            <w:tcW w:w="2337" w:type="dxa"/>
            <w:vAlign w:val="center"/>
          </w:tcPr>
          <w:p w14:paraId="3BD1D969" w14:textId="77777777" w:rsidR="00F02705" w:rsidRPr="00320140" w:rsidRDefault="00F02705" w:rsidP="002825F7">
            <w:pPr>
              <w:pStyle w:val="TAC"/>
              <w:rPr>
                <w:rFonts w:cs="Arial"/>
              </w:rPr>
            </w:pPr>
            <w:r w:rsidRPr="00320140">
              <w:rPr>
                <w:rFonts w:cs="Arial"/>
              </w:rPr>
              <w:t>Transmission bandwidth configuration N</w:t>
            </w:r>
            <w:r w:rsidRPr="00320140">
              <w:rPr>
                <w:rFonts w:cs="Arial"/>
                <w:vertAlign w:val="subscript"/>
              </w:rPr>
              <w:t>RB</w:t>
            </w:r>
          </w:p>
        </w:tc>
        <w:tc>
          <w:tcPr>
            <w:tcW w:w="804" w:type="dxa"/>
            <w:vAlign w:val="center"/>
          </w:tcPr>
          <w:p w14:paraId="7C8E52DA" w14:textId="77777777" w:rsidR="00F02705" w:rsidRPr="00320140" w:rsidRDefault="00F02705" w:rsidP="002825F7">
            <w:pPr>
              <w:pStyle w:val="TAC"/>
              <w:rPr>
                <w:rFonts w:cs="Arial"/>
              </w:rPr>
            </w:pPr>
          </w:p>
        </w:tc>
        <w:tc>
          <w:tcPr>
            <w:tcW w:w="746" w:type="dxa"/>
            <w:shd w:val="clear" w:color="auto" w:fill="auto"/>
            <w:vAlign w:val="center"/>
          </w:tcPr>
          <w:p w14:paraId="7B0D80DC" w14:textId="739F6C29" w:rsidR="00F02705" w:rsidRPr="00320140" w:rsidRDefault="00144775" w:rsidP="002825F7">
            <w:pPr>
              <w:pStyle w:val="TAC"/>
              <w:rPr>
                <w:rFonts w:cs="Arial"/>
              </w:rPr>
            </w:pPr>
            <w:r>
              <w:rPr>
                <w:rFonts w:cs="Arial"/>
              </w:rPr>
              <w:t>[26]</w:t>
            </w:r>
          </w:p>
        </w:tc>
        <w:tc>
          <w:tcPr>
            <w:tcW w:w="708" w:type="dxa"/>
            <w:vAlign w:val="center"/>
          </w:tcPr>
          <w:p w14:paraId="501567F0" w14:textId="77777777" w:rsidR="00F02705" w:rsidRPr="00320140" w:rsidRDefault="00F02705" w:rsidP="002825F7">
            <w:pPr>
              <w:pStyle w:val="TAC"/>
              <w:rPr>
                <w:rFonts w:cs="Arial"/>
              </w:rPr>
            </w:pPr>
          </w:p>
        </w:tc>
        <w:tc>
          <w:tcPr>
            <w:tcW w:w="709" w:type="dxa"/>
            <w:vAlign w:val="center"/>
          </w:tcPr>
          <w:p w14:paraId="6041514E" w14:textId="77777777" w:rsidR="00F02705" w:rsidRPr="00320140" w:rsidRDefault="00F02705" w:rsidP="002825F7">
            <w:pPr>
              <w:pStyle w:val="TAC"/>
              <w:rPr>
                <w:rFonts w:cs="Arial"/>
              </w:rPr>
            </w:pPr>
          </w:p>
        </w:tc>
        <w:tc>
          <w:tcPr>
            <w:tcW w:w="709" w:type="dxa"/>
            <w:vAlign w:val="center"/>
          </w:tcPr>
          <w:p w14:paraId="44D9057C" w14:textId="77777777" w:rsidR="00F02705" w:rsidRPr="00320140" w:rsidRDefault="00F02705" w:rsidP="002825F7">
            <w:pPr>
              <w:pStyle w:val="TAC"/>
              <w:jc w:val="left"/>
              <w:rPr>
                <w:rFonts w:cs="Arial"/>
              </w:rPr>
            </w:pPr>
          </w:p>
        </w:tc>
        <w:tc>
          <w:tcPr>
            <w:tcW w:w="731" w:type="dxa"/>
            <w:vAlign w:val="center"/>
          </w:tcPr>
          <w:p w14:paraId="54B45251" w14:textId="77777777" w:rsidR="00F02705" w:rsidRPr="001778D1" w:rsidRDefault="00F02705" w:rsidP="002825F7">
            <w:pPr>
              <w:pStyle w:val="TAC"/>
              <w:jc w:val="left"/>
              <w:rPr>
                <w:rFonts w:cs="Arial"/>
              </w:rPr>
            </w:pPr>
          </w:p>
        </w:tc>
      </w:tr>
      <w:tr w:rsidR="00F02705" w:rsidRPr="0032110F" w14:paraId="619FC0F1" w14:textId="77777777" w:rsidTr="002825F7">
        <w:trPr>
          <w:trHeight w:val="20"/>
          <w:jc w:val="center"/>
        </w:trPr>
        <w:tc>
          <w:tcPr>
            <w:tcW w:w="2337" w:type="dxa"/>
            <w:vAlign w:val="center"/>
          </w:tcPr>
          <w:p w14:paraId="7B8C0E34" w14:textId="77777777" w:rsidR="00F02705" w:rsidRPr="00320140" w:rsidRDefault="00F02705" w:rsidP="002825F7">
            <w:pPr>
              <w:pStyle w:val="TAC"/>
              <w:rPr>
                <w:rFonts w:cs="Arial"/>
              </w:rPr>
            </w:pPr>
            <w:r w:rsidRPr="001109B9">
              <w:rPr>
                <w:rFonts w:cs="Arial"/>
                <w:b/>
              </w:rPr>
              <w:t>Subcarrier spacing [kHz]</w:t>
            </w:r>
          </w:p>
        </w:tc>
        <w:tc>
          <w:tcPr>
            <w:tcW w:w="4407" w:type="dxa"/>
            <w:gridSpan w:val="6"/>
            <w:vAlign w:val="center"/>
          </w:tcPr>
          <w:p w14:paraId="4709E4EA" w14:textId="77777777" w:rsidR="00F02705" w:rsidRPr="009C11C3" w:rsidRDefault="00F02705" w:rsidP="002825F7">
            <w:pPr>
              <w:pStyle w:val="TAC"/>
              <w:rPr>
                <w:rFonts w:cs="Arial"/>
                <w:b/>
              </w:rPr>
            </w:pPr>
            <w:r w:rsidRPr="009C11C3">
              <w:rPr>
                <w:rFonts w:cs="Arial"/>
                <w:b/>
              </w:rPr>
              <w:t>60</w:t>
            </w:r>
          </w:p>
        </w:tc>
      </w:tr>
      <w:tr w:rsidR="00F02705" w:rsidRPr="0032110F" w14:paraId="43AFD904" w14:textId="77777777" w:rsidTr="002825F7">
        <w:trPr>
          <w:trHeight w:val="20"/>
          <w:jc w:val="center"/>
        </w:trPr>
        <w:tc>
          <w:tcPr>
            <w:tcW w:w="2337" w:type="dxa"/>
            <w:vAlign w:val="center"/>
          </w:tcPr>
          <w:p w14:paraId="48B9D8E2" w14:textId="77777777" w:rsidR="00F02705" w:rsidRPr="00320140" w:rsidRDefault="00F02705" w:rsidP="002825F7">
            <w:pPr>
              <w:pStyle w:val="TAC"/>
              <w:rPr>
                <w:rFonts w:cs="Arial"/>
              </w:rPr>
            </w:pPr>
            <w:r w:rsidRPr="001109B9">
              <w:rPr>
                <w:rFonts w:cs="Arial"/>
                <w:b/>
              </w:rPr>
              <w:t>Channel bandwidth BW</w:t>
            </w:r>
            <w:r w:rsidRPr="001109B9">
              <w:rPr>
                <w:rFonts w:cs="Arial"/>
                <w:b/>
                <w:vertAlign w:val="subscript"/>
              </w:rPr>
              <w:t>Channel</w:t>
            </w:r>
            <w:r w:rsidRPr="001109B9">
              <w:rPr>
                <w:rFonts w:cs="Arial"/>
                <w:b/>
              </w:rPr>
              <w:t xml:space="preserve"> [MHz]</w:t>
            </w:r>
          </w:p>
        </w:tc>
        <w:tc>
          <w:tcPr>
            <w:tcW w:w="804" w:type="dxa"/>
            <w:vAlign w:val="center"/>
          </w:tcPr>
          <w:p w14:paraId="1CC22F32" w14:textId="77777777" w:rsidR="00F02705" w:rsidRPr="00D20433" w:rsidRDefault="00F02705" w:rsidP="002825F7">
            <w:pPr>
              <w:pStyle w:val="TAC"/>
              <w:rPr>
                <w:rFonts w:cs="Arial"/>
                <w:b/>
              </w:rPr>
            </w:pPr>
            <w:r w:rsidRPr="00D20433">
              <w:rPr>
                <w:rFonts w:cs="Arial"/>
                <w:b/>
              </w:rPr>
              <w:t>TBD</w:t>
            </w:r>
          </w:p>
        </w:tc>
        <w:tc>
          <w:tcPr>
            <w:tcW w:w="746" w:type="dxa"/>
            <w:shd w:val="clear" w:color="auto" w:fill="auto"/>
            <w:vAlign w:val="center"/>
          </w:tcPr>
          <w:p w14:paraId="60994384" w14:textId="6ACDC8B5" w:rsidR="00F02705" w:rsidRPr="00D20433" w:rsidRDefault="00C120C0" w:rsidP="002825F7">
            <w:pPr>
              <w:pStyle w:val="TAC"/>
              <w:rPr>
                <w:rFonts w:cs="Arial"/>
                <w:b/>
              </w:rPr>
            </w:pPr>
            <w:r>
              <w:rPr>
                <w:rFonts w:cs="Arial"/>
                <w:b/>
              </w:rPr>
              <w:t>[</w:t>
            </w:r>
            <w:r w:rsidR="00F02705" w:rsidRPr="00D20433">
              <w:rPr>
                <w:rFonts w:cs="Arial"/>
                <w:b/>
              </w:rPr>
              <w:t>10</w:t>
            </w:r>
            <w:r>
              <w:rPr>
                <w:rFonts w:cs="Arial"/>
                <w:b/>
              </w:rPr>
              <w:t>]</w:t>
            </w:r>
          </w:p>
        </w:tc>
        <w:tc>
          <w:tcPr>
            <w:tcW w:w="708" w:type="dxa"/>
            <w:vAlign w:val="center"/>
          </w:tcPr>
          <w:p w14:paraId="72BFFB30" w14:textId="6BCCE871" w:rsidR="00F02705" w:rsidRPr="00D20433" w:rsidRDefault="00C120C0" w:rsidP="002825F7">
            <w:pPr>
              <w:pStyle w:val="TAC"/>
              <w:rPr>
                <w:rFonts w:cs="Arial"/>
                <w:b/>
              </w:rPr>
            </w:pPr>
            <w:r>
              <w:rPr>
                <w:rFonts w:cs="Arial"/>
                <w:b/>
              </w:rPr>
              <w:t>[</w:t>
            </w:r>
            <w:r w:rsidR="00F02705" w:rsidRPr="00D20433">
              <w:rPr>
                <w:rFonts w:cs="Arial"/>
                <w:b/>
              </w:rPr>
              <w:t>15</w:t>
            </w:r>
            <w:r>
              <w:rPr>
                <w:rFonts w:cs="Arial"/>
                <w:b/>
              </w:rPr>
              <w:t>]</w:t>
            </w:r>
          </w:p>
        </w:tc>
        <w:tc>
          <w:tcPr>
            <w:tcW w:w="709" w:type="dxa"/>
            <w:vAlign w:val="center"/>
          </w:tcPr>
          <w:p w14:paraId="4A145147" w14:textId="77777777" w:rsidR="00F02705" w:rsidRPr="00D20433" w:rsidRDefault="00F02705" w:rsidP="002825F7">
            <w:pPr>
              <w:pStyle w:val="TAC"/>
              <w:rPr>
                <w:rFonts w:cs="Arial"/>
                <w:b/>
              </w:rPr>
            </w:pPr>
            <w:r w:rsidRPr="00D20433">
              <w:rPr>
                <w:rFonts w:cs="Arial"/>
                <w:b/>
              </w:rPr>
              <w:t>20</w:t>
            </w:r>
          </w:p>
        </w:tc>
        <w:tc>
          <w:tcPr>
            <w:tcW w:w="709" w:type="dxa"/>
            <w:vAlign w:val="center"/>
          </w:tcPr>
          <w:p w14:paraId="087EFFEA" w14:textId="77777777" w:rsidR="00F02705" w:rsidRPr="00D20433" w:rsidRDefault="00F02705" w:rsidP="002825F7">
            <w:pPr>
              <w:pStyle w:val="TAC"/>
              <w:jc w:val="left"/>
              <w:rPr>
                <w:rFonts w:cs="Arial"/>
                <w:b/>
              </w:rPr>
            </w:pPr>
            <w:r w:rsidRPr="00D20433">
              <w:rPr>
                <w:rFonts w:cs="Arial"/>
                <w:b/>
              </w:rPr>
              <w:t>TBD</w:t>
            </w:r>
          </w:p>
        </w:tc>
        <w:tc>
          <w:tcPr>
            <w:tcW w:w="731" w:type="dxa"/>
            <w:vAlign w:val="center"/>
          </w:tcPr>
          <w:p w14:paraId="0B2C75CC" w14:textId="77777777" w:rsidR="00F02705" w:rsidRPr="00D20433" w:rsidRDefault="00F02705" w:rsidP="002825F7">
            <w:pPr>
              <w:pStyle w:val="TAC"/>
              <w:jc w:val="left"/>
              <w:rPr>
                <w:rFonts w:cs="Arial"/>
                <w:b/>
              </w:rPr>
            </w:pPr>
            <w:r w:rsidRPr="00D20433">
              <w:rPr>
                <w:rFonts w:cs="Arial"/>
                <w:b/>
              </w:rPr>
              <w:t>TBD</w:t>
            </w:r>
          </w:p>
        </w:tc>
      </w:tr>
      <w:tr w:rsidR="00F02705" w:rsidRPr="0032110F" w14:paraId="6C900B06" w14:textId="77777777" w:rsidTr="002825F7">
        <w:trPr>
          <w:trHeight w:val="20"/>
          <w:jc w:val="center"/>
        </w:trPr>
        <w:tc>
          <w:tcPr>
            <w:tcW w:w="2337" w:type="dxa"/>
            <w:vAlign w:val="center"/>
          </w:tcPr>
          <w:p w14:paraId="4C255A59" w14:textId="77777777" w:rsidR="00F02705" w:rsidRPr="00320140" w:rsidRDefault="00F02705" w:rsidP="002825F7">
            <w:pPr>
              <w:pStyle w:val="TAC"/>
              <w:rPr>
                <w:rFonts w:cs="Arial"/>
              </w:rPr>
            </w:pPr>
            <w:r w:rsidRPr="00320140">
              <w:rPr>
                <w:rFonts w:cs="Arial"/>
              </w:rPr>
              <w:t>Transmission bandwidth configuration N</w:t>
            </w:r>
            <w:r w:rsidRPr="00320140">
              <w:rPr>
                <w:rFonts w:cs="Arial"/>
                <w:vertAlign w:val="subscript"/>
              </w:rPr>
              <w:t>RB</w:t>
            </w:r>
          </w:p>
        </w:tc>
        <w:tc>
          <w:tcPr>
            <w:tcW w:w="804" w:type="dxa"/>
            <w:vAlign w:val="center"/>
          </w:tcPr>
          <w:p w14:paraId="5007F7C0" w14:textId="77777777" w:rsidR="00F02705" w:rsidRPr="00320140" w:rsidRDefault="00F02705" w:rsidP="002825F7">
            <w:pPr>
              <w:pStyle w:val="TAC"/>
              <w:rPr>
                <w:rFonts w:cs="Arial"/>
              </w:rPr>
            </w:pPr>
          </w:p>
        </w:tc>
        <w:tc>
          <w:tcPr>
            <w:tcW w:w="746" w:type="dxa"/>
            <w:shd w:val="clear" w:color="auto" w:fill="auto"/>
            <w:vAlign w:val="center"/>
          </w:tcPr>
          <w:p w14:paraId="5CB85E69" w14:textId="77777777" w:rsidR="00F02705" w:rsidRPr="00320140" w:rsidRDefault="00F02705" w:rsidP="002825F7">
            <w:pPr>
              <w:pStyle w:val="TAC"/>
              <w:rPr>
                <w:rFonts w:cs="Arial"/>
              </w:rPr>
            </w:pPr>
            <w:r>
              <w:rPr>
                <w:rFonts w:cs="Arial"/>
              </w:rPr>
              <w:t>[13]</w:t>
            </w:r>
          </w:p>
        </w:tc>
        <w:tc>
          <w:tcPr>
            <w:tcW w:w="708" w:type="dxa"/>
            <w:vAlign w:val="center"/>
          </w:tcPr>
          <w:p w14:paraId="280ABDEF" w14:textId="77777777" w:rsidR="00F02705" w:rsidRPr="00320140" w:rsidRDefault="00F02705" w:rsidP="002825F7">
            <w:pPr>
              <w:pStyle w:val="TAC"/>
              <w:rPr>
                <w:rFonts w:cs="Arial"/>
              </w:rPr>
            </w:pPr>
          </w:p>
        </w:tc>
        <w:tc>
          <w:tcPr>
            <w:tcW w:w="709" w:type="dxa"/>
            <w:vAlign w:val="center"/>
          </w:tcPr>
          <w:p w14:paraId="3F2540DB" w14:textId="77777777" w:rsidR="00F02705" w:rsidRPr="00320140" w:rsidRDefault="00F02705" w:rsidP="002825F7">
            <w:pPr>
              <w:pStyle w:val="TAC"/>
              <w:rPr>
                <w:rFonts w:cs="Arial"/>
              </w:rPr>
            </w:pPr>
          </w:p>
        </w:tc>
        <w:tc>
          <w:tcPr>
            <w:tcW w:w="709" w:type="dxa"/>
            <w:vAlign w:val="center"/>
          </w:tcPr>
          <w:p w14:paraId="1335F2E5" w14:textId="77777777" w:rsidR="00F02705" w:rsidRPr="00320140" w:rsidRDefault="00F02705" w:rsidP="002825F7">
            <w:pPr>
              <w:pStyle w:val="TAC"/>
              <w:jc w:val="left"/>
              <w:rPr>
                <w:rFonts w:cs="Arial"/>
              </w:rPr>
            </w:pPr>
          </w:p>
        </w:tc>
        <w:tc>
          <w:tcPr>
            <w:tcW w:w="731" w:type="dxa"/>
            <w:vAlign w:val="center"/>
          </w:tcPr>
          <w:p w14:paraId="17B3ECCC" w14:textId="77777777" w:rsidR="00F02705" w:rsidRPr="00320140" w:rsidRDefault="00F02705" w:rsidP="002825F7">
            <w:pPr>
              <w:pStyle w:val="TAC"/>
              <w:jc w:val="left"/>
              <w:rPr>
                <w:rFonts w:cs="Arial"/>
              </w:rPr>
            </w:pPr>
          </w:p>
        </w:tc>
        <w:bookmarkStart w:id="4" w:name="_GoBack"/>
        <w:bookmarkEnd w:id="4"/>
      </w:tr>
    </w:tbl>
    <w:p w14:paraId="2DB60333" w14:textId="6CA65120" w:rsidR="00F02705" w:rsidRDefault="00F02705" w:rsidP="00581453">
      <w:pPr>
        <w:rPr>
          <w:rFonts w:cs="v5.0.0"/>
        </w:rPr>
      </w:pPr>
    </w:p>
    <w:p w14:paraId="43833D06" w14:textId="289A535B" w:rsidR="0067475A" w:rsidRPr="00F02705" w:rsidRDefault="0067475A" w:rsidP="00581453">
      <w:pPr>
        <w:rPr>
          <w:rFonts w:cs="v5.0.0"/>
        </w:rPr>
      </w:pPr>
      <w:r>
        <w:t>Before concluding the number of PRBs per CBW and SCS e.g. for UL it is also important to validate BS receiver adjacent channel selectivity performance. Furthermore, it would be attractive to define symmetric UL and DL channel bandwidths and supported number of PRBs, it is also important to validate BS Tx and UE Rx performance for OOB emission and adjacent channel selectivity.</w:t>
      </w:r>
    </w:p>
    <w:p w14:paraId="1E6952AA" w14:textId="1CA6E1AE" w:rsidR="00832A46" w:rsidRPr="00581453" w:rsidRDefault="00832A46" w:rsidP="00581453">
      <w:pPr>
        <w:rPr>
          <w:rFonts w:cs="v5.0.0"/>
        </w:rPr>
      </w:pPr>
    </w:p>
    <w:p w14:paraId="61C16FC4" w14:textId="77777777" w:rsidR="00CD4C7B" w:rsidRPr="006E13D1" w:rsidRDefault="00CD4C7B" w:rsidP="00CD4C7B">
      <w:pPr>
        <w:pStyle w:val="Heading1"/>
      </w:pPr>
      <w:r w:rsidRPr="006E13D1">
        <w:t>References</w:t>
      </w:r>
    </w:p>
    <w:p w14:paraId="31033CD9" w14:textId="77777777" w:rsidR="00274514" w:rsidRDefault="00274514" w:rsidP="00274514">
      <w:pPr>
        <w:numPr>
          <w:ilvl w:val="0"/>
          <w:numId w:val="4"/>
        </w:numPr>
        <w:overflowPunct w:val="0"/>
        <w:autoSpaceDE w:val="0"/>
        <w:autoSpaceDN w:val="0"/>
        <w:adjustRightInd w:val="0"/>
        <w:textAlignment w:val="baseline"/>
        <w:rPr>
          <w:sz w:val="18"/>
          <w:lang w:val="en-US"/>
        </w:rPr>
      </w:pPr>
      <w:r w:rsidRPr="00FD5395">
        <w:rPr>
          <w:sz w:val="18"/>
          <w:lang w:val="en-US"/>
        </w:rPr>
        <w:t>RP-170855, New WID on New Radio Access Technology, NTT Docomo</w:t>
      </w:r>
    </w:p>
    <w:p w14:paraId="64421E62" w14:textId="77777777" w:rsidR="00274514" w:rsidRPr="009F0DD9" w:rsidRDefault="00274514" w:rsidP="00274514">
      <w:pPr>
        <w:numPr>
          <w:ilvl w:val="0"/>
          <w:numId w:val="4"/>
        </w:numPr>
        <w:overflowPunct w:val="0"/>
        <w:autoSpaceDE w:val="0"/>
        <w:autoSpaceDN w:val="0"/>
        <w:adjustRightInd w:val="0"/>
        <w:textAlignment w:val="baseline"/>
        <w:rPr>
          <w:sz w:val="18"/>
          <w:lang w:val="en-US"/>
        </w:rPr>
      </w:pPr>
      <w:r w:rsidRPr="009F0DD9">
        <w:rPr>
          <w:sz w:val="18"/>
          <w:lang w:val="en-US"/>
        </w:rPr>
        <w:t xml:space="preserve">RP-170741, “Way Forward on the overall 5G NR workplan”, Alcatel-Lucent Shanghai-Bell, Alibaba, Apple, AT&amp;T, British Telecom, Broadcom, Convida Wireless, Deutsche Telekom, DOCOMO, Ericsson, Etisalat, Huawei, Intel, KDDI, KT, LG </w:t>
      </w:r>
      <w:r w:rsidRPr="009F0DD9">
        <w:rPr>
          <w:sz w:val="18"/>
          <w:lang w:val="en-US"/>
        </w:rPr>
        <w:tab/>
        <w:t>Electronics, LGU+, NE</w:t>
      </w:r>
      <w:r>
        <w:rPr>
          <w:sz w:val="18"/>
          <w:lang w:val="en-US"/>
        </w:rPr>
        <w:t>Ha</w:t>
      </w:r>
      <w:r w:rsidRPr="009F0DD9">
        <w:rPr>
          <w:sz w:val="18"/>
          <w:lang w:val="en-US"/>
        </w:rPr>
        <w:t xml:space="preserve">C, </w:t>
      </w:r>
      <w:r w:rsidRPr="009F0DD9">
        <w:rPr>
          <w:sz w:val="18"/>
          <w:lang w:val="en-US"/>
        </w:rPr>
        <w:tab/>
        <w:t>Nokia, Ooredoo, Qualcomm, Samsung, Sierra Wireless, SK Telecom, Sony, Sprint, Swisscom, TCL, Telecom Italia, Telefonica, TeliaSonera, Telstra, Tmobile USA, Verizon, vivo, Vodafone, Xiaomi, ZTE</w:t>
      </w:r>
    </w:p>
    <w:p w14:paraId="1BAF0FB5" w14:textId="216BF99D" w:rsidR="00274514" w:rsidRDefault="00274514" w:rsidP="00274514">
      <w:pPr>
        <w:numPr>
          <w:ilvl w:val="0"/>
          <w:numId w:val="4"/>
        </w:numPr>
        <w:overflowPunct w:val="0"/>
        <w:autoSpaceDE w:val="0"/>
        <w:autoSpaceDN w:val="0"/>
        <w:adjustRightInd w:val="0"/>
        <w:textAlignment w:val="baseline"/>
        <w:rPr>
          <w:sz w:val="18"/>
          <w:lang w:val="en-US"/>
        </w:rPr>
      </w:pPr>
      <w:r w:rsidRPr="003E4AD4">
        <w:rPr>
          <w:sz w:val="18"/>
          <w:lang w:val="en-US"/>
        </w:rPr>
        <w:t>RP-170439</w:t>
      </w:r>
      <w:r>
        <w:rPr>
          <w:sz w:val="18"/>
          <w:lang w:val="en-US"/>
        </w:rPr>
        <w:t>, “</w:t>
      </w:r>
      <w:r w:rsidRPr="003E4AD4">
        <w:rPr>
          <w:sz w:val="18"/>
          <w:lang w:val="en-US"/>
        </w:rPr>
        <w:t>TR 38.803 v2.0.0 on Study on New Radio Access Technology: RF and co-existence aspects</w:t>
      </w:r>
      <w:r>
        <w:rPr>
          <w:sz w:val="18"/>
          <w:lang w:val="en-US"/>
        </w:rPr>
        <w:t>”</w:t>
      </w:r>
    </w:p>
    <w:p w14:paraId="4653C59E" w14:textId="7822A3DD" w:rsidR="00205460" w:rsidRDefault="00205460" w:rsidP="00274514">
      <w:pPr>
        <w:numPr>
          <w:ilvl w:val="0"/>
          <w:numId w:val="4"/>
        </w:numPr>
        <w:overflowPunct w:val="0"/>
        <w:autoSpaceDE w:val="0"/>
        <w:autoSpaceDN w:val="0"/>
        <w:adjustRightInd w:val="0"/>
        <w:textAlignment w:val="baseline"/>
        <w:rPr>
          <w:sz w:val="18"/>
          <w:lang w:val="en-US"/>
        </w:rPr>
      </w:pPr>
      <w:r w:rsidRPr="00205460">
        <w:rPr>
          <w:sz w:val="18"/>
          <w:lang w:val="en-US"/>
        </w:rPr>
        <w:t>R4-17</w:t>
      </w:r>
      <w:r w:rsidRPr="00205460">
        <w:rPr>
          <w:rFonts w:hint="eastAsia"/>
          <w:sz w:val="18"/>
          <w:lang w:val="en-US"/>
        </w:rPr>
        <w:t>02019</w:t>
      </w:r>
      <w:r w:rsidRPr="00205460">
        <w:rPr>
          <w:sz w:val="18"/>
          <w:lang w:val="en-US"/>
        </w:rPr>
        <w:t>, “LS on subcarrier spacing and carrier frequencies”, RAN4</w:t>
      </w:r>
    </w:p>
    <w:p w14:paraId="63F54E11" w14:textId="7B213778" w:rsidR="00082151" w:rsidRPr="004C42C2" w:rsidRDefault="00082151" w:rsidP="00274514">
      <w:pPr>
        <w:numPr>
          <w:ilvl w:val="0"/>
          <w:numId w:val="4"/>
        </w:numPr>
        <w:overflowPunct w:val="0"/>
        <w:autoSpaceDE w:val="0"/>
        <w:autoSpaceDN w:val="0"/>
        <w:adjustRightInd w:val="0"/>
        <w:textAlignment w:val="baseline"/>
        <w:rPr>
          <w:sz w:val="18"/>
          <w:lang w:val="en-US"/>
        </w:rPr>
      </w:pPr>
      <w:r w:rsidRPr="004C42C2">
        <w:rPr>
          <w:sz w:val="18"/>
          <w:lang w:val="en-US"/>
        </w:rPr>
        <w:t>Draft Report of 3GPP TSG RAN WG1 #88 v0.1.0, MCC Support</w:t>
      </w:r>
    </w:p>
    <w:p w14:paraId="4459EE54" w14:textId="524B6C11" w:rsidR="001135EC" w:rsidRPr="00B82E70" w:rsidRDefault="001135EC" w:rsidP="00274514">
      <w:pPr>
        <w:numPr>
          <w:ilvl w:val="0"/>
          <w:numId w:val="4"/>
        </w:numPr>
        <w:overflowPunct w:val="0"/>
        <w:autoSpaceDE w:val="0"/>
        <w:autoSpaceDN w:val="0"/>
        <w:adjustRightInd w:val="0"/>
        <w:textAlignment w:val="baseline"/>
        <w:rPr>
          <w:sz w:val="18"/>
          <w:lang w:val="en-US"/>
        </w:rPr>
      </w:pPr>
      <w:r w:rsidRPr="00B82E70">
        <w:rPr>
          <w:sz w:val="18"/>
          <w:lang w:val="en-US"/>
        </w:rPr>
        <w:t>R4-1702374, “WF on NR subcarrier spacing and Channel bandwidth”, NTT DOCOMO, INC.</w:t>
      </w:r>
    </w:p>
    <w:p w14:paraId="327DB8F2" w14:textId="632FA19E" w:rsidR="002825F7" w:rsidRPr="00B82E70" w:rsidRDefault="002825F7" w:rsidP="00274514">
      <w:pPr>
        <w:numPr>
          <w:ilvl w:val="0"/>
          <w:numId w:val="4"/>
        </w:numPr>
        <w:overflowPunct w:val="0"/>
        <w:autoSpaceDE w:val="0"/>
        <w:autoSpaceDN w:val="0"/>
        <w:adjustRightInd w:val="0"/>
        <w:textAlignment w:val="baseline"/>
        <w:rPr>
          <w:sz w:val="18"/>
          <w:lang w:val="en-US"/>
        </w:rPr>
      </w:pPr>
      <w:r w:rsidRPr="00B82E70">
        <w:rPr>
          <w:sz w:val="18"/>
          <w:lang w:val="en-US"/>
        </w:rPr>
        <w:t>R</w:t>
      </w:r>
      <w:r w:rsidR="00235EA8" w:rsidRPr="00B82E70">
        <w:rPr>
          <w:sz w:val="18"/>
          <w:lang w:val="en-US"/>
        </w:rPr>
        <w:t>4-1700724, “Wider bandwidth operation for NR”, Nokia, Alcatel-Lucent Shanghai-Bell</w:t>
      </w:r>
    </w:p>
    <w:p w14:paraId="3558231C" w14:textId="1D6739F0" w:rsidR="00C801C2" w:rsidRPr="00B82E70" w:rsidRDefault="00C801C2" w:rsidP="00274514">
      <w:pPr>
        <w:numPr>
          <w:ilvl w:val="0"/>
          <w:numId w:val="4"/>
        </w:numPr>
        <w:overflowPunct w:val="0"/>
        <w:autoSpaceDE w:val="0"/>
        <w:autoSpaceDN w:val="0"/>
        <w:adjustRightInd w:val="0"/>
        <w:textAlignment w:val="baseline"/>
        <w:rPr>
          <w:sz w:val="18"/>
          <w:lang w:val="en-US"/>
        </w:rPr>
      </w:pPr>
      <w:r w:rsidRPr="00B82E70">
        <w:rPr>
          <w:sz w:val="18"/>
          <w:lang w:val="en-US"/>
        </w:rPr>
        <w:t>R4-163344, “Response LS on realistic power amplifier model for NR waveform evaluation”; Nokia</w:t>
      </w:r>
    </w:p>
    <w:p w14:paraId="67D3ED5A" w14:textId="77777777" w:rsidR="003E4AD4" w:rsidRPr="00AE42EE" w:rsidRDefault="003E4AD4" w:rsidP="003E4AD4">
      <w:pPr>
        <w:overflowPunct w:val="0"/>
        <w:autoSpaceDE w:val="0"/>
        <w:autoSpaceDN w:val="0"/>
        <w:adjustRightInd w:val="0"/>
        <w:ind w:left="357"/>
        <w:textAlignment w:val="baseline"/>
        <w:rPr>
          <w:sz w:val="18"/>
          <w:lang w:val="en-US"/>
        </w:rPr>
      </w:pPr>
    </w:p>
    <w:p w14:paraId="3759361A" w14:textId="73ACA621" w:rsidR="000D445A" w:rsidRPr="00504D76" w:rsidRDefault="000D445A" w:rsidP="000D445A">
      <w:pPr>
        <w:tabs>
          <w:tab w:val="left" w:pos="1985"/>
        </w:tabs>
        <w:spacing w:after="120"/>
        <w:rPr>
          <w:sz w:val="18"/>
          <w:lang w:eastAsia="zh-CN"/>
        </w:rPr>
      </w:pPr>
    </w:p>
    <w:p w14:paraId="417ACEC8" w14:textId="77777777" w:rsidR="00C218D1" w:rsidRPr="0027345D" w:rsidRDefault="00C218D1" w:rsidP="00C218D1">
      <w:pPr>
        <w:overflowPunct w:val="0"/>
        <w:autoSpaceDE w:val="0"/>
        <w:autoSpaceDN w:val="0"/>
        <w:adjustRightInd w:val="0"/>
        <w:textAlignment w:val="baseline"/>
        <w:rPr>
          <w:sz w:val="18"/>
          <w:lang w:eastAsia="zh-CN"/>
        </w:rPr>
      </w:pPr>
    </w:p>
    <w:p w14:paraId="46582194" w14:textId="7F0CBF25" w:rsidR="00080512" w:rsidRPr="008268CE" w:rsidRDefault="00080512" w:rsidP="00E245FD">
      <w:pPr>
        <w:overflowPunct w:val="0"/>
        <w:autoSpaceDE w:val="0"/>
        <w:autoSpaceDN w:val="0"/>
        <w:adjustRightInd w:val="0"/>
        <w:ind w:left="357"/>
        <w:textAlignment w:val="baseline"/>
        <w:rPr>
          <w:sz w:val="18"/>
          <w:lang w:eastAsia="zh-CN"/>
        </w:rPr>
      </w:pPr>
    </w:p>
    <w:sectPr w:rsidR="00080512" w:rsidRPr="008268C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D440FC" w14:textId="77777777" w:rsidR="008B511B" w:rsidRDefault="008B511B">
      <w:r>
        <w:separator/>
      </w:r>
    </w:p>
  </w:endnote>
  <w:endnote w:type="continuationSeparator" w:id="0">
    <w:p w14:paraId="5EFE5B51" w14:textId="77777777" w:rsidR="008B511B" w:rsidRDefault="008B5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38087A" w14:textId="77777777" w:rsidR="008B511B" w:rsidRDefault="008B511B">
      <w:r>
        <w:separator/>
      </w:r>
    </w:p>
  </w:footnote>
  <w:footnote w:type="continuationSeparator" w:id="0">
    <w:p w14:paraId="68B03D68" w14:textId="77777777" w:rsidR="008B511B" w:rsidRDefault="008B51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75243"/>
    <w:multiLevelType w:val="hybridMultilevel"/>
    <w:tmpl w:val="563ED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AB4EE9"/>
    <w:multiLevelType w:val="hybridMultilevel"/>
    <w:tmpl w:val="F9C6EC14"/>
    <w:lvl w:ilvl="0" w:tplc="62BA07DE">
      <w:start w:val="1"/>
      <w:numFmt w:val="bullet"/>
      <w:lvlText w:val="–"/>
      <w:lvlJc w:val="left"/>
      <w:pPr>
        <w:tabs>
          <w:tab w:val="num" w:pos="720"/>
        </w:tabs>
        <w:ind w:left="720" w:hanging="360"/>
      </w:pPr>
      <w:rPr>
        <w:rFonts w:ascii="Arial" w:hAnsi="Arial" w:hint="default"/>
      </w:rPr>
    </w:lvl>
    <w:lvl w:ilvl="1" w:tplc="4DA2D4AA" w:tentative="1">
      <w:start w:val="1"/>
      <w:numFmt w:val="bullet"/>
      <w:lvlText w:val="–"/>
      <w:lvlJc w:val="left"/>
      <w:pPr>
        <w:tabs>
          <w:tab w:val="num" w:pos="1440"/>
        </w:tabs>
        <w:ind w:left="1440" w:hanging="360"/>
      </w:pPr>
      <w:rPr>
        <w:rFonts w:ascii="Arial" w:hAnsi="Arial" w:hint="default"/>
      </w:rPr>
    </w:lvl>
    <w:lvl w:ilvl="2" w:tplc="11C8A924" w:tentative="1">
      <w:start w:val="1"/>
      <w:numFmt w:val="bullet"/>
      <w:lvlText w:val="–"/>
      <w:lvlJc w:val="left"/>
      <w:pPr>
        <w:tabs>
          <w:tab w:val="num" w:pos="2160"/>
        </w:tabs>
        <w:ind w:left="2160" w:hanging="360"/>
      </w:pPr>
      <w:rPr>
        <w:rFonts w:ascii="Arial" w:hAnsi="Arial" w:hint="default"/>
      </w:rPr>
    </w:lvl>
    <w:lvl w:ilvl="3" w:tplc="665080F6">
      <w:start w:val="1"/>
      <w:numFmt w:val="bullet"/>
      <w:lvlText w:val="–"/>
      <w:lvlJc w:val="left"/>
      <w:pPr>
        <w:tabs>
          <w:tab w:val="num" w:pos="2880"/>
        </w:tabs>
        <w:ind w:left="2880" w:hanging="360"/>
      </w:pPr>
      <w:rPr>
        <w:rFonts w:ascii="Arial" w:hAnsi="Arial" w:hint="default"/>
      </w:rPr>
    </w:lvl>
    <w:lvl w:ilvl="4" w:tplc="FC40A836" w:tentative="1">
      <w:start w:val="1"/>
      <w:numFmt w:val="bullet"/>
      <w:lvlText w:val="–"/>
      <w:lvlJc w:val="left"/>
      <w:pPr>
        <w:tabs>
          <w:tab w:val="num" w:pos="3600"/>
        </w:tabs>
        <w:ind w:left="3600" w:hanging="360"/>
      </w:pPr>
      <w:rPr>
        <w:rFonts w:ascii="Arial" w:hAnsi="Arial" w:hint="default"/>
      </w:rPr>
    </w:lvl>
    <w:lvl w:ilvl="5" w:tplc="88B4F8E0" w:tentative="1">
      <w:start w:val="1"/>
      <w:numFmt w:val="bullet"/>
      <w:lvlText w:val="–"/>
      <w:lvlJc w:val="left"/>
      <w:pPr>
        <w:tabs>
          <w:tab w:val="num" w:pos="4320"/>
        </w:tabs>
        <w:ind w:left="4320" w:hanging="360"/>
      </w:pPr>
      <w:rPr>
        <w:rFonts w:ascii="Arial" w:hAnsi="Arial" w:hint="default"/>
      </w:rPr>
    </w:lvl>
    <w:lvl w:ilvl="6" w:tplc="32147A10" w:tentative="1">
      <w:start w:val="1"/>
      <w:numFmt w:val="bullet"/>
      <w:lvlText w:val="–"/>
      <w:lvlJc w:val="left"/>
      <w:pPr>
        <w:tabs>
          <w:tab w:val="num" w:pos="5040"/>
        </w:tabs>
        <w:ind w:left="5040" w:hanging="360"/>
      </w:pPr>
      <w:rPr>
        <w:rFonts w:ascii="Arial" w:hAnsi="Arial" w:hint="default"/>
      </w:rPr>
    </w:lvl>
    <w:lvl w:ilvl="7" w:tplc="52BAFBFA" w:tentative="1">
      <w:start w:val="1"/>
      <w:numFmt w:val="bullet"/>
      <w:lvlText w:val="–"/>
      <w:lvlJc w:val="left"/>
      <w:pPr>
        <w:tabs>
          <w:tab w:val="num" w:pos="5760"/>
        </w:tabs>
        <w:ind w:left="5760" w:hanging="360"/>
      </w:pPr>
      <w:rPr>
        <w:rFonts w:ascii="Arial" w:hAnsi="Arial" w:hint="default"/>
      </w:rPr>
    </w:lvl>
    <w:lvl w:ilvl="8" w:tplc="30E2CA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031017"/>
    <w:multiLevelType w:val="hybridMultilevel"/>
    <w:tmpl w:val="179C12AC"/>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7"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121E4E"/>
    <w:multiLevelType w:val="hybridMultilevel"/>
    <w:tmpl w:val="AD6EE82C"/>
    <w:lvl w:ilvl="0" w:tplc="DA3E1A86">
      <w:start w:val="1"/>
      <w:numFmt w:val="bullet"/>
      <w:lvlText w:val="•"/>
      <w:lvlJc w:val="left"/>
      <w:pPr>
        <w:tabs>
          <w:tab w:val="num" w:pos="720"/>
        </w:tabs>
        <w:ind w:left="720" w:hanging="360"/>
      </w:pPr>
      <w:rPr>
        <w:rFonts w:ascii="Arial" w:hAnsi="Arial" w:hint="default"/>
      </w:rPr>
    </w:lvl>
    <w:lvl w:ilvl="1" w:tplc="D16E0F1E">
      <w:start w:val="1"/>
      <w:numFmt w:val="bullet"/>
      <w:lvlText w:val="•"/>
      <w:lvlJc w:val="left"/>
      <w:pPr>
        <w:tabs>
          <w:tab w:val="num" w:pos="1440"/>
        </w:tabs>
        <w:ind w:left="1440" w:hanging="360"/>
      </w:pPr>
      <w:rPr>
        <w:rFonts w:ascii="Times New Roman" w:hAnsi="Times New Roman" w:cs="Times New Roman"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C33817"/>
    <w:multiLevelType w:val="hybridMultilevel"/>
    <w:tmpl w:val="179C12AC"/>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4" w15:restartNumberingAfterBreak="0">
    <w:nsid w:val="2F1623C5"/>
    <w:multiLevelType w:val="hybridMultilevel"/>
    <w:tmpl w:val="D08056FC"/>
    <w:lvl w:ilvl="0" w:tplc="968290BE">
      <w:start w:val="1"/>
      <w:numFmt w:val="bullet"/>
      <w:lvlText w:val="•"/>
      <w:lvlJc w:val="left"/>
      <w:pPr>
        <w:tabs>
          <w:tab w:val="num" w:pos="720"/>
        </w:tabs>
        <w:ind w:left="720" w:hanging="360"/>
      </w:pPr>
      <w:rPr>
        <w:rFonts w:ascii="Arial" w:hAnsi="Arial" w:hint="default"/>
      </w:rPr>
    </w:lvl>
    <w:lvl w:ilvl="1" w:tplc="5FE2E3F6" w:tentative="1">
      <w:start w:val="1"/>
      <w:numFmt w:val="bullet"/>
      <w:lvlText w:val="•"/>
      <w:lvlJc w:val="left"/>
      <w:pPr>
        <w:tabs>
          <w:tab w:val="num" w:pos="1440"/>
        </w:tabs>
        <w:ind w:left="1440" w:hanging="360"/>
      </w:pPr>
      <w:rPr>
        <w:rFonts w:ascii="Arial" w:hAnsi="Arial" w:hint="default"/>
      </w:rPr>
    </w:lvl>
    <w:lvl w:ilvl="2" w:tplc="DBB6885C" w:tentative="1">
      <w:start w:val="1"/>
      <w:numFmt w:val="bullet"/>
      <w:lvlText w:val="•"/>
      <w:lvlJc w:val="left"/>
      <w:pPr>
        <w:tabs>
          <w:tab w:val="num" w:pos="2160"/>
        </w:tabs>
        <w:ind w:left="2160" w:hanging="360"/>
      </w:pPr>
      <w:rPr>
        <w:rFonts w:ascii="Arial" w:hAnsi="Arial" w:hint="default"/>
      </w:rPr>
    </w:lvl>
    <w:lvl w:ilvl="3" w:tplc="9184053C" w:tentative="1">
      <w:start w:val="1"/>
      <w:numFmt w:val="bullet"/>
      <w:lvlText w:val="•"/>
      <w:lvlJc w:val="left"/>
      <w:pPr>
        <w:tabs>
          <w:tab w:val="num" w:pos="2880"/>
        </w:tabs>
        <w:ind w:left="2880" w:hanging="360"/>
      </w:pPr>
      <w:rPr>
        <w:rFonts w:ascii="Arial" w:hAnsi="Arial" w:hint="default"/>
      </w:rPr>
    </w:lvl>
    <w:lvl w:ilvl="4" w:tplc="2078F47E" w:tentative="1">
      <w:start w:val="1"/>
      <w:numFmt w:val="bullet"/>
      <w:lvlText w:val="•"/>
      <w:lvlJc w:val="left"/>
      <w:pPr>
        <w:tabs>
          <w:tab w:val="num" w:pos="3600"/>
        </w:tabs>
        <w:ind w:left="3600" w:hanging="360"/>
      </w:pPr>
      <w:rPr>
        <w:rFonts w:ascii="Arial" w:hAnsi="Arial" w:hint="default"/>
      </w:rPr>
    </w:lvl>
    <w:lvl w:ilvl="5" w:tplc="3236B794" w:tentative="1">
      <w:start w:val="1"/>
      <w:numFmt w:val="bullet"/>
      <w:lvlText w:val="•"/>
      <w:lvlJc w:val="left"/>
      <w:pPr>
        <w:tabs>
          <w:tab w:val="num" w:pos="4320"/>
        </w:tabs>
        <w:ind w:left="4320" w:hanging="360"/>
      </w:pPr>
      <w:rPr>
        <w:rFonts w:ascii="Arial" w:hAnsi="Arial" w:hint="default"/>
      </w:rPr>
    </w:lvl>
    <w:lvl w:ilvl="6" w:tplc="5D829F04" w:tentative="1">
      <w:start w:val="1"/>
      <w:numFmt w:val="bullet"/>
      <w:lvlText w:val="•"/>
      <w:lvlJc w:val="left"/>
      <w:pPr>
        <w:tabs>
          <w:tab w:val="num" w:pos="5040"/>
        </w:tabs>
        <w:ind w:left="5040" w:hanging="360"/>
      </w:pPr>
      <w:rPr>
        <w:rFonts w:ascii="Arial" w:hAnsi="Arial" w:hint="default"/>
      </w:rPr>
    </w:lvl>
    <w:lvl w:ilvl="7" w:tplc="E1726D54" w:tentative="1">
      <w:start w:val="1"/>
      <w:numFmt w:val="bullet"/>
      <w:lvlText w:val="•"/>
      <w:lvlJc w:val="left"/>
      <w:pPr>
        <w:tabs>
          <w:tab w:val="num" w:pos="5760"/>
        </w:tabs>
        <w:ind w:left="5760" w:hanging="360"/>
      </w:pPr>
      <w:rPr>
        <w:rFonts w:ascii="Arial" w:hAnsi="Arial" w:hint="default"/>
      </w:rPr>
    </w:lvl>
    <w:lvl w:ilvl="8" w:tplc="9520602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654A6C"/>
    <w:multiLevelType w:val="hybridMultilevel"/>
    <w:tmpl w:val="9C62C7C2"/>
    <w:lvl w:ilvl="0" w:tplc="9C20070A">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7D92E76"/>
    <w:multiLevelType w:val="hybridMultilevel"/>
    <w:tmpl w:val="25546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C47359"/>
    <w:multiLevelType w:val="hybridMultilevel"/>
    <w:tmpl w:val="B4BC46A4"/>
    <w:lvl w:ilvl="0" w:tplc="B446911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2"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3B65A1E"/>
    <w:multiLevelType w:val="hybridMultilevel"/>
    <w:tmpl w:val="984C09DE"/>
    <w:lvl w:ilvl="0" w:tplc="DB06F12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48157F7C"/>
    <w:multiLevelType w:val="hybridMultilevel"/>
    <w:tmpl w:val="0DF01992"/>
    <w:lvl w:ilvl="0" w:tplc="46688D66">
      <w:start w:val="1"/>
      <w:numFmt w:val="bullet"/>
      <w:lvlText w:val="•"/>
      <w:lvlJc w:val="left"/>
      <w:pPr>
        <w:tabs>
          <w:tab w:val="num" w:pos="720"/>
        </w:tabs>
        <w:ind w:left="720" w:hanging="360"/>
      </w:pPr>
      <w:rPr>
        <w:rFonts w:ascii="Arial" w:hAnsi="Arial" w:hint="default"/>
      </w:rPr>
    </w:lvl>
    <w:lvl w:ilvl="1" w:tplc="09B23266">
      <w:numFmt w:val="bullet"/>
      <w:lvlText w:val="–"/>
      <w:lvlJc w:val="left"/>
      <w:pPr>
        <w:tabs>
          <w:tab w:val="num" w:pos="1440"/>
        </w:tabs>
        <w:ind w:left="1440" w:hanging="360"/>
      </w:pPr>
      <w:rPr>
        <w:rFonts w:ascii="Arial" w:hAnsi="Arial" w:hint="default"/>
      </w:rPr>
    </w:lvl>
    <w:lvl w:ilvl="2" w:tplc="F8964E90">
      <w:start w:val="1"/>
      <w:numFmt w:val="bullet"/>
      <w:lvlText w:val="•"/>
      <w:lvlJc w:val="left"/>
      <w:pPr>
        <w:tabs>
          <w:tab w:val="num" w:pos="2160"/>
        </w:tabs>
        <w:ind w:left="2160" w:hanging="360"/>
      </w:pPr>
      <w:rPr>
        <w:rFonts w:ascii="Arial" w:hAnsi="Arial" w:hint="default"/>
      </w:rPr>
    </w:lvl>
    <w:lvl w:ilvl="3" w:tplc="6F687C5A">
      <w:numFmt w:val="bullet"/>
      <w:lvlText w:val="–"/>
      <w:lvlJc w:val="left"/>
      <w:pPr>
        <w:tabs>
          <w:tab w:val="num" w:pos="2880"/>
        </w:tabs>
        <w:ind w:left="2880" w:hanging="360"/>
      </w:pPr>
      <w:rPr>
        <w:rFonts w:ascii="Arial" w:hAnsi="Arial" w:hint="default"/>
      </w:rPr>
    </w:lvl>
    <w:lvl w:ilvl="4" w:tplc="1C820932" w:tentative="1">
      <w:start w:val="1"/>
      <w:numFmt w:val="bullet"/>
      <w:lvlText w:val="•"/>
      <w:lvlJc w:val="left"/>
      <w:pPr>
        <w:tabs>
          <w:tab w:val="num" w:pos="3600"/>
        </w:tabs>
        <w:ind w:left="3600" w:hanging="360"/>
      </w:pPr>
      <w:rPr>
        <w:rFonts w:ascii="Arial" w:hAnsi="Arial" w:hint="default"/>
      </w:rPr>
    </w:lvl>
    <w:lvl w:ilvl="5" w:tplc="1138D97E" w:tentative="1">
      <w:start w:val="1"/>
      <w:numFmt w:val="bullet"/>
      <w:lvlText w:val="•"/>
      <w:lvlJc w:val="left"/>
      <w:pPr>
        <w:tabs>
          <w:tab w:val="num" w:pos="4320"/>
        </w:tabs>
        <w:ind w:left="4320" w:hanging="360"/>
      </w:pPr>
      <w:rPr>
        <w:rFonts w:ascii="Arial" w:hAnsi="Arial" w:hint="default"/>
      </w:rPr>
    </w:lvl>
    <w:lvl w:ilvl="6" w:tplc="3DD22D22" w:tentative="1">
      <w:start w:val="1"/>
      <w:numFmt w:val="bullet"/>
      <w:lvlText w:val="•"/>
      <w:lvlJc w:val="left"/>
      <w:pPr>
        <w:tabs>
          <w:tab w:val="num" w:pos="5040"/>
        </w:tabs>
        <w:ind w:left="5040" w:hanging="360"/>
      </w:pPr>
      <w:rPr>
        <w:rFonts w:ascii="Arial" w:hAnsi="Arial" w:hint="default"/>
      </w:rPr>
    </w:lvl>
    <w:lvl w:ilvl="7" w:tplc="FF6C9520" w:tentative="1">
      <w:start w:val="1"/>
      <w:numFmt w:val="bullet"/>
      <w:lvlText w:val="•"/>
      <w:lvlJc w:val="left"/>
      <w:pPr>
        <w:tabs>
          <w:tab w:val="num" w:pos="5760"/>
        </w:tabs>
        <w:ind w:left="5760" w:hanging="360"/>
      </w:pPr>
      <w:rPr>
        <w:rFonts w:ascii="Arial" w:hAnsi="Arial" w:hint="default"/>
      </w:rPr>
    </w:lvl>
    <w:lvl w:ilvl="8" w:tplc="8B523FF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5B203B"/>
    <w:multiLevelType w:val="hybridMultilevel"/>
    <w:tmpl w:val="802CAE54"/>
    <w:lvl w:ilvl="0" w:tplc="83609416">
      <w:start w:val="1"/>
      <w:numFmt w:val="bullet"/>
      <w:lvlText w:val="•"/>
      <w:lvlJc w:val="left"/>
      <w:pPr>
        <w:tabs>
          <w:tab w:val="num" w:pos="720"/>
        </w:tabs>
        <w:ind w:left="720" w:hanging="360"/>
      </w:pPr>
      <w:rPr>
        <w:rFonts w:ascii="Arial" w:hAnsi="Arial" w:hint="default"/>
      </w:rPr>
    </w:lvl>
    <w:lvl w:ilvl="1" w:tplc="B7C8F87E" w:tentative="1">
      <w:start w:val="1"/>
      <w:numFmt w:val="bullet"/>
      <w:lvlText w:val="•"/>
      <w:lvlJc w:val="left"/>
      <w:pPr>
        <w:tabs>
          <w:tab w:val="num" w:pos="1440"/>
        </w:tabs>
        <w:ind w:left="1440" w:hanging="360"/>
      </w:pPr>
      <w:rPr>
        <w:rFonts w:ascii="Arial" w:hAnsi="Arial" w:hint="default"/>
      </w:rPr>
    </w:lvl>
    <w:lvl w:ilvl="2" w:tplc="88B27D50" w:tentative="1">
      <w:start w:val="1"/>
      <w:numFmt w:val="bullet"/>
      <w:lvlText w:val="•"/>
      <w:lvlJc w:val="left"/>
      <w:pPr>
        <w:tabs>
          <w:tab w:val="num" w:pos="2160"/>
        </w:tabs>
        <w:ind w:left="2160" w:hanging="360"/>
      </w:pPr>
      <w:rPr>
        <w:rFonts w:ascii="Arial" w:hAnsi="Arial" w:hint="default"/>
      </w:rPr>
    </w:lvl>
    <w:lvl w:ilvl="3" w:tplc="06704276" w:tentative="1">
      <w:start w:val="1"/>
      <w:numFmt w:val="bullet"/>
      <w:lvlText w:val="•"/>
      <w:lvlJc w:val="left"/>
      <w:pPr>
        <w:tabs>
          <w:tab w:val="num" w:pos="2880"/>
        </w:tabs>
        <w:ind w:left="2880" w:hanging="360"/>
      </w:pPr>
      <w:rPr>
        <w:rFonts w:ascii="Arial" w:hAnsi="Arial" w:hint="default"/>
      </w:rPr>
    </w:lvl>
    <w:lvl w:ilvl="4" w:tplc="F4E8FB12" w:tentative="1">
      <w:start w:val="1"/>
      <w:numFmt w:val="bullet"/>
      <w:lvlText w:val="•"/>
      <w:lvlJc w:val="left"/>
      <w:pPr>
        <w:tabs>
          <w:tab w:val="num" w:pos="3600"/>
        </w:tabs>
        <w:ind w:left="3600" w:hanging="360"/>
      </w:pPr>
      <w:rPr>
        <w:rFonts w:ascii="Arial" w:hAnsi="Arial" w:hint="default"/>
      </w:rPr>
    </w:lvl>
    <w:lvl w:ilvl="5" w:tplc="960CC840" w:tentative="1">
      <w:start w:val="1"/>
      <w:numFmt w:val="bullet"/>
      <w:lvlText w:val="•"/>
      <w:lvlJc w:val="left"/>
      <w:pPr>
        <w:tabs>
          <w:tab w:val="num" w:pos="4320"/>
        </w:tabs>
        <w:ind w:left="4320" w:hanging="360"/>
      </w:pPr>
      <w:rPr>
        <w:rFonts w:ascii="Arial" w:hAnsi="Arial" w:hint="default"/>
      </w:rPr>
    </w:lvl>
    <w:lvl w:ilvl="6" w:tplc="B9EE5A8A" w:tentative="1">
      <w:start w:val="1"/>
      <w:numFmt w:val="bullet"/>
      <w:lvlText w:val="•"/>
      <w:lvlJc w:val="left"/>
      <w:pPr>
        <w:tabs>
          <w:tab w:val="num" w:pos="5040"/>
        </w:tabs>
        <w:ind w:left="5040" w:hanging="360"/>
      </w:pPr>
      <w:rPr>
        <w:rFonts w:ascii="Arial" w:hAnsi="Arial" w:hint="default"/>
      </w:rPr>
    </w:lvl>
    <w:lvl w:ilvl="7" w:tplc="DB387608" w:tentative="1">
      <w:start w:val="1"/>
      <w:numFmt w:val="bullet"/>
      <w:lvlText w:val="•"/>
      <w:lvlJc w:val="left"/>
      <w:pPr>
        <w:tabs>
          <w:tab w:val="num" w:pos="5760"/>
        </w:tabs>
        <w:ind w:left="5760" w:hanging="360"/>
      </w:pPr>
      <w:rPr>
        <w:rFonts w:ascii="Arial" w:hAnsi="Arial" w:hint="default"/>
      </w:rPr>
    </w:lvl>
    <w:lvl w:ilvl="8" w:tplc="7EBA22D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46D2F9F"/>
    <w:multiLevelType w:val="hybridMultilevel"/>
    <w:tmpl w:val="181C3100"/>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2"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4"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47B7FCB"/>
    <w:multiLevelType w:val="hybridMultilevel"/>
    <w:tmpl w:val="A2E83DE6"/>
    <w:lvl w:ilvl="0" w:tplc="2800E3B4">
      <w:start w:val="1"/>
      <w:numFmt w:val="bullet"/>
      <w:lvlText w:val="•"/>
      <w:lvlJc w:val="left"/>
      <w:pPr>
        <w:tabs>
          <w:tab w:val="num" w:pos="720"/>
        </w:tabs>
        <w:ind w:left="720" w:hanging="360"/>
      </w:pPr>
      <w:rPr>
        <w:rFonts w:ascii="Arial" w:hAnsi="Arial" w:hint="default"/>
      </w:rPr>
    </w:lvl>
    <w:lvl w:ilvl="1" w:tplc="0C6C02E2">
      <w:start w:val="57"/>
      <w:numFmt w:val="bullet"/>
      <w:lvlText w:val="–"/>
      <w:lvlJc w:val="left"/>
      <w:pPr>
        <w:tabs>
          <w:tab w:val="num" w:pos="1440"/>
        </w:tabs>
        <w:ind w:left="1440" w:hanging="360"/>
      </w:pPr>
      <w:rPr>
        <w:rFonts w:ascii="Arial" w:hAnsi="Arial" w:hint="default"/>
      </w:rPr>
    </w:lvl>
    <w:lvl w:ilvl="2" w:tplc="F0E888DA">
      <w:start w:val="57"/>
      <w:numFmt w:val="bullet"/>
      <w:lvlText w:val="•"/>
      <w:lvlJc w:val="left"/>
      <w:pPr>
        <w:tabs>
          <w:tab w:val="num" w:pos="2160"/>
        </w:tabs>
        <w:ind w:left="2160" w:hanging="360"/>
      </w:pPr>
      <w:rPr>
        <w:rFonts w:ascii="Arial" w:hAnsi="Arial" w:hint="default"/>
      </w:rPr>
    </w:lvl>
    <w:lvl w:ilvl="3" w:tplc="822E9956">
      <w:start w:val="57"/>
      <w:numFmt w:val="bullet"/>
      <w:lvlText w:val="–"/>
      <w:lvlJc w:val="left"/>
      <w:pPr>
        <w:tabs>
          <w:tab w:val="num" w:pos="2880"/>
        </w:tabs>
        <w:ind w:left="2880" w:hanging="360"/>
      </w:pPr>
      <w:rPr>
        <w:rFonts w:ascii="Arial" w:hAnsi="Arial" w:hint="default"/>
      </w:rPr>
    </w:lvl>
    <w:lvl w:ilvl="4" w:tplc="DC540536">
      <w:start w:val="57"/>
      <w:numFmt w:val="bullet"/>
      <w:lvlText w:val="»"/>
      <w:lvlJc w:val="left"/>
      <w:pPr>
        <w:tabs>
          <w:tab w:val="num" w:pos="3600"/>
        </w:tabs>
        <w:ind w:left="3600" w:hanging="360"/>
      </w:pPr>
      <w:rPr>
        <w:rFonts w:ascii="Arial" w:hAnsi="Arial" w:hint="default"/>
      </w:rPr>
    </w:lvl>
    <w:lvl w:ilvl="5" w:tplc="662AED24" w:tentative="1">
      <w:start w:val="1"/>
      <w:numFmt w:val="bullet"/>
      <w:lvlText w:val="•"/>
      <w:lvlJc w:val="left"/>
      <w:pPr>
        <w:tabs>
          <w:tab w:val="num" w:pos="4320"/>
        </w:tabs>
        <w:ind w:left="4320" w:hanging="360"/>
      </w:pPr>
      <w:rPr>
        <w:rFonts w:ascii="Arial" w:hAnsi="Arial" w:hint="default"/>
      </w:rPr>
    </w:lvl>
    <w:lvl w:ilvl="6" w:tplc="1612FBF2" w:tentative="1">
      <w:start w:val="1"/>
      <w:numFmt w:val="bullet"/>
      <w:lvlText w:val="•"/>
      <w:lvlJc w:val="left"/>
      <w:pPr>
        <w:tabs>
          <w:tab w:val="num" w:pos="5040"/>
        </w:tabs>
        <w:ind w:left="5040" w:hanging="360"/>
      </w:pPr>
      <w:rPr>
        <w:rFonts w:ascii="Arial" w:hAnsi="Arial" w:hint="default"/>
      </w:rPr>
    </w:lvl>
    <w:lvl w:ilvl="7" w:tplc="32203E14" w:tentative="1">
      <w:start w:val="1"/>
      <w:numFmt w:val="bullet"/>
      <w:lvlText w:val="•"/>
      <w:lvlJc w:val="left"/>
      <w:pPr>
        <w:tabs>
          <w:tab w:val="num" w:pos="5760"/>
        </w:tabs>
        <w:ind w:left="5760" w:hanging="360"/>
      </w:pPr>
      <w:rPr>
        <w:rFonts w:ascii="Arial" w:hAnsi="Arial" w:hint="default"/>
      </w:rPr>
    </w:lvl>
    <w:lvl w:ilvl="8" w:tplc="105A9CB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372D7D"/>
    <w:multiLevelType w:val="hybridMultilevel"/>
    <w:tmpl w:val="89260FC0"/>
    <w:lvl w:ilvl="0" w:tplc="B2B66CAE">
      <w:start w:val="1"/>
      <w:numFmt w:val="bullet"/>
      <w:lvlText w:val="•"/>
      <w:lvlJc w:val="left"/>
      <w:pPr>
        <w:tabs>
          <w:tab w:val="num" w:pos="720"/>
        </w:tabs>
        <w:ind w:left="720" w:hanging="360"/>
      </w:pPr>
      <w:rPr>
        <w:rFonts w:ascii="Arial" w:hAnsi="Arial" w:hint="default"/>
      </w:rPr>
    </w:lvl>
    <w:lvl w:ilvl="1" w:tplc="E7B0F5E0">
      <w:start w:val="4731"/>
      <w:numFmt w:val="bullet"/>
      <w:lvlText w:val="–"/>
      <w:lvlJc w:val="left"/>
      <w:pPr>
        <w:tabs>
          <w:tab w:val="num" w:pos="1440"/>
        </w:tabs>
        <w:ind w:left="1440" w:hanging="360"/>
      </w:pPr>
      <w:rPr>
        <w:rFonts w:ascii="Arial" w:hAnsi="Arial" w:hint="default"/>
      </w:rPr>
    </w:lvl>
    <w:lvl w:ilvl="2" w:tplc="287C91F4">
      <w:start w:val="4731"/>
      <w:numFmt w:val="bullet"/>
      <w:lvlText w:val="•"/>
      <w:lvlJc w:val="left"/>
      <w:pPr>
        <w:tabs>
          <w:tab w:val="num" w:pos="2160"/>
        </w:tabs>
        <w:ind w:left="2160" w:hanging="360"/>
      </w:pPr>
      <w:rPr>
        <w:rFonts w:ascii="Arial" w:hAnsi="Arial" w:hint="default"/>
      </w:rPr>
    </w:lvl>
    <w:lvl w:ilvl="3" w:tplc="BC246A32" w:tentative="1">
      <w:start w:val="1"/>
      <w:numFmt w:val="bullet"/>
      <w:lvlText w:val="•"/>
      <w:lvlJc w:val="left"/>
      <w:pPr>
        <w:tabs>
          <w:tab w:val="num" w:pos="2880"/>
        </w:tabs>
        <w:ind w:left="2880" w:hanging="360"/>
      </w:pPr>
      <w:rPr>
        <w:rFonts w:ascii="Arial" w:hAnsi="Arial" w:hint="default"/>
      </w:rPr>
    </w:lvl>
    <w:lvl w:ilvl="4" w:tplc="5C021ABC" w:tentative="1">
      <w:start w:val="1"/>
      <w:numFmt w:val="bullet"/>
      <w:lvlText w:val="•"/>
      <w:lvlJc w:val="left"/>
      <w:pPr>
        <w:tabs>
          <w:tab w:val="num" w:pos="3600"/>
        </w:tabs>
        <w:ind w:left="3600" w:hanging="360"/>
      </w:pPr>
      <w:rPr>
        <w:rFonts w:ascii="Arial" w:hAnsi="Arial" w:hint="default"/>
      </w:rPr>
    </w:lvl>
    <w:lvl w:ilvl="5" w:tplc="0B6220B6" w:tentative="1">
      <w:start w:val="1"/>
      <w:numFmt w:val="bullet"/>
      <w:lvlText w:val="•"/>
      <w:lvlJc w:val="left"/>
      <w:pPr>
        <w:tabs>
          <w:tab w:val="num" w:pos="4320"/>
        </w:tabs>
        <w:ind w:left="4320" w:hanging="360"/>
      </w:pPr>
      <w:rPr>
        <w:rFonts w:ascii="Arial" w:hAnsi="Arial" w:hint="default"/>
      </w:rPr>
    </w:lvl>
    <w:lvl w:ilvl="6" w:tplc="5C1C2540" w:tentative="1">
      <w:start w:val="1"/>
      <w:numFmt w:val="bullet"/>
      <w:lvlText w:val="•"/>
      <w:lvlJc w:val="left"/>
      <w:pPr>
        <w:tabs>
          <w:tab w:val="num" w:pos="5040"/>
        </w:tabs>
        <w:ind w:left="5040" w:hanging="360"/>
      </w:pPr>
      <w:rPr>
        <w:rFonts w:ascii="Arial" w:hAnsi="Arial" w:hint="default"/>
      </w:rPr>
    </w:lvl>
    <w:lvl w:ilvl="7" w:tplc="62E8D584" w:tentative="1">
      <w:start w:val="1"/>
      <w:numFmt w:val="bullet"/>
      <w:lvlText w:val="•"/>
      <w:lvlJc w:val="left"/>
      <w:pPr>
        <w:tabs>
          <w:tab w:val="num" w:pos="5760"/>
        </w:tabs>
        <w:ind w:left="5760" w:hanging="360"/>
      </w:pPr>
      <w:rPr>
        <w:rFonts w:ascii="Arial" w:hAnsi="Arial" w:hint="default"/>
      </w:rPr>
    </w:lvl>
    <w:lvl w:ilvl="8" w:tplc="9F88BD6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DD84778"/>
    <w:multiLevelType w:val="hybridMultilevel"/>
    <w:tmpl w:val="C52A5826"/>
    <w:lvl w:ilvl="0" w:tplc="B446911C">
      <w:start w:val="1"/>
      <w:numFmt w:val="bullet"/>
      <w:lvlText w:val="•"/>
      <w:lvlJc w:val="left"/>
      <w:pPr>
        <w:tabs>
          <w:tab w:val="num" w:pos="720"/>
        </w:tabs>
        <w:ind w:left="720" w:hanging="360"/>
      </w:pPr>
      <w:rPr>
        <w:rFonts w:ascii="Arial" w:hAnsi="Arial" w:hint="default"/>
      </w:rPr>
    </w:lvl>
    <w:lvl w:ilvl="1" w:tplc="77C406A0">
      <w:start w:val="4184"/>
      <w:numFmt w:val="bullet"/>
      <w:lvlText w:val="–"/>
      <w:lvlJc w:val="left"/>
      <w:pPr>
        <w:tabs>
          <w:tab w:val="num" w:pos="1440"/>
        </w:tabs>
        <w:ind w:left="1440" w:hanging="360"/>
      </w:pPr>
      <w:rPr>
        <w:rFonts w:ascii="Arial" w:hAnsi="Arial" w:hint="default"/>
      </w:rPr>
    </w:lvl>
    <w:lvl w:ilvl="2" w:tplc="8F8C566E" w:tentative="1">
      <w:start w:val="1"/>
      <w:numFmt w:val="bullet"/>
      <w:lvlText w:val="•"/>
      <w:lvlJc w:val="left"/>
      <w:pPr>
        <w:tabs>
          <w:tab w:val="num" w:pos="2160"/>
        </w:tabs>
        <w:ind w:left="2160" w:hanging="360"/>
      </w:pPr>
      <w:rPr>
        <w:rFonts w:ascii="Arial" w:hAnsi="Arial" w:hint="default"/>
      </w:rPr>
    </w:lvl>
    <w:lvl w:ilvl="3" w:tplc="34A64598" w:tentative="1">
      <w:start w:val="1"/>
      <w:numFmt w:val="bullet"/>
      <w:lvlText w:val="•"/>
      <w:lvlJc w:val="left"/>
      <w:pPr>
        <w:tabs>
          <w:tab w:val="num" w:pos="2880"/>
        </w:tabs>
        <w:ind w:left="2880" w:hanging="360"/>
      </w:pPr>
      <w:rPr>
        <w:rFonts w:ascii="Arial" w:hAnsi="Arial" w:hint="default"/>
      </w:rPr>
    </w:lvl>
    <w:lvl w:ilvl="4" w:tplc="2DAA3358" w:tentative="1">
      <w:start w:val="1"/>
      <w:numFmt w:val="bullet"/>
      <w:lvlText w:val="•"/>
      <w:lvlJc w:val="left"/>
      <w:pPr>
        <w:tabs>
          <w:tab w:val="num" w:pos="3600"/>
        </w:tabs>
        <w:ind w:left="3600" w:hanging="360"/>
      </w:pPr>
      <w:rPr>
        <w:rFonts w:ascii="Arial" w:hAnsi="Arial" w:hint="default"/>
      </w:rPr>
    </w:lvl>
    <w:lvl w:ilvl="5" w:tplc="23D63BB4" w:tentative="1">
      <w:start w:val="1"/>
      <w:numFmt w:val="bullet"/>
      <w:lvlText w:val="•"/>
      <w:lvlJc w:val="left"/>
      <w:pPr>
        <w:tabs>
          <w:tab w:val="num" w:pos="4320"/>
        </w:tabs>
        <w:ind w:left="4320" w:hanging="360"/>
      </w:pPr>
      <w:rPr>
        <w:rFonts w:ascii="Arial" w:hAnsi="Arial" w:hint="default"/>
      </w:rPr>
    </w:lvl>
    <w:lvl w:ilvl="6" w:tplc="C61E0A06" w:tentative="1">
      <w:start w:val="1"/>
      <w:numFmt w:val="bullet"/>
      <w:lvlText w:val="•"/>
      <w:lvlJc w:val="left"/>
      <w:pPr>
        <w:tabs>
          <w:tab w:val="num" w:pos="5040"/>
        </w:tabs>
        <w:ind w:left="5040" w:hanging="360"/>
      </w:pPr>
      <w:rPr>
        <w:rFonts w:ascii="Arial" w:hAnsi="Arial" w:hint="default"/>
      </w:rPr>
    </w:lvl>
    <w:lvl w:ilvl="7" w:tplc="D5105EBC" w:tentative="1">
      <w:start w:val="1"/>
      <w:numFmt w:val="bullet"/>
      <w:lvlText w:val="•"/>
      <w:lvlJc w:val="left"/>
      <w:pPr>
        <w:tabs>
          <w:tab w:val="num" w:pos="5760"/>
        </w:tabs>
        <w:ind w:left="5760" w:hanging="360"/>
      </w:pPr>
      <w:rPr>
        <w:rFonts w:ascii="Arial" w:hAnsi="Arial" w:hint="default"/>
      </w:rPr>
    </w:lvl>
    <w:lvl w:ilvl="8" w:tplc="A7D8A69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56625C0"/>
    <w:multiLevelType w:val="hybridMultilevel"/>
    <w:tmpl w:val="E2289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1C60F3"/>
    <w:multiLevelType w:val="hybridMultilevel"/>
    <w:tmpl w:val="058C1AC6"/>
    <w:lvl w:ilvl="0" w:tplc="A0E4E0A4">
      <w:start w:val="1"/>
      <w:numFmt w:val="bullet"/>
      <w:lvlText w:val="•"/>
      <w:lvlJc w:val="left"/>
      <w:pPr>
        <w:tabs>
          <w:tab w:val="num" w:pos="1212"/>
        </w:tabs>
        <w:ind w:left="1212" w:hanging="360"/>
      </w:pPr>
      <w:rPr>
        <w:rFonts w:ascii="Arial" w:hAnsi="Arial" w:hint="default"/>
      </w:rPr>
    </w:lvl>
    <w:lvl w:ilvl="1" w:tplc="99806734">
      <w:start w:val="19"/>
      <w:numFmt w:val="bullet"/>
      <w:lvlText w:val="–"/>
      <w:lvlJc w:val="left"/>
      <w:pPr>
        <w:tabs>
          <w:tab w:val="num" w:pos="1932"/>
        </w:tabs>
        <w:ind w:left="1932" w:hanging="360"/>
      </w:pPr>
      <w:rPr>
        <w:rFonts w:ascii="Arial" w:hAnsi="Arial" w:hint="default"/>
      </w:rPr>
    </w:lvl>
    <w:lvl w:ilvl="2" w:tplc="C084423E" w:tentative="1">
      <w:start w:val="1"/>
      <w:numFmt w:val="bullet"/>
      <w:lvlText w:val="•"/>
      <w:lvlJc w:val="left"/>
      <w:pPr>
        <w:tabs>
          <w:tab w:val="num" w:pos="2652"/>
        </w:tabs>
        <w:ind w:left="2652" w:hanging="360"/>
      </w:pPr>
      <w:rPr>
        <w:rFonts w:ascii="Arial" w:hAnsi="Arial" w:hint="default"/>
      </w:rPr>
    </w:lvl>
    <w:lvl w:ilvl="3" w:tplc="B1EC42E2" w:tentative="1">
      <w:start w:val="1"/>
      <w:numFmt w:val="bullet"/>
      <w:lvlText w:val="•"/>
      <w:lvlJc w:val="left"/>
      <w:pPr>
        <w:tabs>
          <w:tab w:val="num" w:pos="3372"/>
        </w:tabs>
        <w:ind w:left="3372" w:hanging="360"/>
      </w:pPr>
      <w:rPr>
        <w:rFonts w:ascii="Arial" w:hAnsi="Arial" w:hint="default"/>
      </w:rPr>
    </w:lvl>
    <w:lvl w:ilvl="4" w:tplc="694AB116" w:tentative="1">
      <w:start w:val="1"/>
      <w:numFmt w:val="bullet"/>
      <w:lvlText w:val="•"/>
      <w:lvlJc w:val="left"/>
      <w:pPr>
        <w:tabs>
          <w:tab w:val="num" w:pos="4092"/>
        </w:tabs>
        <w:ind w:left="4092" w:hanging="360"/>
      </w:pPr>
      <w:rPr>
        <w:rFonts w:ascii="Arial" w:hAnsi="Arial" w:hint="default"/>
      </w:rPr>
    </w:lvl>
    <w:lvl w:ilvl="5" w:tplc="172079BE" w:tentative="1">
      <w:start w:val="1"/>
      <w:numFmt w:val="bullet"/>
      <w:lvlText w:val="•"/>
      <w:lvlJc w:val="left"/>
      <w:pPr>
        <w:tabs>
          <w:tab w:val="num" w:pos="4812"/>
        </w:tabs>
        <w:ind w:left="4812" w:hanging="360"/>
      </w:pPr>
      <w:rPr>
        <w:rFonts w:ascii="Arial" w:hAnsi="Arial" w:hint="default"/>
      </w:rPr>
    </w:lvl>
    <w:lvl w:ilvl="6" w:tplc="FCFA9A26" w:tentative="1">
      <w:start w:val="1"/>
      <w:numFmt w:val="bullet"/>
      <w:lvlText w:val="•"/>
      <w:lvlJc w:val="left"/>
      <w:pPr>
        <w:tabs>
          <w:tab w:val="num" w:pos="5532"/>
        </w:tabs>
        <w:ind w:left="5532" w:hanging="360"/>
      </w:pPr>
      <w:rPr>
        <w:rFonts w:ascii="Arial" w:hAnsi="Arial" w:hint="default"/>
      </w:rPr>
    </w:lvl>
    <w:lvl w:ilvl="7" w:tplc="3E165C50" w:tentative="1">
      <w:start w:val="1"/>
      <w:numFmt w:val="bullet"/>
      <w:lvlText w:val="•"/>
      <w:lvlJc w:val="left"/>
      <w:pPr>
        <w:tabs>
          <w:tab w:val="num" w:pos="6252"/>
        </w:tabs>
        <w:ind w:left="6252" w:hanging="360"/>
      </w:pPr>
      <w:rPr>
        <w:rFonts w:ascii="Arial" w:hAnsi="Arial" w:hint="default"/>
      </w:rPr>
    </w:lvl>
    <w:lvl w:ilvl="8" w:tplc="C7D8469C" w:tentative="1">
      <w:start w:val="1"/>
      <w:numFmt w:val="bullet"/>
      <w:lvlText w:val="•"/>
      <w:lvlJc w:val="left"/>
      <w:pPr>
        <w:tabs>
          <w:tab w:val="num" w:pos="6972"/>
        </w:tabs>
        <w:ind w:left="6972" w:hanging="360"/>
      </w:pPr>
      <w:rPr>
        <w:rFonts w:ascii="Arial" w:hAnsi="Arial" w:hint="default"/>
      </w:rPr>
    </w:lvl>
  </w:abstractNum>
  <w:abstractNum w:abstractNumId="42"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F97949"/>
    <w:multiLevelType w:val="hybridMultilevel"/>
    <w:tmpl w:val="AE6846D8"/>
    <w:lvl w:ilvl="0" w:tplc="A772416E">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24"/>
    <w:lvlOverride w:ilvl="0">
      <w:startOverride w:val="1"/>
    </w:lvlOverride>
    <w:lvlOverride w:ilvl="1"/>
    <w:lvlOverride w:ilvl="2"/>
    <w:lvlOverride w:ilvl="3"/>
    <w:lvlOverride w:ilvl="4"/>
    <w:lvlOverride w:ilvl="5"/>
    <w:lvlOverride w:ilvl="6"/>
    <w:lvlOverride w:ilvl="7"/>
    <w:lvlOverride w:ilvl="8"/>
  </w:num>
  <w:num w:numId="6">
    <w:abstractNumId w:val="10"/>
  </w:num>
  <w:num w:numId="7">
    <w:abstractNumId w:val="6"/>
  </w:num>
  <w:num w:numId="8">
    <w:abstractNumId w:val="32"/>
  </w:num>
  <w:num w:numId="9">
    <w:abstractNumId w:val="8"/>
  </w:num>
  <w:num w:numId="10">
    <w:abstractNumId w:val="22"/>
  </w:num>
  <w:num w:numId="11">
    <w:abstractNumId w:val="7"/>
  </w:num>
  <w:num w:numId="12">
    <w:abstractNumId w:val="42"/>
  </w:num>
  <w:num w:numId="13">
    <w:abstractNumId w:val="32"/>
  </w:num>
  <w:num w:numId="14">
    <w:abstractNumId w:val="43"/>
  </w:num>
  <w:num w:numId="15">
    <w:abstractNumId w:val="26"/>
  </w:num>
  <w:num w:numId="16">
    <w:abstractNumId w:val="28"/>
  </w:num>
  <w:num w:numId="17">
    <w:abstractNumId w:val="27"/>
  </w:num>
  <w:num w:numId="18">
    <w:abstractNumId w:val="9"/>
  </w:num>
  <w:num w:numId="19">
    <w:abstractNumId w:val="21"/>
  </w:num>
  <w:num w:numId="20">
    <w:abstractNumId w:val="33"/>
  </w:num>
  <w:num w:numId="21">
    <w:abstractNumId w:val="16"/>
  </w:num>
  <w:num w:numId="22">
    <w:abstractNumId w:val="13"/>
  </w:num>
  <w:num w:numId="23">
    <w:abstractNumId w:val="37"/>
  </w:num>
  <w:num w:numId="24">
    <w:abstractNumId w:val="35"/>
  </w:num>
  <w:num w:numId="25">
    <w:abstractNumId w:val="18"/>
  </w:num>
  <w:num w:numId="26">
    <w:abstractNumId w:val="29"/>
  </w:num>
  <w:num w:numId="27">
    <w:abstractNumId w:val="40"/>
  </w:num>
  <w:num w:numId="28">
    <w:abstractNumId w:val="36"/>
  </w:num>
  <w:num w:numId="29">
    <w:abstractNumId w:val="3"/>
  </w:num>
  <w:num w:numId="30">
    <w:abstractNumId w:val="1"/>
  </w:num>
  <w:num w:numId="31">
    <w:abstractNumId w:val="19"/>
  </w:num>
  <w:num w:numId="32">
    <w:abstractNumId w:val="12"/>
  </w:num>
  <w:num w:numId="33">
    <w:abstractNumId w:val="5"/>
  </w:num>
  <w:num w:numId="34">
    <w:abstractNumId w:val="4"/>
  </w:num>
  <w:num w:numId="35">
    <w:abstractNumId w:val="23"/>
  </w:num>
  <w:num w:numId="36">
    <w:abstractNumId w:val="41"/>
  </w:num>
  <w:num w:numId="37">
    <w:abstractNumId w:val="30"/>
  </w:num>
  <w:num w:numId="38">
    <w:abstractNumId w:val="20"/>
  </w:num>
  <w:num w:numId="39">
    <w:abstractNumId w:val="39"/>
  </w:num>
  <w:num w:numId="40">
    <w:abstractNumId w:val="38"/>
  </w:num>
  <w:num w:numId="41">
    <w:abstractNumId w:val="15"/>
  </w:num>
  <w:num w:numId="42">
    <w:abstractNumId w:val="11"/>
  </w:num>
  <w:num w:numId="43">
    <w:abstractNumId w:val="31"/>
  </w:num>
  <w:num w:numId="44">
    <w:abstractNumId w:val="34"/>
  </w:num>
  <w:num w:numId="45">
    <w:abstractNumId w:val="25"/>
  </w:num>
  <w:num w:numId="46">
    <w:abstractNumId w:val="14"/>
  </w:num>
  <w:num w:numId="47">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3938"/>
    <w:rsid w:val="0000724C"/>
    <w:rsid w:val="0001145D"/>
    <w:rsid w:val="00014239"/>
    <w:rsid w:val="00017313"/>
    <w:rsid w:val="00024127"/>
    <w:rsid w:val="000300D0"/>
    <w:rsid w:val="000305C8"/>
    <w:rsid w:val="00030689"/>
    <w:rsid w:val="00031B91"/>
    <w:rsid w:val="00032075"/>
    <w:rsid w:val="00033397"/>
    <w:rsid w:val="00035726"/>
    <w:rsid w:val="000365B5"/>
    <w:rsid w:val="00040095"/>
    <w:rsid w:val="00053614"/>
    <w:rsid w:val="00054B7E"/>
    <w:rsid w:val="00065256"/>
    <w:rsid w:val="000667FA"/>
    <w:rsid w:val="00071628"/>
    <w:rsid w:val="00071FFA"/>
    <w:rsid w:val="000721A4"/>
    <w:rsid w:val="00073190"/>
    <w:rsid w:val="0007527A"/>
    <w:rsid w:val="00080512"/>
    <w:rsid w:val="00080605"/>
    <w:rsid w:val="00081167"/>
    <w:rsid w:val="00082151"/>
    <w:rsid w:val="000830B8"/>
    <w:rsid w:val="000900B0"/>
    <w:rsid w:val="00090468"/>
    <w:rsid w:val="00091B51"/>
    <w:rsid w:val="00092463"/>
    <w:rsid w:val="0009276D"/>
    <w:rsid w:val="00097704"/>
    <w:rsid w:val="000A1A7C"/>
    <w:rsid w:val="000A4929"/>
    <w:rsid w:val="000B120E"/>
    <w:rsid w:val="000B26C9"/>
    <w:rsid w:val="000B2938"/>
    <w:rsid w:val="000B6232"/>
    <w:rsid w:val="000B6309"/>
    <w:rsid w:val="000B7BCF"/>
    <w:rsid w:val="000C02E7"/>
    <w:rsid w:val="000C250C"/>
    <w:rsid w:val="000C27B8"/>
    <w:rsid w:val="000C3813"/>
    <w:rsid w:val="000C4704"/>
    <w:rsid w:val="000C522B"/>
    <w:rsid w:val="000C5373"/>
    <w:rsid w:val="000D0BEE"/>
    <w:rsid w:val="000D445A"/>
    <w:rsid w:val="000D4E52"/>
    <w:rsid w:val="000D58AB"/>
    <w:rsid w:val="000D64D4"/>
    <w:rsid w:val="000D771B"/>
    <w:rsid w:val="000E07E9"/>
    <w:rsid w:val="000E3D56"/>
    <w:rsid w:val="000E504A"/>
    <w:rsid w:val="000F26F9"/>
    <w:rsid w:val="000F583D"/>
    <w:rsid w:val="000F6330"/>
    <w:rsid w:val="000F6BF1"/>
    <w:rsid w:val="000F7070"/>
    <w:rsid w:val="00103E62"/>
    <w:rsid w:val="00105C1B"/>
    <w:rsid w:val="00107EAD"/>
    <w:rsid w:val="001109B9"/>
    <w:rsid w:val="001135EC"/>
    <w:rsid w:val="00135404"/>
    <w:rsid w:val="00137E68"/>
    <w:rsid w:val="00144775"/>
    <w:rsid w:val="00147B64"/>
    <w:rsid w:val="001509A1"/>
    <w:rsid w:val="00154A6B"/>
    <w:rsid w:val="00156982"/>
    <w:rsid w:val="001601D4"/>
    <w:rsid w:val="00165FE0"/>
    <w:rsid w:val="00171463"/>
    <w:rsid w:val="00172D1A"/>
    <w:rsid w:val="001741A0"/>
    <w:rsid w:val="00174BE8"/>
    <w:rsid w:val="001751AC"/>
    <w:rsid w:val="00176E94"/>
    <w:rsid w:val="001778D1"/>
    <w:rsid w:val="0018168F"/>
    <w:rsid w:val="00183421"/>
    <w:rsid w:val="001842C2"/>
    <w:rsid w:val="00184951"/>
    <w:rsid w:val="0018583D"/>
    <w:rsid w:val="001863F5"/>
    <w:rsid w:val="00194CD0"/>
    <w:rsid w:val="00194E93"/>
    <w:rsid w:val="001A11A2"/>
    <w:rsid w:val="001A2659"/>
    <w:rsid w:val="001A279E"/>
    <w:rsid w:val="001A2A06"/>
    <w:rsid w:val="001A6926"/>
    <w:rsid w:val="001A7FDA"/>
    <w:rsid w:val="001B05B8"/>
    <w:rsid w:val="001B414D"/>
    <w:rsid w:val="001B49C9"/>
    <w:rsid w:val="001B7DA9"/>
    <w:rsid w:val="001C2CD0"/>
    <w:rsid w:val="001C5CCF"/>
    <w:rsid w:val="001C75B0"/>
    <w:rsid w:val="001D2D88"/>
    <w:rsid w:val="001D3BFF"/>
    <w:rsid w:val="001D662B"/>
    <w:rsid w:val="001D68E2"/>
    <w:rsid w:val="001E28EF"/>
    <w:rsid w:val="001E5DE7"/>
    <w:rsid w:val="001E5E16"/>
    <w:rsid w:val="001E7664"/>
    <w:rsid w:val="001F168B"/>
    <w:rsid w:val="001F36CE"/>
    <w:rsid w:val="001F7831"/>
    <w:rsid w:val="00201C2F"/>
    <w:rsid w:val="00204045"/>
    <w:rsid w:val="00205460"/>
    <w:rsid w:val="00205C48"/>
    <w:rsid w:val="00211D93"/>
    <w:rsid w:val="00217539"/>
    <w:rsid w:val="002220DD"/>
    <w:rsid w:val="0022606D"/>
    <w:rsid w:val="00231A80"/>
    <w:rsid w:val="00234E78"/>
    <w:rsid w:val="00235EA8"/>
    <w:rsid w:val="00241B8E"/>
    <w:rsid w:val="00243398"/>
    <w:rsid w:val="00245034"/>
    <w:rsid w:val="002500C4"/>
    <w:rsid w:val="002519DA"/>
    <w:rsid w:val="00256F2C"/>
    <w:rsid w:val="002710CA"/>
    <w:rsid w:val="0027345D"/>
    <w:rsid w:val="00274514"/>
    <w:rsid w:val="002747EC"/>
    <w:rsid w:val="002825F7"/>
    <w:rsid w:val="00282755"/>
    <w:rsid w:val="00283F97"/>
    <w:rsid w:val="00284494"/>
    <w:rsid w:val="002845F1"/>
    <w:rsid w:val="002855BF"/>
    <w:rsid w:val="0028563D"/>
    <w:rsid w:val="00290BB8"/>
    <w:rsid w:val="00293EBB"/>
    <w:rsid w:val="002949B1"/>
    <w:rsid w:val="002A24AA"/>
    <w:rsid w:val="002A2C53"/>
    <w:rsid w:val="002B763A"/>
    <w:rsid w:val="002C4BDF"/>
    <w:rsid w:val="002C52AF"/>
    <w:rsid w:val="002C6146"/>
    <w:rsid w:val="002C7FDB"/>
    <w:rsid w:val="002D08D3"/>
    <w:rsid w:val="002D32C0"/>
    <w:rsid w:val="002D3588"/>
    <w:rsid w:val="002D6BC2"/>
    <w:rsid w:val="002E4512"/>
    <w:rsid w:val="002F0101"/>
    <w:rsid w:val="002F0779"/>
    <w:rsid w:val="002F0D22"/>
    <w:rsid w:val="002F0D27"/>
    <w:rsid w:val="002F2B45"/>
    <w:rsid w:val="002F5FAB"/>
    <w:rsid w:val="002F6136"/>
    <w:rsid w:val="002F7C4F"/>
    <w:rsid w:val="0030003D"/>
    <w:rsid w:val="00304A8D"/>
    <w:rsid w:val="0031006D"/>
    <w:rsid w:val="00310CA3"/>
    <w:rsid w:val="00316195"/>
    <w:rsid w:val="003161B4"/>
    <w:rsid w:val="003172DC"/>
    <w:rsid w:val="003226A8"/>
    <w:rsid w:val="00322FA8"/>
    <w:rsid w:val="00325B90"/>
    <w:rsid w:val="00326069"/>
    <w:rsid w:val="0033048A"/>
    <w:rsid w:val="00352D97"/>
    <w:rsid w:val="0035462D"/>
    <w:rsid w:val="00357166"/>
    <w:rsid w:val="0035791B"/>
    <w:rsid w:val="00357FD7"/>
    <w:rsid w:val="00360093"/>
    <w:rsid w:val="00367759"/>
    <w:rsid w:val="00370277"/>
    <w:rsid w:val="00376ABD"/>
    <w:rsid w:val="0037750E"/>
    <w:rsid w:val="00384421"/>
    <w:rsid w:val="00386EFA"/>
    <w:rsid w:val="00392079"/>
    <w:rsid w:val="00394576"/>
    <w:rsid w:val="003A4E98"/>
    <w:rsid w:val="003A5A3E"/>
    <w:rsid w:val="003B0D89"/>
    <w:rsid w:val="003B430D"/>
    <w:rsid w:val="003C01BD"/>
    <w:rsid w:val="003C0494"/>
    <w:rsid w:val="003C21BD"/>
    <w:rsid w:val="003C2A96"/>
    <w:rsid w:val="003C4598"/>
    <w:rsid w:val="003C4E37"/>
    <w:rsid w:val="003D403D"/>
    <w:rsid w:val="003D6E96"/>
    <w:rsid w:val="003E0ED9"/>
    <w:rsid w:val="003E16BE"/>
    <w:rsid w:val="003E2AFA"/>
    <w:rsid w:val="003E4AD4"/>
    <w:rsid w:val="003E648B"/>
    <w:rsid w:val="003E6A5A"/>
    <w:rsid w:val="003F0A9E"/>
    <w:rsid w:val="003F1F9F"/>
    <w:rsid w:val="003F2685"/>
    <w:rsid w:val="00401855"/>
    <w:rsid w:val="004066C0"/>
    <w:rsid w:val="00410978"/>
    <w:rsid w:val="00414171"/>
    <w:rsid w:val="00414F32"/>
    <w:rsid w:val="00422517"/>
    <w:rsid w:val="004255D7"/>
    <w:rsid w:val="00425E15"/>
    <w:rsid w:val="0042761B"/>
    <w:rsid w:val="0043021C"/>
    <w:rsid w:val="00432EA4"/>
    <w:rsid w:val="004337BD"/>
    <w:rsid w:val="00433F7F"/>
    <w:rsid w:val="00442797"/>
    <w:rsid w:val="00445AB5"/>
    <w:rsid w:val="0045347A"/>
    <w:rsid w:val="004551C1"/>
    <w:rsid w:val="004555F9"/>
    <w:rsid w:val="00464EDE"/>
    <w:rsid w:val="00466118"/>
    <w:rsid w:val="00467F50"/>
    <w:rsid w:val="00474B16"/>
    <w:rsid w:val="00476542"/>
    <w:rsid w:val="00477455"/>
    <w:rsid w:val="00481014"/>
    <w:rsid w:val="004813D0"/>
    <w:rsid w:val="004819E2"/>
    <w:rsid w:val="00482066"/>
    <w:rsid w:val="0048229C"/>
    <w:rsid w:val="00487F72"/>
    <w:rsid w:val="00491DA8"/>
    <w:rsid w:val="004A0324"/>
    <w:rsid w:val="004A20E8"/>
    <w:rsid w:val="004A26DA"/>
    <w:rsid w:val="004A4285"/>
    <w:rsid w:val="004A51E7"/>
    <w:rsid w:val="004A5F34"/>
    <w:rsid w:val="004B4C7A"/>
    <w:rsid w:val="004B4FB4"/>
    <w:rsid w:val="004B6E66"/>
    <w:rsid w:val="004C42C2"/>
    <w:rsid w:val="004D2FAA"/>
    <w:rsid w:val="004D3578"/>
    <w:rsid w:val="004D380D"/>
    <w:rsid w:val="004D390A"/>
    <w:rsid w:val="004E159C"/>
    <w:rsid w:val="004E213A"/>
    <w:rsid w:val="004E7AAA"/>
    <w:rsid w:val="004F3D24"/>
    <w:rsid w:val="00503171"/>
    <w:rsid w:val="00504D76"/>
    <w:rsid w:val="00506060"/>
    <w:rsid w:val="00507AF5"/>
    <w:rsid w:val="0051369E"/>
    <w:rsid w:val="0051469E"/>
    <w:rsid w:val="005151D2"/>
    <w:rsid w:val="005252D5"/>
    <w:rsid w:val="00534DA0"/>
    <w:rsid w:val="0053584A"/>
    <w:rsid w:val="005375E6"/>
    <w:rsid w:val="005376E1"/>
    <w:rsid w:val="00540544"/>
    <w:rsid w:val="00540EF4"/>
    <w:rsid w:val="00543E6C"/>
    <w:rsid w:val="00544F98"/>
    <w:rsid w:val="00545EAB"/>
    <w:rsid w:val="00546DC4"/>
    <w:rsid w:val="00546DCA"/>
    <w:rsid w:val="00547A4C"/>
    <w:rsid w:val="005579A5"/>
    <w:rsid w:val="00565087"/>
    <w:rsid w:val="0056573F"/>
    <w:rsid w:val="005711AE"/>
    <w:rsid w:val="00581453"/>
    <w:rsid w:val="005850AD"/>
    <w:rsid w:val="0059000D"/>
    <w:rsid w:val="00592A31"/>
    <w:rsid w:val="005935C6"/>
    <w:rsid w:val="00595500"/>
    <w:rsid w:val="005A16DC"/>
    <w:rsid w:val="005A1848"/>
    <w:rsid w:val="005A504B"/>
    <w:rsid w:val="005B0554"/>
    <w:rsid w:val="005B2EA4"/>
    <w:rsid w:val="005B3245"/>
    <w:rsid w:val="005C0FDB"/>
    <w:rsid w:val="005C1BF3"/>
    <w:rsid w:val="005C2293"/>
    <w:rsid w:val="005C57A8"/>
    <w:rsid w:val="005D343C"/>
    <w:rsid w:val="005D4960"/>
    <w:rsid w:val="005D5F8B"/>
    <w:rsid w:val="005E36B0"/>
    <w:rsid w:val="005E5F83"/>
    <w:rsid w:val="005F5C79"/>
    <w:rsid w:val="00600984"/>
    <w:rsid w:val="006028B1"/>
    <w:rsid w:val="00602F04"/>
    <w:rsid w:val="00611566"/>
    <w:rsid w:val="00616F25"/>
    <w:rsid w:val="00625285"/>
    <w:rsid w:val="00625433"/>
    <w:rsid w:val="00633780"/>
    <w:rsid w:val="00633831"/>
    <w:rsid w:val="00637734"/>
    <w:rsid w:val="0064349F"/>
    <w:rsid w:val="00646D99"/>
    <w:rsid w:val="006475B9"/>
    <w:rsid w:val="00647DBD"/>
    <w:rsid w:val="006516F9"/>
    <w:rsid w:val="00654974"/>
    <w:rsid w:val="006550E8"/>
    <w:rsid w:val="00656910"/>
    <w:rsid w:val="0066204B"/>
    <w:rsid w:val="00662621"/>
    <w:rsid w:val="00664B16"/>
    <w:rsid w:val="00665F61"/>
    <w:rsid w:val="0067475A"/>
    <w:rsid w:val="006754CA"/>
    <w:rsid w:val="006776D1"/>
    <w:rsid w:val="006806B5"/>
    <w:rsid w:val="00681244"/>
    <w:rsid w:val="0068143A"/>
    <w:rsid w:val="00685F26"/>
    <w:rsid w:val="00690C58"/>
    <w:rsid w:val="00694113"/>
    <w:rsid w:val="00694446"/>
    <w:rsid w:val="006A0B35"/>
    <w:rsid w:val="006A28E7"/>
    <w:rsid w:val="006B19D5"/>
    <w:rsid w:val="006B19D6"/>
    <w:rsid w:val="006B65DB"/>
    <w:rsid w:val="006B6C1A"/>
    <w:rsid w:val="006C060B"/>
    <w:rsid w:val="006C115F"/>
    <w:rsid w:val="006C2F98"/>
    <w:rsid w:val="006C48CB"/>
    <w:rsid w:val="006C66D8"/>
    <w:rsid w:val="006C7481"/>
    <w:rsid w:val="006D1E24"/>
    <w:rsid w:val="006D6055"/>
    <w:rsid w:val="006D7530"/>
    <w:rsid w:val="006E4EB0"/>
    <w:rsid w:val="006E7543"/>
    <w:rsid w:val="006F0A74"/>
    <w:rsid w:val="006F3924"/>
    <w:rsid w:val="006F6A2C"/>
    <w:rsid w:val="007017D2"/>
    <w:rsid w:val="00702306"/>
    <w:rsid w:val="007054E8"/>
    <w:rsid w:val="007064D2"/>
    <w:rsid w:val="007201A8"/>
    <w:rsid w:val="007202FD"/>
    <w:rsid w:val="00726ECF"/>
    <w:rsid w:val="007328F6"/>
    <w:rsid w:val="00734A5B"/>
    <w:rsid w:val="0073555E"/>
    <w:rsid w:val="00743256"/>
    <w:rsid w:val="00744E76"/>
    <w:rsid w:val="00745BD6"/>
    <w:rsid w:val="00745DF4"/>
    <w:rsid w:val="00751E84"/>
    <w:rsid w:val="007546F4"/>
    <w:rsid w:val="00754703"/>
    <w:rsid w:val="00755597"/>
    <w:rsid w:val="00755CCE"/>
    <w:rsid w:val="00757D40"/>
    <w:rsid w:val="00762AD1"/>
    <w:rsid w:val="00763A99"/>
    <w:rsid w:val="0076739A"/>
    <w:rsid w:val="00772D0D"/>
    <w:rsid w:val="00773A5C"/>
    <w:rsid w:val="00781F0F"/>
    <w:rsid w:val="00783CF8"/>
    <w:rsid w:val="00785A41"/>
    <w:rsid w:val="00785C86"/>
    <w:rsid w:val="0078727C"/>
    <w:rsid w:val="00792CBD"/>
    <w:rsid w:val="00794703"/>
    <w:rsid w:val="007A0D95"/>
    <w:rsid w:val="007A2E8D"/>
    <w:rsid w:val="007A6DD5"/>
    <w:rsid w:val="007A7A31"/>
    <w:rsid w:val="007B0B3A"/>
    <w:rsid w:val="007B0B9A"/>
    <w:rsid w:val="007B18D8"/>
    <w:rsid w:val="007B4529"/>
    <w:rsid w:val="007B5DD8"/>
    <w:rsid w:val="007B5E5E"/>
    <w:rsid w:val="007C095F"/>
    <w:rsid w:val="007C20EA"/>
    <w:rsid w:val="007C367C"/>
    <w:rsid w:val="007C5C35"/>
    <w:rsid w:val="007C6F88"/>
    <w:rsid w:val="007D4B8E"/>
    <w:rsid w:val="007E0E7C"/>
    <w:rsid w:val="007E2C59"/>
    <w:rsid w:val="007E3DD5"/>
    <w:rsid w:val="007E3F64"/>
    <w:rsid w:val="007E5ACF"/>
    <w:rsid w:val="007E7646"/>
    <w:rsid w:val="007F3BC4"/>
    <w:rsid w:val="007F6E98"/>
    <w:rsid w:val="00801B28"/>
    <w:rsid w:val="00801BFD"/>
    <w:rsid w:val="008028A4"/>
    <w:rsid w:val="00802E01"/>
    <w:rsid w:val="00803572"/>
    <w:rsid w:val="00804312"/>
    <w:rsid w:val="008068B6"/>
    <w:rsid w:val="00806CC4"/>
    <w:rsid w:val="00814B79"/>
    <w:rsid w:val="00816507"/>
    <w:rsid w:val="00816D4D"/>
    <w:rsid w:val="00817E4A"/>
    <w:rsid w:val="00823F2B"/>
    <w:rsid w:val="008246A0"/>
    <w:rsid w:val="00826685"/>
    <w:rsid w:val="008268CE"/>
    <w:rsid w:val="00831223"/>
    <w:rsid w:val="008314F0"/>
    <w:rsid w:val="00832A46"/>
    <w:rsid w:val="00833BD5"/>
    <w:rsid w:val="00834AD1"/>
    <w:rsid w:val="008353F8"/>
    <w:rsid w:val="00843BD9"/>
    <w:rsid w:val="00847C9D"/>
    <w:rsid w:val="008531D2"/>
    <w:rsid w:val="00855460"/>
    <w:rsid w:val="008610FC"/>
    <w:rsid w:val="00864969"/>
    <w:rsid w:val="0086539A"/>
    <w:rsid w:val="00865FF5"/>
    <w:rsid w:val="008660AD"/>
    <w:rsid w:val="008663F0"/>
    <w:rsid w:val="0086716D"/>
    <w:rsid w:val="008717A7"/>
    <w:rsid w:val="0087443D"/>
    <w:rsid w:val="00875FE4"/>
    <w:rsid w:val="00876863"/>
    <w:rsid w:val="008768CA"/>
    <w:rsid w:val="00877F26"/>
    <w:rsid w:val="00880559"/>
    <w:rsid w:val="00881B80"/>
    <w:rsid w:val="00883564"/>
    <w:rsid w:val="008840FF"/>
    <w:rsid w:val="00884944"/>
    <w:rsid w:val="00886976"/>
    <w:rsid w:val="00886E81"/>
    <w:rsid w:val="008930EB"/>
    <w:rsid w:val="00897668"/>
    <w:rsid w:val="008A1F7A"/>
    <w:rsid w:val="008A2986"/>
    <w:rsid w:val="008A7413"/>
    <w:rsid w:val="008B0648"/>
    <w:rsid w:val="008B2259"/>
    <w:rsid w:val="008B511B"/>
    <w:rsid w:val="008B5129"/>
    <w:rsid w:val="008B7A6D"/>
    <w:rsid w:val="008C1254"/>
    <w:rsid w:val="008C3221"/>
    <w:rsid w:val="008D7B95"/>
    <w:rsid w:val="008E4342"/>
    <w:rsid w:val="008E4652"/>
    <w:rsid w:val="008F32DB"/>
    <w:rsid w:val="0090235E"/>
    <w:rsid w:val="0090271F"/>
    <w:rsid w:val="0091687F"/>
    <w:rsid w:val="00916B4F"/>
    <w:rsid w:val="009175D3"/>
    <w:rsid w:val="009208AA"/>
    <w:rsid w:val="00920F04"/>
    <w:rsid w:val="00921AE5"/>
    <w:rsid w:val="009266F1"/>
    <w:rsid w:val="00931061"/>
    <w:rsid w:val="009332E9"/>
    <w:rsid w:val="00933DF8"/>
    <w:rsid w:val="00933E02"/>
    <w:rsid w:val="00934F92"/>
    <w:rsid w:val="00935C48"/>
    <w:rsid w:val="009368F7"/>
    <w:rsid w:val="00937E12"/>
    <w:rsid w:val="00937E77"/>
    <w:rsid w:val="00942EC2"/>
    <w:rsid w:val="009514FF"/>
    <w:rsid w:val="00961B32"/>
    <w:rsid w:val="009664FF"/>
    <w:rsid w:val="009678AB"/>
    <w:rsid w:val="009707EB"/>
    <w:rsid w:val="00974BB0"/>
    <w:rsid w:val="00974C31"/>
    <w:rsid w:val="00977040"/>
    <w:rsid w:val="00977E87"/>
    <w:rsid w:val="009802BA"/>
    <w:rsid w:val="00980D60"/>
    <w:rsid w:val="00983994"/>
    <w:rsid w:val="00987003"/>
    <w:rsid w:val="00987368"/>
    <w:rsid w:val="009905B5"/>
    <w:rsid w:val="009957D3"/>
    <w:rsid w:val="00997F3F"/>
    <w:rsid w:val="009A2B55"/>
    <w:rsid w:val="009B04B1"/>
    <w:rsid w:val="009B07CD"/>
    <w:rsid w:val="009C0FC4"/>
    <w:rsid w:val="009C11C3"/>
    <w:rsid w:val="009C229E"/>
    <w:rsid w:val="009C3AFC"/>
    <w:rsid w:val="009C4BE5"/>
    <w:rsid w:val="009C6446"/>
    <w:rsid w:val="009C7434"/>
    <w:rsid w:val="009D3E41"/>
    <w:rsid w:val="009D547F"/>
    <w:rsid w:val="009E6120"/>
    <w:rsid w:val="009E7A4D"/>
    <w:rsid w:val="009F1CA2"/>
    <w:rsid w:val="009F62EC"/>
    <w:rsid w:val="009F6E12"/>
    <w:rsid w:val="00A05E97"/>
    <w:rsid w:val="00A06005"/>
    <w:rsid w:val="00A06A73"/>
    <w:rsid w:val="00A10F02"/>
    <w:rsid w:val="00A1189A"/>
    <w:rsid w:val="00A122CF"/>
    <w:rsid w:val="00A14B2B"/>
    <w:rsid w:val="00A23FC4"/>
    <w:rsid w:val="00A325B1"/>
    <w:rsid w:val="00A3305F"/>
    <w:rsid w:val="00A36BCE"/>
    <w:rsid w:val="00A41AF6"/>
    <w:rsid w:val="00A45FE2"/>
    <w:rsid w:val="00A47851"/>
    <w:rsid w:val="00A53724"/>
    <w:rsid w:val="00A558DF"/>
    <w:rsid w:val="00A5684F"/>
    <w:rsid w:val="00A575A8"/>
    <w:rsid w:val="00A57D6D"/>
    <w:rsid w:val="00A62961"/>
    <w:rsid w:val="00A70614"/>
    <w:rsid w:val="00A70BEF"/>
    <w:rsid w:val="00A7177C"/>
    <w:rsid w:val="00A73D42"/>
    <w:rsid w:val="00A82346"/>
    <w:rsid w:val="00A823E0"/>
    <w:rsid w:val="00A82E8A"/>
    <w:rsid w:val="00A9671C"/>
    <w:rsid w:val="00AA31D3"/>
    <w:rsid w:val="00AA5E39"/>
    <w:rsid w:val="00AB1A18"/>
    <w:rsid w:val="00AB21D9"/>
    <w:rsid w:val="00AB3F16"/>
    <w:rsid w:val="00AB4D6C"/>
    <w:rsid w:val="00AB638B"/>
    <w:rsid w:val="00AC22FF"/>
    <w:rsid w:val="00AC4BFF"/>
    <w:rsid w:val="00AC7E9C"/>
    <w:rsid w:val="00AD0ACD"/>
    <w:rsid w:val="00AD7DB0"/>
    <w:rsid w:val="00AE040B"/>
    <w:rsid w:val="00AE1560"/>
    <w:rsid w:val="00AE27A7"/>
    <w:rsid w:val="00AE42EE"/>
    <w:rsid w:val="00AF3271"/>
    <w:rsid w:val="00AF45F4"/>
    <w:rsid w:val="00AF474E"/>
    <w:rsid w:val="00B007F4"/>
    <w:rsid w:val="00B00D9F"/>
    <w:rsid w:val="00B00FC1"/>
    <w:rsid w:val="00B05FE9"/>
    <w:rsid w:val="00B075FF"/>
    <w:rsid w:val="00B07A03"/>
    <w:rsid w:val="00B106C3"/>
    <w:rsid w:val="00B151BE"/>
    <w:rsid w:val="00B15449"/>
    <w:rsid w:val="00B1576F"/>
    <w:rsid w:val="00B21FDB"/>
    <w:rsid w:val="00B22A1E"/>
    <w:rsid w:val="00B359D8"/>
    <w:rsid w:val="00B35A7C"/>
    <w:rsid w:val="00B3671D"/>
    <w:rsid w:val="00B36A57"/>
    <w:rsid w:val="00B37D83"/>
    <w:rsid w:val="00B403B3"/>
    <w:rsid w:val="00B407B7"/>
    <w:rsid w:val="00B419A4"/>
    <w:rsid w:val="00B41E66"/>
    <w:rsid w:val="00B421F2"/>
    <w:rsid w:val="00B42500"/>
    <w:rsid w:val="00B429BB"/>
    <w:rsid w:val="00B45E17"/>
    <w:rsid w:val="00B47FD1"/>
    <w:rsid w:val="00B52126"/>
    <w:rsid w:val="00B55E03"/>
    <w:rsid w:val="00B62C44"/>
    <w:rsid w:val="00B643EA"/>
    <w:rsid w:val="00B65110"/>
    <w:rsid w:val="00B71112"/>
    <w:rsid w:val="00B729FF"/>
    <w:rsid w:val="00B75553"/>
    <w:rsid w:val="00B7710D"/>
    <w:rsid w:val="00B80313"/>
    <w:rsid w:val="00B82E70"/>
    <w:rsid w:val="00B84530"/>
    <w:rsid w:val="00B858DB"/>
    <w:rsid w:val="00B85923"/>
    <w:rsid w:val="00B93022"/>
    <w:rsid w:val="00B958F1"/>
    <w:rsid w:val="00B9597D"/>
    <w:rsid w:val="00B96C86"/>
    <w:rsid w:val="00B97043"/>
    <w:rsid w:val="00BA0577"/>
    <w:rsid w:val="00BA247D"/>
    <w:rsid w:val="00BA5C29"/>
    <w:rsid w:val="00BB17FC"/>
    <w:rsid w:val="00BB2E05"/>
    <w:rsid w:val="00BB49FE"/>
    <w:rsid w:val="00BB4A3B"/>
    <w:rsid w:val="00BB5AD8"/>
    <w:rsid w:val="00BC3936"/>
    <w:rsid w:val="00BC4D65"/>
    <w:rsid w:val="00BC58B7"/>
    <w:rsid w:val="00BC7898"/>
    <w:rsid w:val="00BD00BF"/>
    <w:rsid w:val="00BD0A57"/>
    <w:rsid w:val="00BE5542"/>
    <w:rsid w:val="00BE749D"/>
    <w:rsid w:val="00BF021E"/>
    <w:rsid w:val="00BF3950"/>
    <w:rsid w:val="00BF4D83"/>
    <w:rsid w:val="00BF7487"/>
    <w:rsid w:val="00BF7AD4"/>
    <w:rsid w:val="00C013D6"/>
    <w:rsid w:val="00C10CB9"/>
    <w:rsid w:val="00C118CE"/>
    <w:rsid w:val="00C120C0"/>
    <w:rsid w:val="00C12B51"/>
    <w:rsid w:val="00C138C4"/>
    <w:rsid w:val="00C16CAB"/>
    <w:rsid w:val="00C21472"/>
    <w:rsid w:val="00C218D1"/>
    <w:rsid w:val="00C2422B"/>
    <w:rsid w:val="00C33045"/>
    <w:rsid w:val="00C33079"/>
    <w:rsid w:val="00C50588"/>
    <w:rsid w:val="00C522DE"/>
    <w:rsid w:val="00C523F4"/>
    <w:rsid w:val="00C545DC"/>
    <w:rsid w:val="00C54DD0"/>
    <w:rsid w:val="00C57DCA"/>
    <w:rsid w:val="00C608C8"/>
    <w:rsid w:val="00C60F8F"/>
    <w:rsid w:val="00C659DA"/>
    <w:rsid w:val="00C67C94"/>
    <w:rsid w:val="00C70261"/>
    <w:rsid w:val="00C71234"/>
    <w:rsid w:val="00C737CC"/>
    <w:rsid w:val="00C801C2"/>
    <w:rsid w:val="00C83A13"/>
    <w:rsid w:val="00C905FB"/>
    <w:rsid w:val="00C91888"/>
    <w:rsid w:val="00C92312"/>
    <w:rsid w:val="00C9744B"/>
    <w:rsid w:val="00CA12ED"/>
    <w:rsid w:val="00CA3D0C"/>
    <w:rsid w:val="00CA5314"/>
    <w:rsid w:val="00CA7F1B"/>
    <w:rsid w:val="00CB4FB2"/>
    <w:rsid w:val="00CB5C6E"/>
    <w:rsid w:val="00CB69BA"/>
    <w:rsid w:val="00CB7E17"/>
    <w:rsid w:val="00CC126A"/>
    <w:rsid w:val="00CC1E29"/>
    <w:rsid w:val="00CC4CBC"/>
    <w:rsid w:val="00CC559E"/>
    <w:rsid w:val="00CC7621"/>
    <w:rsid w:val="00CD1FC2"/>
    <w:rsid w:val="00CD4C7B"/>
    <w:rsid w:val="00CD7510"/>
    <w:rsid w:val="00CE09D3"/>
    <w:rsid w:val="00CE0A31"/>
    <w:rsid w:val="00CE1DFE"/>
    <w:rsid w:val="00CE2626"/>
    <w:rsid w:val="00CE2F7C"/>
    <w:rsid w:val="00CE4AA6"/>
    <w:rsid w:val="00CE58A8"/>
    <w:rsid w:val="00CF14BD"/>
    <w:rsid w:val="00CF18E5"/>
    <w:rsid w:val="00D00A0F"/>
    <w:rsid w:val="00D0150E"/>
    <w:rsid w:val="00D0346A"/>
    <w:rsid w:val="00D06D66"/>
    <w:rsid w:val="00D12162"/>
    <w:rsid w:val="00D12882"/>
    <w:rsid w:val="00D173E0"/>
    <w:rsid w:val="00D203BA"/>
    <w:rsid w:val="00D20433"/>
    <w:rsid w:val="00D20564"/>
    <w:rsid w:val="00D268AF"/>
    <w:rsid w:val="00D30C3E"/>
    <w:rsid w:val="00D318A7"/>
    <w:rsid w:val="00D338A9"/>
    <w:rsid w:val="00D37B5B"/>
    <w:rsid w:val="00D50815"/>
    <w:rsid w:val="00D5329B"/>
    <w:rsid w:val="00D631E3"/>
    <w:rsid w:val="00D70829"/>
    <w:rsid w:val="00D70CC2"/>
    <w:rsid w:val="00D73508"/>
    <w:rsid w:val="00D738D6"/>
    <w:rsid w:val="00D80795"/>
    <w:rsid w:val="00D82E1F"/>
    <w:rsid w:val="00D83270"/>
    <w:rsid w:val="00D87E00"/>
    <w:rsid w:val="00D9134D"/>
    <w:rsid w:val="00D93803"/>
    <w:rsid w:val="00D93AE1"/>
    <w:rsid w:val="00D94F9F"/>
    <w:rsid w:val="00D95898"/>
    <w:rsid w:val="00D95CF9"/>
    <w:rsid w:val="00D96D11"/>
    <w:rsid w:val="00D97702"/>
    <w:rsid w:val="00DA3EDB"/>
    <w:rsid w:val="00DA7A03"/>
    <w:rsid w:val="00DB1818"/>
    <w:rsid w:val="00DB4430"/>
    <w:rsid w:val="00DB44F7"/>
    <w:rsid w:val="00DB5C8B"/>
    <w:rsid w:val="00DC1D94"/>
    <w:rsid w:val="00DC309B"/>
    <w:rsid w:val="00DC46CC"/>
    <w:rsid w:val="00DC4DA2"/>
    <w:rsid w:val="00DD179E"/>
    <w:rsid w:val="00DD650B"/>
    <w:rsid w:val="00DE21A1"/>
    <w:rsid w:val="00DE71DA"/>
    <w:rsid w:val="00DF416E"/>
    <w:rsid w:val="00DF59E1"/>
    <w:rsid w:val="00DF739E"/>
    <w:rsid w:val="00E001D3"/>
    <w:rsid w:val="00E02474"/>
    <w:rsid w:val="00E03024"/>
    <w:rsid w:val="00E03893"/>
    <w:rsid w:val="00E1575F"/>
    <w:rsid w:val="00E159F4"/>
    <w:rsid w:val="00E16739"/>
    <w:rsid w:val="00E223B2"/>
    <w:rsid w:val="00E245FD"/>
    <w:rsid w:val="00E275A4"/>
    <w:rsid w:val="00E33458"/>
    <w:rsid w:val="00E338A6"/>
    <w:rsid w:val="00E36231"/>
    <w:rsid w:val="00E36B07"/>
    <w:rsid w:val="00E4045F"/>
    <w:rsid w:val="00E466EA"/>
    <w:rsid w:val="00E50A28"/>
    <w:rsid w:val="00E525FC"/>
    <w:rsid w:val="00E53130"/>
    <w:rsid w:val="00E53962"/>
    <w:rsid w:val="00E5474E"/>
    <w:rsid w:val="00E55810"/>
    <w:rsid w:val="00E6140C"/>
    <w:rsid w:val="00E61AC1"/>
    <w:rsid w:val="00E622D3"/>
    <w:rsid w:val="00E62835"/>
    <w:rsid w:val="00E63184"/>
    <w:rsid w:val="00E6582C"/>
    <w:rsid w:val="00E67834"/>
    <w:rsid w:val="00E679B1"/>
    <w:rsid w:val="00E72AF7"/>
    <w:rsid w:val="00E743E5"/>
    <w:rsid w:val="00E74C3F"/>
    <w:rsid w:val="00E7504C"/>
    <w:rsid w:val="00E76123"/>
    <w:rsid w:val="00E77645"/>
    <w:rsid w:val="00E779F0"/>
    <w:rsid w:val="00E77E70"/>
    <w:rsid w:val="00E80B82"/>
    <w:rsid w:val="00E811ED"/>
    <w:rsid w:val="00E85882"/>
    <w:rsid w:val="00E85C83"/>
    <w:rsid w:val="00E915F0"/>
    <w:rsid w:val="00E92666"/>
    <w:rsid w:val="00E92AC9"/>
    <w:rsid w:val="00E93DCB"/>
    <w:rsid w:val="00E9454B"/>
    <w:rsid w:val="00EA05AE"/>
    <w:rsid w:val="00EA07EA"/>
    <w:rsid w:val="00EA399D"/>
    <w:rsid w:val="00EA50F9"/>
    <w:rsid w:val="00EB0560"/>
    <w:rsid w:val="00EB27FA"/>
    <w:rsid w:val="00EB2948"/>
    <w:rsid w:val="00EC0C0F"/>
    <w:rsid w:val="00EC4A25"/>
    <w:rsid w:val="00ED3D5A"/>
    <w:rsid w:val="00EE0F99"/>
    <w:rsid w:val="00EE4C68"/>
    <w:rsid w:val="00EE4D8F"/>
    <w:rsid w:val="00EE61A4"/>
    <w:rsid w:val="00EF32C4"/>
    <w:rsid w:val="00EF4ABA"/>
    <w:rsid w:val="00EF4F87"/>
    <w:rsid w:val="00EF5C04"/>
    <w:rsid w:val="00EF6B50"/>
    <w:rsid w:val="00F0096D"/>
    <w:rsid w:val="00F01491"/>
    <w:rsid w:val="00F025A2"/>
    <w:rsid w:val="00F02705"/>
    <w:rsid w:val="00F050AD"/>
    <w:rsid w:val="00F06888"/>
    <w:rsid w:val="00F07388"/>
    <w:rsid w:val="00F078C8"/>
    <w:rsid w:val="00F10322"/>
    <w:rsid w:val="00F106FC"/>
    <w:rsid w:val="00F110DD"/>
    <w:rsid w:val="00F139BA"/>
    <w:rsid w:val="00F15B56"/>
    <w:rsid w:val="00F168B8"/>
    <w:rsid w:val="00F2026E"/>
    <w:rsid w:val="00F2210A"/>
    <w:rsid w:val="00F253B2"/>
    <w:rsid w:val="00F304D2"/>
    <w:rsid w:val="00F360F1"/>
    <w:rsid w:val="00F37743"/>
    <w:rsid w:val="00F40C4F"/>
    <w:rsid w:val="00F419F4"/>
    <w:rsid w:val="00F437DA"/>
    <w:rsid w:val="00F438FD"/>
    <w:rsid w:val="00F54A3D"/>
    <w:rsid w:val="00F57A8E"/>
    <w:rsid w:val="00F61B3C"/>
    <w:rsid w:val="00F653B8"/>
    <w:rsid w:val="00F6613D"/>
    <w:rsid w:val="00F743A2"/>
    <w:rsid w:val="00F746ED"/>
    <w:rsid w:val="00F76F8F"/>
    <w:rsid w:val="00F776EB"/>
    <w:rsid w:val="00F81833"/>
    <w:rsid w:val="00F826F8"/>
    <w:rsid w:val="00F82E70"/>
    <w:rsid w:val="00F83E7E"/>
    <w:rsid w:val="00F86180"/>
    <w:rsid w:val="00F909AE"/>
    <w:rsid w:val="00F9595C"/>
    <w:rsid w:val="00F95998"/>
    <w:rsid w:val="00F95D89"/>
    <w:rsid w:val="00F9789D"/>
    <w:rsid w:val="00FA1266"/>
    <w:rsid w:val="00FA5190"/>
    <w:rsid w:val="00FA5A9B"/>
    <w:rsid w:val="00FA7EDB"/>
    <w:rsid w:val="00FB1480"/>
    <w:rsid w:val="00FB5B7B"/>
    <w:rsid w:val="00FB66B2"/>
    <w:rsid w:val="00FB7208"/>
    <w:rsid w:val="00FC1192"/>
    <w:rsid w:val="00FC562B"/>
    <w:rsid w:val="00FC6C6F"/>
    <w:rsid w:val="00FD00C4"/>
    <w:rsid w:val="00FD03D1"/>
    <w:rsid w:val="00FD1732"/>
    <w:rsid w:val="00FD4976"/>
    <w:rsid w:val="00FD5CE7"/>
    <w:rsid w:val="00FD5DB4"/>
    <w:rsid w:val="00FD7E09"/>
    <w:rsid w:val="00FE2651"/>
    <w:rsid w:val="00FE399C"/>
    <w:rsid w:val="00FF0D30"/>
    <w:rsid w:val="00FF5F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2FD01"/>
  <w15:chartTrackingRefBased/>
  <w15:docId w15:val="{6DC759F0-7902-4A9F-8A35-ACD99AA06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aliases w:val="cap,cap Char,Caption Char,Caption Char1 Char,cap Char Char1,Caption Char Char1 Char,cap Char2,题注"/>
    <w:basedOn w:val="Normal"/>
    <w:next w:val="Normal"/>
    <w:link w:val="CaptionChar1"/>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paragraph" w:customStyle="1" w:styleId="00BodyText">
    <w:name w:val="00 BodyText"/>
    <w:basedOn w:val="Normal"/>
    <w:rsid w:val="004B4C7A"/>
    <w:pPr>
      <w:spacing w:after="220"/>
    </w:pPr>
    <w:rPr>
      <w:rFonts w:ascii="Arial" w:eastAsia="SimSun" w:hAnsi="Arial"/>
      <w:sz w:val="22"/>
      <w:lang w:val="en-US"/>
    </w:rPr>
  </w:style>
  <w:style w:type="character" w:customStyle="1" w:styleId="CaptionChar1">
    <w:name w:val="Caption Char1"/>
    <w:aliases w:val="cap Char1,cap Char Char,Caption Char Char,Caption Char1 Char Char,cap Char Char1 Char,Caption Char Char1 Char Char,cap Char2 Char,题注 Char"/>
    <w:link w:val="Caption"/>
    <w:rsid w:val="004B4C7A"/>
    <w:rPr>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78218">
      <w:bodyDiv w:val="1"/>
      <w:marLeft w:val="0"/>
      <w:marRight w:val="0"/>
      <w:marTop w:val="0"/>
      <w:marBottom w:val="0"/>
      <w:divBdr>
        <w:top w:val="none" w:sz="0" w:space="0" w:color="auto"/>
        <w:left w:val="none" w:sz="0" w:space="0" w:color="auto"/>
        <w:bottom w:val="none" w:sz="0" w:space="0" w:color="auto"/>
        <w:right w:val="none" w:sz="0" w:space="0" w:color="auto"/>
      </w:divBdr>
      <w:divsChild>
        <w:div w:id="1049107935">
          <w:marLeft w:val="1699"/>
          <w:marRight w:val="0"/>
          <w:marTop w:val="77"/>
          <w:marBottom w:val="0"/>
          <w:divBdr>
            <w:top w:val="none" w:sz="0" w:space="0" w:color="auto"/>
            <w:left w:val="none" w:sz="0" w:space="0" w:color="auto"/>
            <w:bottom w:val="none" w:sz="0" w:space="0" w:color="auto"/>
            <w:right w:val="none" w:sz="0" w:space="0" w:color="auto"/>
          </w:divBdr>
        </w:div>
      </w:divsChild>
    </w:div>
    <w:div w:id="52047815">
      <w:bodyDiv w:val="1"/>
      <w:marLeft w:val="0"/>
      <w:marRight w:val="0"/>
      <w:marTop w:val="0"/>
      <w:marBottom w:val="0"/>
      <w:divBdr>
        <w:top w:val="none" w:sz="0" w:space="0" w:color="auto"/>
        <w:left w:val="none" w:sz="0" w:space="0" w:color="auto"/>
        <w:bottom w:val="none" w:sz="0" w:space="0" w:color="auto"/>
        <w:right w:val="none" w:sz="0" w:space="0" w:color="auto"/>
      </w:divBdr>
    </w:div>
    <w:div w:id="198671213">
      <w:bodyDiv w:val="1"/>
      <w:marLeft w:val="0"/>
      <w:marRight w:val="0"/>
      <w:marTop w:val="0"/>
      <w:marBottom w:val="0"/>
      <w:divBdr>
        <w:top w:val="none" w:sz="0" w:space="0" w:color="auto"/>
        <w:left w:val="none" w:sz="0" w:space="0" w:color="auto"/>
        <w:bottom w:val="none" w:sz="0" w:space="0" w:color="auto"/>
        <w:right w:val="none" w:sz="0" w:space="0" w:color="auto"/>
      </w:divBdr>
      <w:divsChild>
        <w:div w:id="1556428807">
          <w:marLeft w:val="547"/>
          <w:marRight w:val="0"/>
          <w:marTop w:val="115"/>
          <w:marBottom w:val="0"/>
          <w:divBdr>
            <w:top w:val="none" w:sz="0" w:space="0" w:color="auto"/>
            <w:left w:val="none" w:sz="0" w:space="0" w:color="auto"/>
            <w:bottom w:val="none" w:sz="0" w:space="0" w:color="auto"/>
            <w:right w:val="none" w:sz="0" w:space="0" w:color="auto"/>
          </w:divBdr>
        </w:div>
      </w:divsChild>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3809675">
      <w:bodyDiv w:val="1"/>
      <w:marLeft w:val="0"/>
      <w:marRight w:val="0"/>
      <w:marTop w:val="0"/>
      <w:marBottom w:val="0"/>
      <w:divBdr>
        <w:top w:val="none" w:sz="0" w:space="0" w:color="auto"/>
        <w:left w:val="none" w:sz="0" w:space="0" w:color="auto"/>
        <w:bottom w:val="none" w:sz="0" w:space="0" w:color="auto"/>
        <w:right w:val="none" w:sz="0" w:space="0" w:color="auto"/>
      </w:divBdr>
      <w:divsChild>
        <w:div w:id="436679303">
          <w:marLeft w:val="1267"/>
          <w:marRight w:val="0"/>
          <w:marTop w:val="77"/>
          <w:marBottom w:val="0"/>
          <w:divBdr>
            <w:top w:val="none" w:sz="0" w:space="0" w:color="auto"/>
            <w:left w:val="none" w:sz="0" w:space="0" w:color="auto"/>
            <w:bottom w:val="none" w:sz="0" w:space="0" w:color="auto"/>
            <w:right w:val="none" w:sz="0" w:space="0" w:color="auto"/>
          </w:divBdr>
        </w:div>
        <w:div w:id="532616057">
          <w:marLeft w:val="547"/>
          <w:marRight w:val="0"/>
          <w:marTop w:val="77"/>
          <w:marBottom w:val="0"/>
          <w:divBdr>
            <w:top w:val="none" w:sz="0" w:space="0" w:color="auto"/>
            <w:left w:val="none" w:sz="0" w:space="0" w:color="auto"/>
            <w:bottom w:val="none" w:sz="0" w:space="0" w:color="auto"/>
            <w:right w:val="none" w:sz="0" w:space="0" w:color="auto"/>
          </w:divBdr>
        </w:div>
        <w:div w:id="743986827">
          <w:marLeft w:val="1166"/>
          <w:marRight w:val="0"/>
          <w:marTop w:val="77"/>
          <w:marBottom w:val="0"/>
          <w:divBdr>
            <w:top w:val="none" w:sz="0" w:space="0" w:color="auto"/>
            <w:left w:val="none" w:sz="0" w:space="0" w:color="auto"/>
            <w:bottom w:val="none" w:sz="0" w:space="0" w:color="auto"/>
            <w:right w:val="none" w:sz="0" w:space="0" w:color="auto"/>
          </w:divBdr>
        </w:div>
        <w:div w:id="788550122">
          <w:marLeft w:val="547"/>
          <w:marRight w:val="0"/>
          <w:marTop w:val="77"/>
          <w:marBottom w:val="0"/>
          <w:divBdr>
            <w:top w:val="none" w:sz="0" w:space="0" w:color="auto"/>
            <w:left w:val="none" w:sz="0" w:space="0" w:color="auto"/>
            <w:bottom w:val="none" w:sz="0" w:space="0" w:color="auto"/>
            <w:right w:val="none" w:sz="0" w:space="0" w:color="auto"/>
          </w:divBdr>
        </w:div>
        <w:div w:id="824783026">
          <w:marLeft w:val="547"/>
          <w:marRight w:val="0"/>
          <w:marTop w:val="77"/>
          <w:marBottom w:val="0"/>
          <w:divBdr>
            <w:top w:val="none" w:sz="0" w:space="0" w:color="auto"/>
            <w:left w:val="none" w:sz="0" w:space="0" w:color="auto"/>
            <w:bottom w:val="none" w:sz="0" w:space="0" w:color="auto"/>
            <w:right w:val="none" w:sz="0" w:space="0" w:color="auto"/>
          </w:divBdr>
        </w:div>
        <w:div w:id="1130785860">
          <w:marLeft w:val="1166"/>
          <w:marRight w:val="0"/>
          <w:marTop w:val="77"/>
          <w:marBottom w:val="0"/>
          <w:divBdr>
            <w:top w:val="none" w:sz="0" w:space="0" w:color="auto"/>
            <w:left w:val="none" w:sz="0" w:space="0" w:color="auto"/>
            <w:bottom w:val="none" w:sz="0" w:space="0" w:color="auto"/>
            <w:right w:val="none" w:sz="0" w:space="0" w:color="auto"/>
          </w:divBdr>
        </w:div>
        <w:div w:id="1211966224">
          <w:marLeft w:val="547"/>
          <w:marRight w:val="0"/>
          <w:marTop w:val="77"/>
          <w:marBottom w:val="0"/>
          <w:divBdr>
            <w:top w:val="none" w:sz="0" w:space="0" w:color="auto"/>
            <w:left w:val="none" w:sz="0" w:space="0" w:color="auto"/>
            <w:bottom w:val="none" w:sz="0" w:space="0" w:color="auto"/>
            <w:right w:val="none" w:sz="0" w:space="0" w:color="auto"/>
          </w:divBdr>
        </w:div>
        <w:div w:id="1304385911">
          <w:marLeft w:val="1166"/>
          <w:marRight w:val="0"/>
          <w:marTop w:val="77"/>
          <w:marBottom w:val="0"/>
          <w:divBdr>
            <w:top w:val="none" w:sz="0" w:space="0" w:color="auto"/>
            <w:left w:val="none" w:sz="0" w:space="0" w:color="auto"/>
            <w:bottom w:val="none" w:sz="0" w:space="0" w:color="auto"/>
            <w:right w:val="none" w:sz="0" w:space="0" w:color="auto"/>
          </w:divBdr>
        </w:div>
        <w:div w:id="1734423208">
          <w:marLeft w:val="1267"/>
          <w:marRight w:val="0"/>
          <w:marTop w:val="77"/>
          <w:marBottom w:val="0"/>
          <w:divBdr>
            <w:top w:val="none" w:sz="0" w:space="0" w:color="auto"/>
            <w:left w:val="none" w:sz="0" w:space="0" w:color="auto"/>
            <w:bottom w:val="none" w:sz="0" w:space="0" w:color="auto"/>
            <w:right w:val="none" w:sz="0" w:space="0" w:color="auto"/>
          </w:divBdr>
        </w:div>
        <w:div w:id="1848716662">
          <w:marLeft w:val="1166"/>
          <w:marRight w:val="0"/>
          <w:marTop w:val="77"/>
          <w:marBottom w:val="0"/>
          <w:divBdr>
            <w:top w:val="none" w:sz="0" w:space="0" w:color="auto"/>
            <w:left w:val="none" w:sz="0" w:space="0" w:color="auto"/>
            <w:bottom w:val="none" w:sz="0" w:space="0" w:color="auto"/>
            <w:right w:val="none" w:sz="0" w:space="0" w:color="auto"/>
          </w:divBdr>
        </w:div>
        <w:div w:id="1933707392">
          <w:marLeft w:val="547"/>
          <w:marRight w:val="0"/>
          <w:marTop w:val="77"/>
          <w:marBottom w:val="0"/>
          <w:divBdr>
            <w:top w:val="none" w:sz="0" w:space="0" w:color="auto"/>
            <w:left w:val="none" w:sz="0" w:space="0" w:color="auto"/>
            <w:bottom w:val="none" w:sz="0" w:space="0" w:color="auto"/>
            <w:right w:val="none" w:sz="0" w:space="0" w:color="auto"/>
          </w:divBdr>
        </w:div>
      </w:divsChild>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994987420">
      <w:bodyDiv w:val="1"/>
      <w:marLeft w:val="0"/>
      <w:marRight w:val="0"/>
      <w:marTop w:val="0"/>
      <w:marBottom w:val="0"/>
      <w:divBdr>
        <w:top w:val="none" w:sz="0" w:space="0" w:color="auto"/>
        <w:left w:val="none" w:sz="0" w:space="0" w:color="auto"/>
        <w:bottom w:val="none" w:sz="0" w:space="0" w:color="auto"/>
        <w:right w:val="none" w:sz="0" w:space="0" w:color="auto"/>
      </w:divBdr>
      <w:divsChild>
        <w:div w:id="263196756">
          <w:marLeft w:val="432"/>
          <w:marRight w:val="0"/>
          <w:marTop w:val="86"/>
          <w:marBottom w:val="0"/>
          <w:divBdr>
            <w:top w:val="none" w:sz="0" w:space="0" w:color="auto"/>
            <w:left w:val="none" w:sz="0" w:space="0" w:color="auto"/>
            <w:bottom w:val="none" w:sz="0" w:space="0" w:color="auto"/>
            <w:right w:val="none" w:sz="0" w:space="0" w:color="auto"/>
          </w:divBdr>
        </w:div>
        <w:div w:id="703942924">
          <w:marLeft w:val="2117"/>
          <w:marRight w:val="0"/>
          <w:marTop w:val="67"/>
          <w:marBottom w:val="0"/>
          <w:divBdr>
            <w:top w:val="none" w:sz="0" w:space="0" w:color="auto"/>
            <w:left w:val="none" w:sz="0" w:space="0" w:color="auto"/>
            <w:bottom w:val="none" w:sz="0" w:space="0" w:color="auto"/>
            <w:right w:val="none" w:sz="0" w:space="0" w:color="auto"/>
          </w:divBdr>
        </w:div>
        <w:div w:id="965047440">
          <w:marLeft w:val="1267"/>
          <w:marRight w:val="0"/>
          <w:marTop w:val="77"/>
          <w:marBottom w:val="0"/>
          <w:divBdr>
            <w:top w:val="none" w:sz="0" w:space="0" w:color="auto"/>
            <w:left w:val="none" w:sz="0" w:space="0" w:color="auto"/>
            <w:bottom w:val="none" w:sz="0" w:space="0" w:color="auto"/>
            <w:right w:val="none" w:sz="0" w:space="0" w:color="auto"/>
          </w:divBdr>
        </w:div>
        <w:div w:id="1101798974">
          <w:marLeft w:val="850"/>
          <w:marRight w:val="0"/>
          <w:marTop w:val="77"/>
          <w:marBottom w:val="0"/>
          <w:divBdr>
            <w:top w:val="none" w:sz="0" w:space="0" w:color="auto"/>
            <w:left w:val="none" w:sz="0" w:space="0" w:color="auto"/>
            <w:bottom w:val="none" w:sz="0" w:space="0" w:color="auto"/>
            <w:right w:val="none" w:sz="0" w:space="0" w:color="auto"/>
          </w:divBdr>
        </w:div>
        <w:div w:id="1156530560">
          <w:marLeft w:val="1699"/>
          <w:marRight w:val="0"/>
          <w:marTop w:val="77"/>
          <w:marBottom w:val="0"/>
          <w:divBdr>
            <w:top w:val="none" w:sz="0" w:space="0" w:color="auto"/>
            <w:left w:val="none" w:sz="0" w:space="0" w:color="auto"/>
            <w:bottom w:val="none" w:sz="0" w:space="0" w:color="auto"/>
            <w:right w:val="none" w:sz="0" w:space="0" w:color="auto"/>
          </w:divBdr>
        </w:div>
        <w:div w:id="1622683881">
          <w:marLeft w:val="1267"/>
          <w:marRight w:val="0"/>
          <w:marTop w:val="77"/>
          <w:marBottom w:val="0"/>
          <w:divBdr>
            <w:top w:val="none" w:sz="0" w:space="0" w:color="auto"/>
            <w:left w:val="none" w:sz="0" w:space="0" w:color="auto"/>
            <w:bottom w:val="none" w:sz="0" w:space="0" w:color="auto"/>
            <w:right w:val="none" w:sz="0" w:space="0" w:color="auto"/>
          </w:divBdr>
        </w:div>
        <w:div w:id="2091922484">
          <w:marLeft w:val="1699"/>
          <w:marRight w:val="0"/>
          <w:marTop w:val="77"/>
          <w:marBottom w:val="0"/>
          <w:divBdr>
            <w:top w:val="none" w:sz="0" w:space="0" w:color="auto"/>
            <w:left w:val="none" w:sz="0" w:space="0" w:color="auto"/>
            <w:bottom w:val="none" w:sz="0" w:space="0" w:color="auto"/>
            <w:right w:val="none" w:sz="0" w:space="0" w:color="auto"/>
          </w:divBdr>
        </w:div>
      </w:divsChild>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04984498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049306567">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140000494">
          <w:marLeft w:val="360"/>
          <w:marRight w:val="0"/>
          <w:marTop w:val="0"/>
          <w:marBottom w:val="120"/>
          <w:divBdr>
            <w:top w:val="none" w:sz="0" w:space="0" w:color="auto"/>
            <w:left w:val="none" w:sz="0" w:space="0" w:color="auto"/>
            <w:bottom w:val="none" w:sz="0" w:space="0" w:color="auto"/>
            <w:right w:val="none" w:sz="0" w:space="0" w:color="auto"/>
          </w:divBdr>
        </w:div>
      </w:divsChild>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49963896">
      <w:bodyDiv w:val="1"/>
      <w:marLeft w:val="0"/>
      <w:marRight w:val="0"/>
      <w:marTop w:val="0"/>
      <w:marBottom w:val="0"/>
      <w:divBdr>
        <w:top w:val="none" w:sz="0" w:space="0" w:color="auto"/>
        <w:left w:val="none" w:sz="0" w:space="0" w:color="auto"/>
        <w:bottom w:val="none" w:sz="0" w:space="0" w:color="auto"/>
        <w:right w:val="none" w:sz="0" w:space="0" w:color="auto"/>
      </w:divBdr>
      <w:divsChild>
        <w:div w:id="1932934091">
          <w:marLeft w:val="1699"/>
          <w:marRight w:val="0"/>
          <w:marTop w:val="77"/>
          <w:marBottom w:val="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240099202">
          <w:marLeft w:val="360"/>
          <w:marRight w:val="0"/>
          <w:marTop w:val="0"/>
          <w:marBottom w:val="120"/>
          <w:divBdr>
            <w:top w:val="none" w:sz="0" w:space="0" w:color="auto"/>
            <w:left w:val="none" w:sz="0" w:space="0" w:color="auto"/>
            <w:bottom w:val="none" w:sz="0" w:space="0" w:color="auto"/>
            <w:right w:val="none" w:sz="0" w:space="0" w:color="auto"/>
          </w:divBdr>
        </w:div>
        <w:div w:id="1392925365">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970163642">
      <w:bodyDiv w:val="1"/>
      <w:marLeft w:val="0"/>
      <w:marRight w:val="0"/>
      <w:marTop w:val="0"/>
      <w:marBottom w:val="0"/>
      <w:divBdr>
        <w:top w:val="none" w:sz="0" w:space="0" w:color="auto"/>
        <w:left w:val="none" w:sz="0" w:space="0" w:color="auto"/>
        <w:bottom w:val="none" w:sz="0" w:space="0" w:color="auto"/>
        <w:right w:val="none" w:sz="0" w:space="0" w:color="auto"/>
      </w:divBdr>
      <w:divsChild>
        <w:div w:id="613443007">
          <w:marLeft w:val="1267"/>
          <w:marRight w:val="0"/>
          <w:marTop w:val="77"/>
          <w:marBottom w:val="0"/>
          <w:divBdr>
            <w:top w:val="none" w:sz="0" w:space="0" w:color="auto"/>
            <w:left w:val="none" w:sz="0" w:space="0" w:color="auto"/>
            <w:bottom w:val="none" w:sz="0" w:space="0" w:color="auto"/>
            <w:right w:val="none" w:sz="0" w:space="0" w:color="auto"/>
          </w:divBdr>
        </w:div>
        <w:div w:id="1091050748">
          <w:marLeft w:val="1166"/>
          <w:marRight w:val="0"/>
          <w:marTop w:val="77"/>
          <w:marBottom w:val="0"/>
          <w:divBdr>
            <w:top w:val="none" w:sz="0" w:space="0" w:color="auto"/>
            <w:left w:val="none" w:sz="0" w:space="0" w:color="auto"/>
            <w:bottom w:val="none" w:sz="0" w:space="0" w:color="auto"/>
            <w:right w:val="none" w:sz="0" w:space="0" w:color="auto"/>
          </w:divBdr>
        </w:div>
        <w:div w:id="1097941741">
          <w:marLeft w:val="547"/>
          <w:marRight w:val="0"/>
          <w:marTop w:val="86"/>
          <w:marBottom w:val="0"/>
          <w:divBdr>
            <w:top w:val="none" w:sz="0" w:space="0" w:color="auto"/>
            <w:left w:val="none" w:sz="0" w:space="0" w:color="auto"/>
            <w:bottom w:val="none" w:sz="0" w:space="0" w:color="auto"/>
            <w:right w:val="none" w:sz="0" w:space="0" w:color="auto"/>
          </w:divBdr>
        </w:div>
        <w:div w:id="1113943274">
          <w:marLeft w:val="1267"/>
          <w:marRight w:val="0"/>
          <w:marTop w:val="77"/>
          <w:marBottom w:val="0"/>
          <w:divBdr>
            <w:top w:val="none" w:sz="0" w:space="0" w:color="auto"/>
            <w:left w:val="none" w:sz="0" w:space="0" w:color="auto"/>
            <w:bottom w:val="none" w:sz="0" w:space="0" w:color="auto"/>
            <w:right w:val="none" w:sz="0" w:space="0" w:color="auto"/>
          </w:divBdr>
        </w:div>
        <w:div w:id="1272974922">
          <w:marLeft w:val="1267"/>
          <w:marRight w:val="0"/>
          <w:marTop w:val="77"/>
          <w:marBottom w:val="0"/>
          <w:divBdr>
            <w:top w:val="none" w:sz="0" w:space="0" w:color="auto"/>
            <w:left w:val="none" w:sz="0" w:space="0" w:color="auto"/>
            <w:bottom w:val="none" w:sz="0" w:space="0" w:color="auto"/>
            <w:right w:val="none" w:sz="0" w:space="0" w:color="auto"/>
          </w:divBdr>
        </w:div>
        <w:div w:id="1374306405">
          <w:marLeft w:val="547"/>
          <w:marRight w:val="0"/>
          <w:marTop w:val="96"/>
          <w:marBottom w:val="0"/>
          <w:divBdr>
            <w:top w:val="none" w:sz="0" w:space="0" w:color="auto"/>
            <w:left w:val="none" w:sz="0" w:space="0" w:color="auto"/>
            <w:bottom w:val="none" w:sz="0" w:space="0" w:color="auto"/>
            <w:right w:val="none" w:sz="0" w:space="0" w:color="auto"/>
          </w:divBdr>
        </w:div>
        <w:div w:id="1421096444">
          <w:marLeft w:val="547"/>
          <w:marRight w:val="0"/>
          <w:marTop w:val="86"/>
          <w:marBottom w:val="0"/>
          <w:divBdr>
            <w:top w:val="none" w:sz="0" w:space="0" w:color="auto"/>
            <w:left w:val="none" w:sz="0" w:space="0" w:color="auto"/>
            <w:bottom w:val="none" w:sz="0" w:space="0" w:color="auto"/>
            <w:right w:val="none" w:sz="0" w:space="0" w:color="auto"/>
          </w:divBdr>
        </w:div>
        <w:div w:id="1457259369">
          <w:marLeft w:val="1267"/>
          <w:marRight w:val="0"/>
          <w:marTop w:val="77"/>
          <w:marBottom w:val="0"/>
          <w:divBdr>
            <w:top w:val="none" w:sz="0" w:space="0" w:color="auto"/>
            <w:left w:val="none" w:sz="0" w:space="0" w:color="auto"/>
            <w:bottom w:val="none" w:sz="0" w:space="0" w:color="auto"/>
            <w:right w:val="none" w:sz="0" w:space="0" w:color="auto"/>
          </w:divBdr>
        </w:div>
      </w:divsChild>
    </w:div>
    <w:div w:id="2067562023">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365A9-6D9A-4AD5-9BCC-655BBC47E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6</Pages>
  <Words>1374</Words>
  <Characters>11133</Characters>
  <Application>Microsoft Office Word</Application>
  <DocSecurity>0</DocSecurity>
  <Lines>92</Lines>
  <Paragraphs>24</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12483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dc:description/>
  <cp:lastModifiedBy>Saynajakangas, Tuomo (Nokia - FI/Oulu)</cp:lastModifiedBy>
  <cp:revision>2</cp:revision>
  <dcterms:created xsi:type="dcterms:W3CDTF">2017-03-24T08:22:00Z</dcterms:created>
  <dcterms:modified xsi:type="dcterms:W3CDTF">2017-03-24T08:22:00Z</dcterms:modified>
</cp:coreProperties>
</file>