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FFF" w:rsidRDefault="00196FFF" w:rsidP="00196F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#82</w:t>
      </w:r>
      <w:r w:rsidRPr="00C02F2E">
        <w:rPr>
          <w:b/>
          <w:i/>
          <w:noProof/>
          <w:sz w:val="28"/>
        </w:rPr>
        <w:tab/>
      </w:r>
      <w:r w:rsidRPr="00726AB0">
        <w:rPr>
          <w:b/>
          <w:i/>
          <w:noProof/>
          <w:sz w:val="28"/>
        </w:rPr>
        <w:t>R4-17</w:t>
      </w:r>
      <w:r w:rsidR="00726AB0" w:rsidRPr="00726AB0">
        <w:rPr>
          <w:b/>
          <w:i/>
          <w:noProof/>
          <w:sz w:val="28"/>
        </w:rPr>
        <w:t>01166</w:t>
      </w:r>
    </w:p>
    <w:p w:rsidR="00196FFF" w:rsidRDefault="00196FFF" w:rsidP="00196FFF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Athens, Greece, 1</w:t>
      </w:r>
      <w:r w:rsidR="00F72A5D">
        <w:rPr>
          <w:rFonts w:eastAsia="SimSun"/>
          <w:b/>
          <w:sz w:val="24"/>
          <w:szCs w:val="24"/>
          <w:lang w:eastAsia="zh-CN"/>
        </w:rPr>
        <w:t>3</w:t>
      </w:r>
      <w:r>
        <w:rPr>
          <w:rFonts w:eastAsia="SimSun"/>
          <w:b/>
          <w:sz w:val="24"/>
          <w:szCs w:val="24"/>
          <w:lang w:eastAsia="zh-CN"/>
        </w:rPr>
        <w:t>-17</w:t>
      </w:r>
      <w:r w:rsidRPr="003B48F2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February 2017</w:t>
      </w:r>
    </w:p>
    <w:p w:rsidR="00E90E49" w:rsidRPr="00F6302A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F4AD2">
        <w:rPr>
          <w:sz w:val="22"/>
          <w:szCs w:val="22"/>
          <w:lang w:val="en-US"/>
        </w:rPr>
        <w:t xml:space="preserve">On </w:t>
      </w:r>
      <w:r w:rsidR="00D007D5">
        <w:rPr>
          <w:sz w:val="22"/>
          <w:szCs w:val="22"/>
          <w:lang w:val="en-US"/>
        </w:rPr>
        <w:t xml:space="preserve">sub-carrier spacing </w:t>
      </w:r>
    </w:p>
    <w:p w:rsidR="00DE761A" w:rsidRPr="0076037F" w:rsidRDefault="00DE761A" w:rsidP="00DE761A">
      <w:pPr>
        <w:pStyle w:val="3GPPHeader"/>
        <w:rPr>
          <w:sz w:val="22"/>
          <w:szCs w:val="22"/>
          <w:lang w:val="en-US"/>
        </w:rPr>
      </w:pPr>
      <w:r w:rsidRPr="0076037F">
        <w:rPr>
          <w:sz w:val="22"/>
          <w:szCs w:val="22"/>
          <w:lang w:val="en-US"/>
        </w:rPr>
        <w:t>Agenda Item:</w:t>
      </w:r>
      <w:r w:rsidRPr="0076037F">
        <w:rPr>
          <w:sz w:val="22"/>
          <w:szCs w:val="22"/>
          <w:lang w:val="en-US"/>
        </w:rPr>
        <w:tab/>
      </w:r>
      <w:r w:rsidR="00726AB0">
        <w:rPr>
          <w:sz w:val="22"/>
          <w:szCs w:val="22"/>
          <w:lang w:val="en-US"/>
        </w:rPr>
        <w:t>10.4.1</w:t>
      </w:r>
    </w:p>
    <w:p w:rsidR="00EC191A" w:rsidRPr="00F6302A" w:rsidRDefault="00E90E49" w:rsidP="002957B7">
      <w:pPr>
        <w:pStyle w:val="3GPPHeader"/>
        <w:rPr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E4C2F">
        <w:rPr>
          <w:sz w:val="22"/>
          <w:szCs w:val="22"/>
          <w:lang w:val="en-US"/>
        </w:rPr>
        <w:t>Approval</w:t>
      </w:r>
      <w:r w:rsidR="00256F3B">
        <w:rPr>
          <w:sz w:val="22"/>
          <w:szCs w:val="22"/>
          <w:lang w:val="en-US"/>
        </w:rPr>
        <w:t xml:space="preserve"> 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F47AB8">
        <w:rPr>
          <w:lang w:val="en-US"/>
        </w:rPr>
        <w:t xml:space="preserve"> </w:t>
      </w:r>
    </w:p>
    <w:p w:rsidR="007C2ECC" w:rsidRDefault="007C2ECC" w:rsidP="007C2EC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RAN4 has received an LS from RAN1 on studying the feasible sub-carrier </w:t>
      </w:r>
      <w:proofErr w:type="spellStart"/>
      <w:r>
        <w:rPr>
          <w:rFonts w:cs="Arial"/>
          <w:sz w:val="22"/>
          <w:szCs w:val="22"/>
          <w:lang w:val="en-US"/>
        </w:rPr>
        <w:t>spacings</w:t>
      </w:r>
      <w:proofErr w:type="spellEnd"/>
      <w:r>
        <w:rPr>
          <w:rFonts w:cs="Arial"/>
          <w:sz w:val="22"/>
          <w:szCs w:val="22"/>
          <w:lang w:val="en-US"/>
        </w:rPr>
        <w:t xml:space="preserve"> for different frequency bands and provide feedback [1]. In [2], the discussion on different aspects to settle the sub-carrier spacing was initiated. As phase noise performance for different mm-wave frequency ranges has an essential part in deciding the sub-carrier spacing, a parametric model for phase noise was presented in [3] which can be as an input for analysis of feasible sub-carrier spacing.</w:t>
      </w:r>
    </w:p>
    <w:p w:rsidR="00E75173" w:rsidRDefault="007C2ECC" w:rsidP="00E75173">
      <w:pPr>
        <w:pStyle w:val="BodyText"/>
        <w:rPr>
          <w:rFonts w:cs="Arial"/>
          <w:bCs/>
          <w:sz w:val="22"/>
          <w:szCs w:val="22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>
        <w:rPr>
          <w:rFonts w:cs="Arial"/>
          <w:bCs/>
          <w:sz w:val="22"/>
          <w:szCs w:val="22"/>
        </w:rPr>
        <w:t xml:space="preserve">paper, we </w:t>
      </w:r>
      <w:r w:rsidR="00E75173">
        <w:rPr>
          <w:rFonts w:cs="Arial"/>
          <w:bCs/>
          <w:sz w:val="22"/>
          <w:szCs w:val="22"/>
        </w:rPr>
        <w:t xml:space="preserve">further elaborate on feasible subcarrier </w:t>
      </w:r>
      <w:proofErr w:type="spellStart"/>
      <w:r w:rsidR="00E75173">
        <w:rPr>
          <w:rFonts w:cs="Arial"/>
          <w:bCs/>
          <w:sz w:val="22"/>
          <w:szCs w:val="22"/>
        </w:rPr>
        <w:t>spacings</w:t>
      </w:r>
      <w:proofErr w:type="spellEnd"/>
      <w:r w:rsidR="00E75173">
        <w:rPr>
          <w:rFonts w:cs="Arial"/>
          <w:bCs/>
          <w:sz w:val="22"/>
          <w:szCs w:val="22"/>
        </w:rPr>
        <w:t xml:space="preserve"> for NR.</w:t>
      </w:r>
    </w:p>
    <w:p w:rsidR="00FD2E6A" w:rsidRDefault="00E75173" w:rsidP="00E75173">
      <w:pPr>
        <w:pStyle w:val="Heading1"/>
        <w:rPr>
          <w:lang w:val="en-US"/>
        </w:rPr>
      </w:pPr>
      <w:r>
        <w:rPr>
          <w:lang w:val="en-US"/>
        </w:rPr>
        <w:t xml:space="preserve"> </w:t>
      </w:r>
      <w:r w:rsidR="00B16CE7">
        <w:rPr>
          <w:lang w:val="en-US"/>
        </w:rPr>
        <w:t>Discussion</w:t>
      </w:r>
    </w:p>
    <w:p w:rsidR="00E75173" w:rsidRDefault="00E75173" w:rsidP="00E75173">
      <w:pPr>
        <w:rPr>
          <w:sz w:val="22"/>
          <w:szCs w:val="22"/>
          <w:lang w:val="en-US"/>
        </w:rPr>
      </w:pPr>
      <w:r w:rsidRPr="00E75173">
        <w:rPr>
          <w:sz w:val="22"/>
          <w:szCs w:val="22"/>
          <w:lang w:val="en-US"/>
        </w:rPr>
        <w:t>The choice of sub-carrier spacing would depend on other parameters and metrics and would result in different achievable NR maximum carrier bandwidths, spectrum utilization</w:t>
      </w:r>
      <w:r>
        <w:rPr>
          <w:sz w:val="22"/>
          <w:szCs w:val="22"/>
          <w:lang w:val="en-US"/>
        </w:rPr>
        <w:t xml:space="preserve"> and </w:t>
      </w:r>
      <w:proofErr w:type="gramStart"/>
      <w:r>
        <w:rPr>
          <w:sz w:val="22"/>
          <w:szCs w:val="22"/>
          <w:lang w:val="en-US"/>
        </w:rPr>
        <w:t>in particular for</w:t>
      </w:r>
      <w:proofErr w:type="gramEnd"/>
      <w:r>
        <w:rPr>
          <w:sz w:val="22"/>
          <w:szCs w:val="22"/>
          <w:lang w:val="en-US"/>
        </w:rPr>
        <w:t xml:space="preserve"> mm-wave frequencies, SINR/throughput performance</w:t>
      </w:r>
      <w:r w:rsidRPr="00E75173">
        <w:rPr>
          <w:sz w:val="22"/>
          <w:szCs w:val="22"/>
          <w:lang w:val="en-US"/>
        </w:rPr>
        <w:t xml:space="preserve"> </w:t>
      </w:r>
      <w:r w:rsidR="00C40ED5">
        <w:rPr>
          <w:sz w:val="22"/>
          <w:szCs w:val="22"/>
          <w:lang w:val="en-US"/>
        </w:rPr>
        <w:t xml:space="preserve">depending on the phase noise characteristics </w:t>
      </w:r>
      <w:r w:rsidRPr="00E75173">
        <w:rPr>
          <w:sz w:val="22"/>
          <w:szCs w:val="22"/>
          <w:lang w:val="en-US"/>
        </w:rPr>
        <w:t>etc.</w:t>
      </w:r>
      <w:r>
        <w:rPr>
          <w:sz w:val="22"/>
          <w:szCs w:val="22"/>
          <w:lang w:val="en-US"/>
        </w:rPr>
        <w:t xml:space="preserve"> </w:t>
      </w:r>
    </w:p>
    <w:p w:rsidR="00C40ED5" w:rsidRDefault="00E75173" w:rsidP="00E75173">
      <w:pPr>
        <w:rPr>
          <w:rFonts w:cs="Arial"/>
          <w:bCs/>
          <w:sz w:val="22"/>
          <w:szCs w:val="22"/>
        </w:rPr>
      </w:pPr>
      <w:r>
        <w:rPr>
          <w:sz w:val="22"/>
          <w:szCs w:val="22"/>
          <w:lang w:val="en-US"/>
        </w:rPr>
        <w:t xml:space="preserve">Considering the </w:t>
      </w:r>
      <w:r w:rsidRPr="00E75173">
        <w:rPr>
          <w:sz w:val="22"/>
          <w:szCs w:val="22"/>
          <w:lang w:val="en-US"/>
        </w:rPr>
        <w:t xml:space="preserve">ongoing discussion on sub-carrier </w:t>
      </w:r>
      <w:proofErr w:type="spellStart"/>
      <w:r w:rsidRPr="00E75173">
        <w:rPr>
          <w:sz w:val="22"/>
          <w:szCs w:val="22"/>
          <w:lang w:val="en-US"/>
        </w:rPr>
        <w:t>spacings</w:t>
      </w:r>
      <w:proofErr w:type="spellEnd"/>
      <w:r w:rsidRPr="00E75173">
        <w:rPr>
          <w:sz w:val="22"/>
          <w:szCs w:val="22"/>
          <w:lang w:val="en-US"/>
        </w:rPr>
        <w:t xml:space="preserve"> for sub-6 </w:t>
      </w:r>
      <w:proofErr w:type="spellStart"/>
      <w:proofErr w:type="gramStart"/>
      <w:r w:rsidRPr="00E75173">
        <w:rPr>
          <w:sz w:val="22"/>
          <w:szCs w:val="22"/>
          <w:lang w:val="en-US"/>
        </w:rPr>
        <w:t>GHz,f</w:t>
      </w:r>
      <w:r w:rsidRPr="00E75173">
        <w:rPr>
          <w:rFonts w:cs="Arial"/>
          <w:bCs/>
          <w:sz w:val="22"/>
          <w:szCs w:val="22"/>
        </w:rPr>
        <w:t>requency</w:t>
      </w:r>
      <w:proofErr w:type="spellEnd"/>
      <w:proofErr w:type="gramEnd"/>
      <w:r w:rsidRPr="00E75173">
        <w:rPr>
          <w:rFonts w:cs="Arial"/>
          <w:bCs/>
          <w:sz w:val="22"/>
          <w:szCs w:val="22"/>
        </w:rPr>
        <w:t xml:space="preserve"> bands, it seems that different working groups are converging to 15 kHz, 30 kHz and 60 kHz sub-carrier spacing</w:t>
      </w:r>
      <w:r>
        <w:rPr>
          <w:rFonts w:cs="Arial"/>
          <w:bCs/>
          <w:sz w:val="22"/>
          <w:szCs w:val="22"/>
        </w:rPr>
        <w:t xml:space="preserve"> </w:t>
      </w:r>
      <w:r w:rsidR="000F5AEA">
        <w:rPr>
          <w:rFonts w:cs="Arial"/>
          <w:bCs/>
          <w:sz w:val="22"/>
          <w:szCs w:val="22"/>
        </w:rPr>
        <w:t>(in addition,</w:t>
      </w:r>
      <w:r w:rsidR="000F5AEA" w:rsidRPr="00E75173">
        <w:rPr>
          <w:rFonts w:cs="Arial"/>
          <w:bCs/>
          <w:sz w:val="22"/>
          <w:szCs w:val="22"/>
        </w:rPr>
        <w:t xml:space="preserve"> </w:t>
      </w:r>
      <w:r w:rsidRPr="00E75173">
        <w:rPr>
          <w:rFonts w:cs="Arial"/>
          <w:bCs/>
          <w:sz w:val="22"/>
          <w:szCs w:val="22"/>
        </w:rPr>
        <w:t xml:space="preserve">possibly lower </w:t>
      </w:r>
      <w:proofErr w:type="spellStart"/>
      <w:r w:rsidRPr="00E75173">
        <w:rPr>
          <w:rFonts w:cs="Arial"/>
          <w:bCs/>
          <w:sz w:val="22"/>
          <w:szCs w:val="22"/>
        </w:rPr>
        <w:t>spacings</w:t>
      </w:r>
      <w:proofErr w:type="spellEnd"/>
      <w:r w:rsidRPr="00E75173">
        <w:rPr>
          <w:rFonts w:cs="Arial"/>
          <w:bCs/>
          <w:sz w:val="22"/>
          <w:szCs w:val="22"/>
        </w:rPr>
        <w:t xml:space="preserve"> can be considered</w:t>
      </w:r>
      <w:r w:rsidR="000F5AEA">
        <w:rPr>
          <w:rFonts w:cs="Arial"/>
          <w:bCs/>
          <w:sz w:val="22"/>
          <w:szCs w:val="22"/>
        </w:rPr>
        <w:t xml:space="preserve"> at a later stage)</w:t>
      </w:r>
      <w:r w:rsidRPr="00E75173">
        <w:rPr>
          <w:rFonts w:cs="Arial"/>
          <w:bCs/>
          <w:sz w:val="22"/>
          <w:szCs w:val="22"/>
        </w:rPr>
        <w:t xml:space="preserve">. </w:t>
      </w:r>
    </w:p>
    <w:p w:rsidR="00E75173" w:rsidRDefault="00C40ED5" w:rsidP="00E75173">
      <w:pPr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For sub-6 GHz, i</w:t>
      </w:r>
      <w:r w:rsidR="00E75173" w:rsidRPr="00E75173">
        <w:rPr>
          <w:rFonts w:cs="Arial"/>
          <w:bCs/>
          <w:sz w:val="22"/>
          <w:szCs w:val="22"/>
        </w:rPr>
        <w:t xml:space="preserve">n our view, </w:t>
      </w:r>
      <w:r w:rsidR="000F5AEA">
        <w:rPr>
          <w:rFonts w:cs="Arial"/>
          <w:bCs/>
          <w:sz w:val="22"/>
          <w:szCs w:val="22"/>
        </w:rPr>
        <w:t>for the</w:t>
      </w:r>
      <w:r w:rsidR="000F5AEA" w:rsidRPr="00E75173">
        <w:rPr>
          <w:rFonts w:cs="Arial"/>
          <w:bCs/>
          <w:sz w:val="22"/>
          <w:szCs w:val="22"/>
        </w:rPr>
        <w:t xml:space="preserve"> </w:t>
      </w:r>
      <w:r w:rsidR="00E75173" w:rsidRPr="00E75173">
        <w:rPr>
          <w:rFonts w:cs="Arial"/>
          <w:bCs/>
          <w:sz w:val="22"/>
          <w:szCs w:val="22"/>
        </w:rPr>
        <w:t xml:space="preserve">RAN4 specification </w:t>
      </w:r>
      <w:r>
        <w:rPr>
          <w:rFonts w:cs="Arial"/>
          <w:bCs/>
          <w:sz w:val="22"/>
          <w:szCs w:val="22"/>
        </w:rPr>
        <w:t xml:space="preserve">and conformance </w:t>
      </w:r>
      <w:r w:rsidR="00E75173" w:rsidRPr="00E75173">
        <w:rPr>
          <w:rFonts w:cs="Arial"/>
          <w:bCs/>
          <w:sz w:val="22"/>
          <w:szCs w:val="22"/>
        </w:rPr>
        <w:t>work</w:t>
      </w:r>
      <w:r w:rsidR="000F5AEA">
        <w:rPr>
          <w:rFonts w:cs="Arial"/>
          <w:bCs/>
          <w:sz w:val="22"/>
          <w:szCs w:val="22"/>
        </w:rPr>
        <w:t>,</w:t>
      </w:r>
      <w:r w:rsidR="00E75173" w:rsidRPr="00E75173">
        <w:rPr>
          <w:rFonts w:cs="Arial"/>
          <w:bCs/>
          <w:sz w:val="22"/>
          <w:szCs w:val="22"/>
        </w:rPr>
        <w:t xml:space="preserve"> considering</w:t>
      </w:r>
      <w:r w:rsidR="00BE192D">
        <w:rPr>
          <w:rFonts w:cs="Arial"/>
          <w:bCs/>
          <w:sz w:val="22"/>
          <w:szCs w:val="22"/>
        </w:rPr>
        <w:t xml:space="preserve"> the</w:t>
      </w:r>
      <w:r w:rsidR="00E75173" w:rsidRPr="00E75173">
        <w:rPr>
          <w:rFonts w:cs="Arial"/>
          <w:bCs/>
          <w:sz w:val="22"/>
          <w:szCs w:val="22"/>
        </w:rPr>
        <w:t xml:space="preserve"> </w:t>
      </w:r>
      <w:r w:rsidR="000F5AEA">
        <w:rPr>
          <w:rFonts w:cs="Arial"/>
          <w:bCs/>
          <w:sz w:val="22"/>
          <w:szCs w:val="22"/>
        </w:rPr>
        <w:t xml:space="preserve">impact of </w:t>
      </w:r>
      <w:proofErr w:type="gramStart"/>
      <w:r w:rsidR="000F5AEA">
        <w:rPr>
          <w:rFonts w:cs="Arial"/>
          <w:bCs/>
          <w:sz w:val="22"/>
          <w:szCs w:val="22"/>
        </w:rPr>
        <w:t>a large number of</w:t>
      </w:r>
      <w:proofErr w:type="gramEnd"/>
      <w:r w:rsidR="00E75173" w:rsidRPr="00E75173">
        <w:rPr>
          <w:rFonts w:cs="Arial"/>
          <w:bCs/>
          <w:sz w:val="22"/>
          <w:szCs w:val="22"/>
        </w:rPr>
        <w:t xml:space="preserve"> possible combi</w:t>
      </w:r>
      <w:r>
        <w:rPr>
          <w:rFonts w:cs="Arial"/>
          <w:bCs/>
          <w:sz w:val="22"/>
          <w:szCs w:val="22"/>
        </w:rPr>
        <w:t xml:space="preserve">nations and permutations </w:t>
      </w:r>
      <w:r w:rsidR="000F5AEA">
        <w:rPr>
          <w:rFonts w:cs="Arial"/>
          <w:bCs/>
          <w:sz w:val="22"/>
          <w:szCs w:val="22"/>
        </w:rPr>
        <w:t>on test times, potentially</w:t>
      </w:r>
      <w:r>
        <w:rPr>
          <w:rFonts w:cs="Arial"/>
          <w:bCs/>
          <w:sz w:val="22"/>
          <w:szCs w:val="22"/>
        </w:rPr>
        <w:t xml:space="preserve"> a discussion on band specific support of different sub-carrier </w:t>
      </w:r>
      <w:proofErr w:type="spellStart"/>
      <w:r>
        <w:rPr>
          <w:rFonts w:cs="Arial"/>
          <w:bCs/>
          <w:sz w:val="22"/>
          <w:szCs w:val="22"/>
        </w:rPr>
        <w:t>spacings</w:t>
      </w:r>
      <w:proofErr w:type="spellEnd"/>
      <w:r>
        <w:rPr>
          <w:rFonts w:cs="Arial"/>
          <w:bCs/>
          <w:sz w:val="22"/>
          <w:szCs w:val="22"/>
        </w:rPr>
        <w:t xml:space="preserve"> </w:t>
      </w:r>
      <w:r w:rsidR="00BE192D">
        <w:rPr>
          <w:rFonts w:cs="Arial"/>
          <w:bCs/>
          <w:sz w:val="22"/>
          <w:szCs w:val="22"/>
        </w:rPr>
        <w:t>considering</w:t>
      </w:r>
      <w:bookmarkStart w:id="0" w:name="_GoBack"/>
      <w:bookmarkEnd w:id="0"/>
      <w:r w:rsidR="00485DBC">
        <w:rPr>
          <w:rFonts w:cs="Arial"/>
          <w:bCs/>
          <w:sz w:val="22"/>
          <w:szCs w:val="22"/>
        </w:rPr>
        <w:t xml:space="preserve"> foreseeable usage scenarios for different bands</w:t>
      </w:r>
      <w:r w:rsidR="000F5AEA">
        <w:rPr>
          <w:rFonts w:cs="Arial"/>
          <w:bCs/>
          <w:sz w:val="22"/>
          <w:szCs w:val="22"/>
        </w:rPr>
        <w:t xml:space="preserve"> should take place</w:t>
      </w:r>
      <w:r w:rsidR="00485DBC">
        <w:rPr>
          <w:rFonts w:cs="Arial"/>
          <w:bCs/>
          <w:sz w:val="22"/>
          <w:szCs w:val="22"/>
        </w:rPr>
        <w:t xml:space="preserve">. This is </w:t>
      </w:r>
      <w:r w:rsidR="00915DD7">
        <w:rPr>
          <w:rFonts w:cs="Arial"/>
          <w:bCs/>
          <w:sz w:val="22"/>
          <w:szCs w:val="22"/>
        </w:rPr>
        <w:t>due to the need to keep the number of permutations and cases in RAN4 specifications and test specs to a reasonable level</w:t>
      </w:r>
      <w:r w:rsidR="00E75173" w:rsidRPr="00E75173">
        <w:rPr>
          <w:rFonts w:cs="Arial"/>
          <w:bCs/>
          <w:sz w:val="22"/>
          <w:szCs w:val="22"/>
        </w:rPr>
        <w:t>.</w:t>
      </w:r>
      <w:r w:rsidR="00E75173">
        <w:rPr>
          <w:rFonts w:cs="Arial"/>
          <w:bCs/>
          <w:sz w:val="22"/>
          <w:szCs w:val="22"/>
        </w:rPr>
        <w:t xml:space="preserve"> </w:t>
      </w:r>
    </w:p>
    <w:p w:rsidR="00DD69D8" w:rsidRDefault="00915DD7" w:rsidP="00E75173">
      <w:pPr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Thus at this stage we would propose the following:</w:t>
      </w:r>
    </w:p>
    <w:p w:rsidR="00915DD7" w:rsidRDefault="00915DD7" w:rsidP="00E75173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Proposal 1</w:t>
      </w:r>
    </w:p>
    <w:p w:rsidR="00915DD7" w:rsidRPr="00915DD7" w:rsidRDefault="00915DD7" w:rsidP="00E75173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For sub 6 GHz the sub-carrier </w:t>
      </w:r>
      <w:proofErr w:type="spellStart"/>
      <w:r>
        <w:rPr>
          <w:rFonts w:cs="Arial"/>
          <w:b/>
          <w:bCs/>
          <w:sz w:val="22"/>
          <w:szCs w:val="22"/>
        </w:rPr>
        <w:t>spacings</w:t>
      </w:r>
      <w:proofErr w:type="spellEnd"/>
      <w:r>
        <w:rPr>
          <w:rFonts w:cs="Arial"/>
          <w:b/>
          <w:bCs/>
          <w:sz w:val="22"/>
          <w:szCs w:val="22"/>
        </w:rPr>
        <w:t xml:space="preserve"> should be [15 kHz, 30 kHz and 60 </w:t>
      </w:r>
      <w:proofErr w:type="spellStart"/>
      <w:r>
        <w:rPr>
          <w:rFonts w:cs="Arial"/>
          <w:b/>
          <w:bCs/>
          <w:sz w:val="22"/>
          <w:szCs w:val="22"/>
        </w:rPr>
        <w:t>KHz</w:t>
      </w:r>
      <w:proofErr w:type="spellEnd"/>
      <w:r>
        <w:rPr>
          <w:rFonts w:cs="Arial"/>
          <w:b/>
          <w:bCs/>
          <w:sz w:val="22"/>
          <w:szCs w:val="22"/>
        </w:rPr>
        <w:t>]</w:t>
      </w:r>
      <w:r w:rsidR="000F5AEA">
        <w:rPr>
          <w:rFonts w:cs="Arial"/>
          <w:b/>
          <w:bCs/>
          <w:sz w:val="22"/>
          <w:szCs w:val="22"/>
        </w:rPr>
        <w:t>.</w:t>
      </w:r>
      <w:r>
        <w:rPr>
          <w:rFonts w:cs="Arial"/>
          <w:b/>
          <w:bCs/>
          <w:sz w:val="22"/>
          <w:szCs w:val="22"/>
        </w:rPr>
        <w:t xml:space="preserve"> </w:t>
      </w:r>
      <w:r w:rsidR="000F5AEA">
        <w:rPr>
          <w:rFonts w:cs="Arial"/>
          <w:b/>
          <w:bCs/>
          <w:sz w:val="22"/>
          <w:szCs w:val="22"/>
        </w:rPr>
        <w:t>S</w:t>
      </w:r>
      <w:r>
        <w:rPr>
          <w:rFonts w:cs="Arial"/>
          <w:b/>
          <w:bCs/>
          <w:sz w:val="22"/>
          <w:szCs w:val="22"/>
        </w:rPr>
        <w:t xml:space="preserve">upported numerologies </w:t>
      </w:r>
      <w:r w:rsidR="000F5AEA">
        <w:rPr>
          <w:rFonts w:cs="Arial"/>
          <w:b/>
          <w:bCs/>
          <w:sz w:val="22"/>
          <w:szCs w:val="22"/>
        </w:rPr>
        <w:t xml:space="preserve">should where </w:t>
      </w:r>
      <w:r>
        <w:rPr>
          <w:rFonts w:cs="Arial"/>
          <w:b/>
          <w:bCs/>
          <w:sz w:val="22"/>
          <w:szCs w:val="22"/>
        </w:rPr>
        <w:t xml:space="preserve">possible be band </w:t>
      </w:r>
      <w:proofErr w:type="gramStart"/>
      <w:r>
        <w:rPr>
          <w:rFonts w:cs="Arial"/>
          <w:b/>
          <w:bCs/>
          <w:sz w:val="22"/>
          <w:szCs w:val="22"/>
        </w:rPr>
        <w:t>specific depending</w:t>
      </w:r>
      <w:proofErr w:type="gramEnd"/>
      <w:r>
        <w:rPr>
          <w:rFonts w:cs="Arial"/>
          <w:b/>
          <w:bCs/>
          <w:sz w:val="22"/>
          <w:szCs w:val="22"/>
        </w:rPr>
        <w:t xml:space="preserve"> on foreseen usage scenarios.</w:t>
      </w:r>
    </w:p>
    <w:p w:rsidR="00E75173" w:rsidRPr="00E75173" w:rsidRDefault="00E75173" w:rsidP="00E75173"/>
    <w:p w:rsidR="00915DD7" w:rsidRDefault="007C2ECC" w:rsidP="007C2ECC">
      <w:pPr>
        <w:rPr>
          <w:rFonts w:eastAsia="MS Mincho" w:cs="Arial"/>
          <w:sz w:val="22"/>
          <w:szCs w:val="22"/>
          <w:lang w:eastAsia="ja-JP"/>
        </w:rPr>
      </w:pPr>
      <w:r w:rsidRPr="00485106">
        <w:rPr>
          <w:rFonts w:eastAsia="MS Mincho" w:cs="Arial"/>
          <w:sz w:val="22"/>
          <w:szCs w:val="22"/>
          <w:lang w:eastAsia="ja-JP"/>
        </w:rPr>
        <w:t>A</w:t>
      </w:r>
      <w:r w:rsidR="009A650F">
        <w:rPr>
          <w:rFonts w:eastAsia="MS Mincho" w:cs="Arial"/>
          <w:sz w:val="22"/>
          <w:szCs w:val="22"/>
          <w:lang w:eastAsia="ja-JP"/>
        </w:rPr>
        <w:t>s outlined in [1] and [2]</w:t>
      </w:r>
      <w:r w:rsidRPr="00485106">
        <w:rPr>
          <w:rFonts w:eastAsia="MS Mincho" w:cs="Arial"/>
          <w:sz w:val="22"/>
          <w:szCs w:val="22"/>
          <w:lang w:eastAsia="ja-JP"/>
        </w:rPr>
        <w:t xml:space="preserve">, impairments such as phase noise and target achievable SINR would affect the choice of sub-carrier spacing, </w:t>
      </w:r>
      <w:proofErr w:type="gramStart"/>
      <w:r>
        <w:rPr>
          <w:rFonts w:eastAsia="MS Mincho" w:cs="Arial"/>
          <w:sz w:val="22"/>
          <w:szCs w:val="22"/>
          <w:lang w:eastAsia="ja-JP"/>
        </w:rPr>
        <w:t xml:space="preserve">in particular </w:t>
      </w:r>
      <w:r w:rsidRPr="00485106">
        <w:rPr>
          <w:rFonts w:eastAsia="MS Mincho" w:cs="Arial"/>
          <w:sz w:val="22"/>
          <w:szCs w:val="22"/>
          <w:lang w:eastAsia="ja-JP"/>
        </w:rPr>
        <w:t>for</w:t>
      </w:r>
      <w:proofErr w:type="gramEnd"/>
      <w:r w:rsidRPr="00485106">
        <w:rPr>
          <w:rFonts w:eastAsia="MS Mincho" w:cs="Arial"/>
          <w:sz w:val="22"/>
          <w:szCs w:val="22"/>
          <w:lang w:eastAsia="ja-JP"/>
        </w:rPr>
        <w:t xml:space="preserve"> frequency bands in the mm-wave frequency ranges.</w:t>
      </w:r>
      <w:r w:rsidR="00915DD7">
        <w:rPr>
          <w:rFonts w:eastAsia="MS Mincho" w:cs="Arial"/>
          <w:sz w:val="22"/>
          <w:szCs w:val="22"/>
          <w:lang w:eastAsia="ja-JP"/>
        </w:rPr>
        <w:t xml:space="preserve"> Note that the phase noise performance is frequency range/band dependent for mm-wave frequencies implying the possible need to have larger </w:t>
      </w:r>
      <w:proofErr w:type="spellStart"/>
      <w:r w:rsidR="00915DD7">
        <w:rPr>
          <w:rFonts w:eastAsia="MS Mincho" w:cs="Arial"/>
          <w:sz w:val="22"/>
          <w:szCs w:val="22"/>
          <w:lang w:eastAsia="ja-JP"/>
        </w:rPr>
        <w:t>spacings</w:t>
      </w:r>
      <w:proofErr w:type="spellEnd"/>
      <w:r w:rsidR="00915DD7">
        <w:rPr>
          <w:rFonts w:eastAsia="MS Mincho" w:cs="Arial"/>
          <w:sz w:val="22"/>
          <w:szCs w:val="22"/>
          <w:lang w:eastAsia="ja-JP"/>
        </w:rPr>
        <w:t xml:space="preserve"> at higher en</w:t>
      </w:r>
      <w:r w:rsidR="000F5AEA">
        <w:rPr>
          <w:rFonts w:eastAsia="MS Mincho" w:cs="Arial"/>
          <w:sz w:val="22"/>
          <w:szCs w:val="22"/>
          <w:lang w:eastAsia="ja-JP"/>
        </w:rPr>
        <w:t>d</w:t>
      </w:r>
      <w:r w:rsidR="00915DD7">
        <w:rPr>
          <w:rFonts w:eastAsia="MS Mincho" w:cs="Arial"/>
          <w:sz w:val="22"/>
          <w:szCs w:val="22"/>
          <w:lang w:eastAsia="ja-JP"/>
        </w:rPr>
        <w:t xml:space="preserve"> of mm-wave frequency ranges compared to lower ranges </w:t>
      </w:r>
      <w:r w:rsidR="000F5AEA">
        <w:rPr>
          <w:rFonts w:eastAsia="MS Mincho" w:cs="Arial"/>
          <w:sz w:val="22"/>
          <w:szCs w:val="22"/>
          <w:lang w:eastAsia="ja-JP"/>
        </w:rPr>
        <w:t>(i.e.</w:t>
      </w:r>
      <w:r w:rsidR="00915DD7">
        <w:rPr>
          <w:rFonts w:eastAsia="MS Mincho" w:cs="Arial"/>
          <w:sz w:val="22"/>
          <w:szCs w:val="22"/>
          <w:lang w:eastAsia="ja-JP"/>
        </w:rPr>
        <w:t xml:space="preserve"> 30 GHz proxy </w:t>
      </w:r>
      <w:proofErr w:type="spellStart"/>
      <w:r w:rsidR="00915DD7">
        <w:rPr>
          <w:rFonts w:eastAsia="MS Mincho" w:cs="Arial"/>
          <w:sz w:val="22"/>
          <w:szCs w:val="22"/>
          <w:lang w:eastAsia="ja-JP"/>
        </w:rPr>
        <w:t>requency</w:t>
      </w:r>
      <w:proofErr w:type="spellEnd"/>
      <w:r w:rsidR="00915DD7">
        <w:rPr>
          <w:rFonts w:eastAsia="MS Mincho" w:cs="Arial"/>
          <w:sz w:val="22"/>
          <w:szCs w:val="22"/>
          <w:lang w:eastAsia="ja-JP"/>
        </w:rPr>
        <w:t xml:space="preserve"> range might not necessarily would require same sub-carrier spacing compared to 70 GHz proxy </w:t>
      </w:r>
      <w:proofErr w:type="spellStart"/>
      <w:r w:rsidR="00915DD7">
        <w:rPr>
          <w:rFonts w:eastAsia="MS Mincho" w:cs="Arial"/>
          <w:sz w:val="22"/>
          <w:szCs w:val="22"/>
          <w:lang w:eastAsia="ja-JP"/>
        </w:rPr>
        <w:t>requency</w:t>
      </w:r>
      <w:proofErr w:type="spellEnd"/>
      <w:r w:rsidR="000F5AEA">
        <w:rPr>
          <w:rFonts w:eastAsia="MS Mincho" w:cs="Arial"/>
          <w:sz w:val="22"/>
          <w:szCs w:val="22"/>
          <w:lang w:eastAsia="ja-JP"/>
        </w:rPr>
        <w:t>)</w:t>
      </w:r>
      <w:r w:rsidR="00915DD7">
        <w:rPr>
          <w:rFonts w:eastAsia="MS Mincho" w:cs="Arial"/>
          <w:sz w:val="22"/>
          <w:szCs w:val="22"/>
          <w:lang w:eastAsia="ja-JP"/>
        </w:rPr>
        <w:t xml:space="preserve">. </w:t>
      </w:r>
    </w:p>
    <w:p w:rsidR="007C2ECC" w:rsidRDefault="00915DD7" w:rsidP="007C2ECC">
      <w:pPr>
        <w:rPr>
          <w:rFonts w:eastAsia="MS Mincho" w:cs="Arial"/>
          <w:sz w:val="22"/>
          <w:szCs w:val="22"/>
          <w:lang w:eastAsia="ja-JP"/>
        </w:rPr>
      </w:pPr>
      <w:r>
        <w:rPr>
          <w:rFonts w:eastAsia="MS Mincho" w:cs="Arial"/>
          <w:sz w:val="22"/>
          <w:szCs w:val="22"/>
          <w:lang w:eastAsia="ja-JP"/>
        </w:rPr>
        <w:t>In addition, the discussion on Common Phase Noise (CPE) compensation in RAN1 is not settled</w:t>
      </w:r>
      <w:r w:rsidR="000F5AEA">
        <w:rPr>
          <w:rFonts w:eastAsia="MS Mincho" w:cs="Arial"/>
          <w:sz w:val="22"/>
          <w:szCs w:val="22"/>
          <w:lang w:eastAsia="ja-JP"/>
        </w:rPr>
        <w:t>.</w:t>
      </w:r>
      <w:r>
        <w:rPr>
          <w:rFonts w:eastAsia="MS Mincho" w:cs="Arial"/>
          <w:sz w:val="22"/>
          <w:szCs w:val="22"/>
          <w:lang w:eastAsia="ja-JP"/>
        </w:rPr>
        <w:t xml:space="preserve"> </w:t>
      </w:r>
      <w:r w:rsidR="000F5AEA">
        <w:rPr>
          <w:rFonts w:eastAsia="MS Mincho" w:cs="Arial"/>
          <w:sz w:val="22"/>
          <w:szCs w:val="22"/>
          <w:lang w:eastAsia="ja-JP"/>
        </w:rPr>
        <w:t xml:space="preserve">This </w:t>
      </w:r>
      <w:r>
        <w:rPr>
          <w:rFonts w:eastAsia="MS Mincho" w:cs="Arial"/>
          <w:sz w:val="22"/>
          <w:szCs w:val="22"/>
          <w:lang w:eastAsia="ja-JP"/>
        </w:rPr>
        <w:t xml:space="preserve">can </w:t>
      </w:r>
      <w:r w:rsidR="000F5AEA">
        <w:rPr>
          <w:rFonts w:eastAsia="MS Mincho" w:cs="Arial"/>
          <w:sz w:val="22"/>
          <w:szCs w:val="22"/>
          <w:lang w:eastAsia="ja-JP"/>
        </w:rPr>
        <w:t xml:space="preserve">potentially </w:t>
      </w:r>
      <w:r>
        <w:rPr>
          <w:rFonts w:eastAsia="MS Mincho" w:cs="Arial"/>
          <w:sz w:val="22"/>
          <w:szCs w:val="22"/>
          <w:lang w:eastAsia="ja-JP"/>
        </w:rPr>
        <w:t xml:space="preserve">also affect the choice of feasible sub-carrier </w:t>
      </w:r>
      <w:proofErr w:type="spellStart"/>
      <w:r>
        <w:rPr>
          <w:rFonts w:eastAsia="MS Mincho" w:cs="Arial"/>
          <w:sz w:val="22"/>
          <w:szCs w:val="22"/>
          <w:lang w:eastAsia="ja-JP"/>
        </w:rPr>
        <w:t>spacings</w:t>
      </w:r>
      <w:proofErr w:type="spellEnd"/>
      <w:r>
        <w:rPr>
          <w:rFonts w:eastAsia="MS Mincho" w:cs="Arial"/>
          <w:sz w:val="22"/>
          <w:szCs w:val="22"/>
          <w:lang w:eastAsia="ja-JP"/>
        </w:rPr>
        <w:t xml:space="preserve"> and thus, it is essential in our view to agree upon a realistic phase noise models</w:t>
      </w:r>
      <w:r w:rsidR="000F5AEA">
        <w:rPr>
          <w:rFonts w:eastAsia="MS Mincho" w:cs="Arial"/>
          <w:sz w:val="22"/>
          <w:szCs w:val="22"/>
          <w:lang w:eastAsia="ja-JP"/>
        </w:rPr>
        <w:t xml:space="preserve"> and understand the impact of CPR </w:t>
      </w:r>
      <w:r w:rsidR="000F5AEA">
        <w:rPr>
          <w:rFonts w:eastAsia="MS Mincho" w:cs="Arial"/>
          <w:sz w:val="22"/>
          <w:szCs w:val="22"/>
          <w:lang w:eastAsia="ja-JP"/>
        </w:rPr>
        <w:lastRenderedPageBreak/>
        <w:t>compensation</w:t>
      </w:r>
      <w:r w:rsidR="00E72743">
        <w:rPr>
          <w:rFonts w:eastAsia="MS Mincho" w:cs="Arial"/>
          <w:sz w:val="22"/>
          <w:szCs w:val="22"/>
          <w:lang w:eastAsia="ja-JP"/>
        </w:rPr>
        <w:t xml:space="preserve"> to make a final decision on sub carrier spacing for mm-wave </w:t>
      </w:r>
      <w:proofErr w:type="spellStart"/>
      <w:r w:rsidR="00E72743">
        <w:rPr>
          <w:rFonts w:eastAsia="MS Mincho" w:cs="Arial"/>
          <w:sz w:val="22"/>
          <w:szCs w:val="22"/>
          <w:lang w:eastAsia="ja-JP"/>
        </w:rPr>
        <w:t>requency</w:t>
      </w:r>
      <w:proofErr w:type="spellEnd"/>
      <w:r w:rsidR="00E72743">
        <w:rPr>
          <w:rFonts w:eastAsia="MS Mincho" w:cs="Arial"/>
          <w:sz w:val="22"/>
          <w:szCs w:val="22"/>
          <w:lang w:eastAsia="ja-JP"/>
        </w:rPr>
        <w:t xml:space="preserve"> bands. A parametric realistic model based on empirical validation of phase </w:t>
      </w:r>
      <w:proofErr w:type="gramStart"/>
      <w:r w:rsidR="00E72743">
        <w:rPr>
          <w:rFonts w:eastAsia="MS Mincho" w:cs="Arial"/>
          <w:sz w:val="22"/>
          <w:szCs w:val="22"/>
          <w:lang w:eastAsia="ja-JP"/>
        </w:rPr>
        <w:t>noise  model</w:t>
      </w:r>
      <w:proofErr w:type="gramEnd"/>
      <w:r w:rsidR="00E72743">
        <w:rPr>
          <w:rFonts w:eastAsia="MS Mincho" w:cs="Arial"/>
          <w:sz w:val="22"/>
          <w:szCs w:val="22"/>
          <w:lang w:eastAsia="ja-JP"/>
        </w:rPr>
        <w:t xml:space="preserve"> which can be used for BS and UE due to low power consumption is presented in [3].</w:t>
      </w:r>
    </w:p>
    <w:p w:rsidR="00E72743" w:rsidRDefault="00E72743" w:rsidP="007C2ECC">
      <w:pPr>
        <w:rPr>
          <w:rFonts w:eastAsia="MS Mincho" w:cs="Arial"/>
          <w:sz w:val="22"/>
          <w:szCs w:val="22"/>
          <w:lang w:eastAsia="ja-JP"/>
        </w:rPr>
      </w:pPr>
      <w:r>
        <w:rPr>
          <w:rFonts w:eastAsia="MS Mincho" w:cs="Arial"/>
          <w:sz w:val="22"/>
          <w:szCs w:val="22"/>
          <w:lang w:eastAsia="ja-JP"/>
        </w:rPr>
        <w:t>Another aspect to consider is the relation between FFT/IFFT size, sub-</w:t>
      </w:r>
      <w:proofErr w:type="spellStart"/>
      <w:r>
        <w:rPr>
          <w:rFonts w:eastAsia="MS Mincho" w:cs="Arial"/>
          <w:sz w:val="22"/>
          <w:szCs w:val="22"/>
          <w:lang w:eastAsia="ja-JP"/>
        </w:rPr>
        <w:t>carier</w:t>
      </w:r>
      <w:proofErr w:type="spellEnd"/>
      <w:r>
        <w:rPr>
          <w:rFonts w:eastAsia="MS Mincho" w:cs="Arial"/>
          <w:sz w:val="22"/>
          <w:szCs w:val="22"/>
          <w:lang w:eastAsia="ja-JP"/>
        </w:rPr>
        <w:t xml:space="preserve"> spacing and achievable maximum bandwidths </w:t>
      </w:r>
      <w:r w:rsidR="000F5AEA">
        <w:rPr>
          <w:rFonts w:eastAsia="MS Mincho" w:cs="Arial"/>
          <w:sz w:val="22"/>
          <w:szCs w:val="22"/>
          <w:lang w:eastAsia="ja-JP"/>
        </w:rPr>
        <w:t>(of which</w:t>
      </w:r>
      <w:r>
        <w:rPr>
          <w:rFonts w:eastAsia="MS Mincho" w:cs="Arial"/>
          <w:sz w:val="22"/>
          <w:szCs w:val="22"/>
          <w:lang w:eastAsia="ja-JP"/>
        </w:rPr>
        <w:t xml:space="preserve"> neither part is settled</w:t>
      </w:r>
      <w:r w:rsidR="000F5AEA">
        <w:rPr>
          <w:rFonts w:eastAsia="MS Mincho" w:cs="Arial"/>
          <w:sz w:val="22"/>
          <w:szCs w:val="22"/>
          <w:lang w:eastAsia="ja-JP"/>
        </w:rPr>
        <w:t xml:space="preserve"> at this stage)</w:t>
      </w:r>
      <w:r>
        <w:rPr>
          <w:rFonts w:eastAsia="MS Mincho" w:cs="Arial"/>
          <w:sz w:val="22"/>
          <w:szCs w:val="22"/>
          <w:lang w:eastAsia="ja-JP"/>
        </w:rPr>
        <w:t>.</w:t>
      </w:r>
    </w:p>
    <w:p w:rsidR="00E72743" w:rsidRDefault="00E72743" w:rsidP="007C2ECC">
      <w:pPr>
        <w:rPr>
          <w:rFonts w:eastAsia="MS Mincho" w:cs="Arial"/>
          <w:sz w:val="22"/>
          <w:szCs w:val="22"/>
          <w:lang w:eastAsia="ja-JP"/>
        </w:rPr>
      </w:pPr>
      <w:r>
        <w:rPr>
          <w:rFonts w:eastAsia="MS Mincho" w:cs="Arial"/>
          <w:sz w:val="22"/>
          <w:szCs w:val="22"/>
          <w:lang w:eastAsia="ja-JP"/>
        </w:rPr>
        <w:t>Considering the need for taking to account various dependencies we would propose the following:</w:t>
      </w:r>
    </w:p>
    <w:p w:rsidR="00E72743" w:rsidRDefault="00E72743" w:rsidP="00E72743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Proposal 2</w:t>
      </w:r>
    </w:p>
    <w:p w:rsidR="00E72743" w:rsidRPr="00915DD7" w:rsidRDefault="00E72743" w:rsidP="00E72743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For mm-wave frequencies at this stage, the sub-carrier </w:t>
      </w:r>
      <w:proofErr w:type="spellStart"/>
      <w:r>
        <w:rPr>
          <w:rFonts w:cs="Arial"/>
          <w:b/>
          <w:bCs/>
          <w:sz w:val="22"/>
          <w:szCs w:val="22"/>
        </w:rPr>
        <w:t>spacings</w:t>
      </w:r>
      <w:proofErr w:type="spellEnd"/>
      <w:r>
        <w:rPr>
          <w:rFonts w:cs="Arial"/>
          <w:b/>
          <w:bCs/>
          <w:sz w:val="22"/>
          <w:szCs w:val="22"/>
        </w:rPr>
        <w:t xml:space="preserve"> which </w:t>
      </w:r>
      <w:r w:rsidR="000F5AEA">
        <w:rPr>
          <w:rFonts w:cs="Arial"/>
          <w:b/>
          <w:bCs/>
          <w:sz w:val="22"/>
          <w:szCs w:val="22"/>
        </w:rPr>
        <w:t>sh</w:t>
      </w:r>
      <w:r>
        <w:rPr>
          <w:rFonts w:cs="Arial"/>
          <w:b/>
          <w:bCs/>
          <w:sz w:val="22"/>
          <w:szCs w:val="22"/>
        </w:rPr>
        <w:t>ould be frequency band dependent should be chosen from [60 kHz, 120 kHz and 240 kHz]</w:t>
      </w:r>
      <w:r w:rsidR="000F5AEA">
        <w:rPr>
          <w:rFonts w:cs="Arial"/>
          <w:b/>
          <w:bCs/>
          <w:sz w:val="22"/>
          <w:szCs w:val="22"/>
        </w:rPr>
        <w:t>.</w:t>
      </w:r>
      <w:r>
        <w:rPr>
          <w:rFonts w:cs="Arial"/>
          <w:b/>
          <w:bCs/>
          <w:sz w:val="22"/>
          <w:szCs w:val="22"/>
        </w:rPr>
        <w:t xml:space="preserve"> </w:t>
      </w:r>
      <w:r w:rsidR="000F5AEA">
        <w:rPr>
          <w:rFonts w:cs="Arial"/>
          <w:b/>
          <w:bCs/>
          <w:sz w:val="22"/>
          <w:szCs w:val="22"/>
        </w:rPr>
        <w:t>P</w:t>
      </w:r>
      <w:r>
        <w:rPr>
          <w:rFonts w:cs="Arial"/>
          <w:b/>
          <w:bCs/>
          <w:sz w:val="22"/>
          <w:szCs w:val="22"/>
        </w:rPr>
        <w:t xml:space="preserve">ending the outcome </w:t>
      </w:r>
      <w:r w:rsidR="000F5AEA">
        <w:rPr>
          <w:rFonts w:cs="Arial"/>
          <w:b/>
          <w:bCs/>
          <w:sz w:val="22"/>
          <w:szCs w:val="22"/>
        </w:rPr>
        <w:t xml:space="preserve">of the evaluation of feasible </w:t>
      </w:r>
      <w:r>
        <w:rPr>
          <w:rFonts w:cs="Arial"/>
          <w:b/>
          <w:bCs/>
          <w:sz w:val="22"/>
          <w:szCs w:val="22"/>
        </w:rPr>
        <w:t>FFT/IFFT size as well as maximum bandwidth and phase noise impact and CPE compensation, 480 kHz sub-carrier spacing for upper part of mm-wave frequency ranges should not be precluded.</w:t>
      </w:r>
    </w:p>
    <w:p w:rsidR="00E72743" w:rsidRDefault="00E72743" w:rsidP="007C2ECC">
      <w:pPr>
        <w:rPr>
          <w:rFonts w:eastAsia="MS Mincho" w:cs="Arial"/>
          <w:sz w:val="22"/>
          <w:szCs w:val="22"/>
          <w:lang w:eastAsia="ja-JP"/>
        </w:rPr>
      </w:pPr>
    </w:p>
    <w:p w:rsidR="00642AC6" w:rsidRPr="00642AC6" w:rsidRDefault="00642AC6" w:rsidP="00EB5D18">
      <w:pPr>
        <w:rPr>
          <w:sz w:val="22"/>
        </w:rPr>
      </w:pPr>
    </w:p>
    <w:p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:rsidR="001F4736" w:rsidRDefault="00E72743" w:rsidP="003F4423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paper, the important </w:t>
      </w:r>
      <w:proofErr w:type="gramStart"/>
      <w:r>
        <w:rPr>
          <w:rFonts w:cs="Arial"/>
          <w:sz w:val="22"/>
          <w:szCs w:val="22"/>
          <w:lang w:val="en-US"/>
        </w:rPr>
        <w:t>metrics</w:t>
      </w:r>
      <w:proofErr w:type="gramEnd"/>
      <w:r>
        <w:rPr>
          <w:rFonts w:cs="Arial"/>
          <w:sz w:val="22"/>
          <w:szCs w:val="22"/>
          <w:lang w:val="en-US"/>
        </w:rPr>
        <w:t xml:space="preserve"> and dependencies for settling the sub-carrier </w:t>
      </w:r>
      <w:proofErr w:type="spellStart"/>
      <w:r>
        <w:rPr>
          <w:rFonts w:cs="Arial"/>
          <w:sz w:val="22"/>
          <w:szCs w:val="22"/>
          <w:lang w:val="en-US"/>
        </w:rPr>
        <w:t>spacings</w:t>
      </w:r>
      <w:proofErr w:type="spellEnd"/>
      <w:r>
        <w:rPr>
          <w:rFonts w:cs="Arial"/>
          <w:sz w:val="22"/>
          <w:szCs w:val="22"/>
          <w:lang w:val="en-US"/>
        </w:rPr>
        <w:t xml:space="preserve"> were further discussed. The need for a realistic phase noise model</w:t>
      </w:r>
      <w:r w:rsidR="00FC7919">
        <w:rPr>
          <w:rFonts w:cs="Arial"/>
          <w:sz w:val="22"/>
          <w:szCs w:val="22"/>
          <w:lang w:val="en-US"/>
        </w:rPr>
        <w:t xml:space="preserve"> for feasibility of sub-carrier spacing in essential in </w:t>
      </w:r>
      <w:proofErr w:type="spellStart"/>
      <w:r w:rsidR="00FC7919">
        <w:rPr>
          <w:rFonts w:cs="Arial"/>
          <w:sz w:val="22"/>
          <w:szCs w:val="22"/>
          <w:lang w:val="en-US"/>
        </w:rPr>
        <w:t>out</w:t>
      </w:r>
      <w:proofErr w:type="spellEnd"/>
      <w:r w:rsidR="00FC7919">
        <w:rPr>
          <w:rFonts w:cs="Arial"/>
          <w:sz w:val="22"/>
          <w:szCs w:val="22"/>
          <w:lang w:val="en-US"/>
        </w:rPr>
        <w:t xml:space="preserve"> view even CPE compensation is concerned. At this stage we would propose the following:</w:t>
      </w:r>
    </w:p>
    <w:p w:rsidR="00FC7919" w:rsidRDefault="00FC7919" w:rsidP="00FC7919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Proposal 1</w:t>
      </w:r>
    </w:p>
    <w:p w:rsidR="000F5AEA" w:rsidRPr="00915DD7" w:rsidRDefault="000F5AEA" w:rsidP="000F5AEA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For sub 6 GHz the sub-carrier </w:t>
      </w:r>
      <w:proofErr w:type="spellStart"/>
      <w:r>
        <w:rPr>
          <w:rFonts w:cs="Arial"/>
          <w:b/>
          <w:bCs/>
          <w:sz w:val="22"/>
          <w:szCs w:val="22"/>
        </w:rPr>
        <w:t>spacings</w:t>
      </w:r>
      <w:proofErr w:type="spellEnd"/>
      <w:r>
        <w:rPr>
          <w:rFonts w:cs="Arial"/>
          <w:b/>
          <w:bCs/>
          <w:sz w:val="22"/>
          <w:szCs w:val="22"/>
        </w:rPr>
        <w:t xml:space="preserve"> should be [15 kHz, 30 kHz and 60 </w:t>
      </w:r>
      <w:proofErr w:type="spellStart"/>
      <w:r>
        <w:rPr>
          <w:rFonts w:cs="Arial"/>
          <w:b/>
          <w:bCs/>
          <w:sz w:val="22"/>
          <w:szCs w:val="22"/>
        </w:rPr>
        <w:t>KHz</w:t>
      </w:r>
      <w:proofErr w:type="spellEnd"/>
      <w:r>
        <w:rPr>
          <w:rFonts w:cs="Arial"/>
          <w:b/>
          <w:bCs/>
          <w:sz w:val="22"/>
          <w:szCs w:val="22"/>
        </w:rPr>
        <w:t xml:space="preserve">]. Supported numerologies should where possible be band </w:t>
      </w:r>
      <w:proofErr w:type="gramStart"/>
      <w:r>
        <w:rPr>
          <w:rFonts w:cs="Arial"/>
          <w:b/>
          <w:bCs/>
          <w:sz w:val="22"/>
          <w:szCs w:val="22"/>
        </w:rPr>
        <w:t>specific depending</w:t>
      </w:r>
      <w:proofErr w:type="gramEnd"/>
      <w:r>
        <w:rPr>
          <w:rFonts w:cs="Arial"/>
          <w:b/>
          <w:bCs/>
          <w:sz w:val="22"/>
          <w:szCs w:val="22"/>
        </w:rPr>
        <w:t xml:space="preserve"> on foreseen usage scenarios.</w:t>
      </w:r>
    </w:p>
    <w:p w:rsidR="00FC7919" w:rsidRDefault="00FC7919" w:rsidP="00FC7919">
      <w:pPr>
        <w:rPr>
          <w:rFonts w:cs="Arial"/>
          <w:b/>
          <w:bCs/>
          <w:sz w:val="22"/>
          <w:szCs w:val="22"/>
        </w:rPr>
      </w:pPr>
    </w:p>
    <w:p w:rsidR="00FC7919" w:rsidRDefault="00FC7919" w:rsidP="00FC7919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Proposal 2</w:t>
      </w:r>
    </w:p>
    <w:p w:rsidR="000F5AEA" w:rsidRPr="00915DD7" w:rsidRDefault="000F5AEA" w:rsidP="000F5AEA">
      <w:pPr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For mm-wave frequencies at this stage, the sub-carrier </w:t>
      </w:r>
      <w:proofErr w:type="spellStart"/>
      <w:r>
        <w:rPr>
          <w:rFonts w:cs="Arial"/>
          <w:b/>
          <w:bCs/>
          <w:sz w:val="22"/>
          <w:szCs w:val="22"/>
        </w:rPr>
        <w:t>spacings</w:t>
      </w:r>
      <w:proofErr w:type="spellEnd"/>
      <w:r>
        <w:rPr>
          <w:rFonts w:cs="Arial"/>
          <w:b/>
          <w:bCs/>
          <w:sz w:val="22"/>
          <w:szCs w:val="22"/>
        </w:rPr>
        <w:t xml:space="preserve"> which should be frequency band dependent should be chosen from [60 kHz, 120 kHz and 240 kHz]. Pending the outcome of the evaluation of feasible FFT/IFFT size as well as maximum bandwidth and phase noise impact and CPE compensation, 480 kHz sub-carrier spacing for upper part of mm-wave frequency ranges should not be precluded.</w:t>
      </w:r>
    </w:p>
    <w:p w:rsidR="00FC7919" w:rsidRPr="00915DD7" w:rsidRDefault="00FC7919" w:rsidP="00FC7919">
      <w:pPr>
        <w:rPr>
          <w:rFonts w:cs="Arial"/>
          <w:b/>
          <w:bCs/>
          <w:sz w:val="22"/>
          <w:szCs w:val="22"/>
        </w:rPr>
      </w:pPr>
    </w:p>
    <w:p w:rsidR="00FC7919" w:rsidRPr="00FC7919" w:rsidRDefault="00FC7919" w:rsidP="003F4423">
      <w:pPr>
        <w:rPr>
          <w:rFonts w:cs="Arial"/>
          <w:sz w:val="22"/>
          <w:szCs w:val="22"/>
        </w:rPr>
      </w:pPr>
    </w:p>
    <w:p w:rsidR="00103BD7" w:rsidRPr="00703711" w:rsidRDefault="00F507D1" w:rsidP="00E640CC">
      <w:pPr>
        <w:pStyle w:val="Heading1"/>
        <w:rPr>
          <w:sz w:val="22"/>
          <w:szCs w:val="22"/>
          <w:lang w:val="en-US"/>
        </w:rPr>
      </w:pPr>
      <w:bookmarkStart w:id="1" w:name="_In-sequence_SDU_delivery"/>
      <w:bookmarkEnd w:id="1"/>
      <w:r w:rsidRPr="00703711">
        <w:rPr>
          <w:lang w:val="en-US"/>
        </w:rPr>
        <w:t>References</w:t>
      </w:r>
    </w:p>
    <w:p w:rsidR="00103BD7" w:rsidRDefault="00103BD7" w:rsidP="00103BD7">
      <w:pPr>
        <w:pStyle w:val="BodyText"/>
        <w:rPr>
          <w:rFonts w:cs="Arial"/>
          <w:sz w:val="22"/>
          <w:szCs w:val="22"/>
          <w:lang w:val="en-US"/>
        </w:rPr>
      </w:pPr>
      <w:r w:rsidRPr="001F4736">
        <w:rPr>
          <w:rFonts w:cs="Arial"/>
          <w:sz w:val="22"/>
          <w:szCs w:val="22"/>
          <w:lang w:val="en-US"/>
        </w:rPr>
        <w:t>[1]</w:t>
      </w:r>
      <w:r w:rsidRPr="001F4736">
        <w:rPr>
          <w:rFonts w:cs="Arial"/>
          <w:sz w:val="22"/>
          <w:szCs w:val="22"/>
          <w:lang w:val="en-US"/>
        </w:rPr>
        <w:tab/>
      </w:r>
      <w:r w:rsidRPr="00EE08BB">
        <w:rPr>
          <w:rFonts w:cs="Arial"/>
          <w:sz w:val="22"/>
          <w:szCs w:val="22"/>
          <w:lang w:val="en-US"/>
        </w:rPr>
        <w:t>R4-164226, “On mm-wave technology”, Ericsson</w:t>
      </w:r>
    </w:p>
    <w:p w:rsidR="00103BD7" w:rsidRDefault="00103BD7" w:rsidP="00103BD7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[2]</w:t>
      </w:r>
      <w:r>
        <w:rPr>
          <w:rFonts w:cs="Arial"/>
          <w:sz w:val="22"/>
          <w:szCs w:val="22"/>
          <w:lang w:val="en-US"/>
        </w:rPr>
        <w:tab/>
        <w:t>R4-16</w:t>
      </w:r>
      <w:r w:rsidR="00795B1A">
        <w:rPr>
          <w:rFonts w:cs="Arial"/>
          <w:sz w:val="22"/>
          <w:szCs w:val="22"/>
          <w:lang w:val="en-US"/>
        </w:rPr>
        <w:t>09950</w:t>
      </w:r>
      <w:r>
        <w:rPr>
          <w:rFonts w:cs="Arial"/>
          <w:sz w:val="22"/>
          <w:szCs w:val="22"/>
          <w:lang w:val="en-US"/>
        </w:rPr>
        <w:t>, “on mm-wave phase noise”, Ericsson</w:t>
      </w:r>
    </w:p>
    <w:p w:rsidR="00AE5FE6" w:rsidRPr="002C6C2F" w:rsidRDefault="00623AAD" w:rsidP="007C2ECC">
      <w:pPr>
        <w:spacing w:after="60"/>
        <w:ind w:left="1985" w:hanging="1985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MS Mincho" w:cs="Arial"/>
          <w:bCs/>
          <w:sz w:val="22"/>
          <w:szCs w:val="22"/>
          <w:lang w:eastAsia="ja-JP"/>
        </w:rPr>
        <w:t xml:space="preserve">[3]  </w:t>
      </w:r>
      <w:r w:rsidR="00F72A5D">
        <w:rPr>
          <w:rFonts w:eastAsia="MS Mincho" w:cs="Arial"/>
          <w:bCs/>
          <w:sz w:val="22"/>
          <w:szCs w:val="22"/>
          <w:lang w:eastAsia="ja-JP"/>
        </w:rPr>
        <w:t xml:space="preserve">   </w:t>
      </w:r>
      <w:r w:rsidR="00AE5FE6" w:rsidRPr="00726AB0">
        <w:rPr>
          <w:rFonts w:eastAsia="MS Mincho" w:cs="Arial"/>
          <w:bCs/>
          <w:sz w:val="22"/>
          <w:szCs w:val="22"/>
          <w:lang w:eastAsia="ja-JP"/>
        </w:rPr>
        <w:t>R4-17</w:t>
      </w:r>
      <w:r w:rsidR="00726AB0" w:rsidRPr="00726AB0">
        <w:rPr>
          <w:rFonts w:eastAsia="MS Mincho" w:cs="Arial"/>
          <w:bCs/>
          <w:sz w:val="22"/>
          <w:szCs w:val="22"/>
          <w:lang w:eastAsia="ja-JP"/>
        </w:rPr>
        <w:t>01165</w:t>
      </w:r>
      <w:r w:rsidR="00AE5FE6">
        <w:rPr>
          <w:rFonts w:eastAsia="MS Mincho" w:cs="Arial"/>
          <w:bCs/>
          <w:sz w:val="22"/>
          <w:szCs w:val="22"/>
          <w:lang w:eastAsia="ja-JP"/>
        </w:rPr>
        <w:t>, “</w:t>
      </w:r>
      <w:r w:rsidR="00795B1A">
        <w:rPr>
          <w:rFonts w:eastAsia="MS Mincho" w:cs="Arial"/>
          <w:bCs/>
          <w:sz w:val="22"/>
          <w:szCs w:val="22"/>
          <w:lang w:eastAsia="ja-JP"/>
        </w:rPr>
        <w:t xml:space="preserve">On mm-wave </w:t>
      </w:r>
      <w:r w:rsidR="00AE5FE6">
        <w:rPr>
          <w:rFonts w:eastAsia="MS Mincho" w:cs="Arial"/>
          <w:bCs/>
          <w:sz w:val="22"/>
          <w:szCs w:val="22"/>
          <w:lang w:eastAsia="ja-JP"/>
        </w:rPr>
        <w:t>phase noise model</w:t>
      </w:r>
      <w:r w:rsidR="00795B1A">
        <w:rPr>
          <w:rFonts w:eastAsia="MS Mincho" w:cs="Arial"/>
          <w:bCs/>
          <w:sz w:val="22"/>
          <w:szCs w:val="22"/>
          <w:lang w:eastAsia="ja-JP"/>
        </w:rPr>
        <w:t>ling</w:t>
      </w:r>
      <w:r w:rsidR="00AE5FE6">
        <w:rPr>
          <w:rFonts w:eastAsia="MS Mincho" w:cs="Arial"/>
          <w:bCs/>
          <w:sz w:val="22"/>
          <w:szCs w:val="22"/>
          <w:lang w:eastAsia="ja-JP"/>
        </w:rPr>
        <w:t>”, Ericsson</w:t>
      </w:r>
    </w:p>
    <w:p w:rsidR="006F7B1A" w:rsidRPr="007C2ECC" w:rsidRDefault="006F7B1A" w:rsidP="006F7B1A">
      <w:pPr>
        <w:pStyle w:val="BodyText"/>
        <w:rPr>
          <w:rFonts w:cs="Arial"/>
          <w:sz w:val="22"/>
          <w:szCs w:val="22"/>
        </w:rPr>
      </w:pPr>
    </w:p>
    <w:sectPr w:rsidR="006F7B1A" w:rsidRPr="007C2EC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AB" w:rsidRDefault="00E55CAB">
      <w:r>
        <w:separator/>
      </w:r>
    </w:p>
  </w:endnote>
  <w:endnote w:type="continuationSeparator" w:id="0">
    <w:p w:rsidR="00E55CAB" w:rsidRDefault="00E5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3F8" w:rsidRDefault="00AE03F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192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192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AB" w:rsidRDefault="00E55CAB">
      <w:r>
        <w:separator/>
      </w:r>
    </w:p>
  </w:footnote>
  <w:footnote w:type="continuationSeparator" w:id="0">
    <w:p w:rsidR="00E55CAB" w:rsidRDefault="00E5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3F8" w:rsidRDefault="00AE03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052B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D77EF"/>
    <w:multiLevelType w:val="hybridMultilevel"/>
    <w:tmpl w:val="B4FE16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A785812"/>
    <w:multiLevelType w:val="hybridMultilevel"/>
    <w:tmpl w:val="3E106240"/>
    <w:lvl w:ilvl="0" w:tplc="46048F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eastAsia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21B93"/>
    <w:multiLevelType w:val="hybridMultilevel"/>
    <w:tmpl w:val="D48802C2"/>
    <w:lvl w:ilvl="0" w:tplc="B008D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BA392C"/>
    <w:multiLevelType w:val="hybridMultilevel"/>
    <w:tmpl w:val="7DF0C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644E7A"/>
    <w:multiLevelType w:val="hybridMultilevel"/>
    <w:tmpl w:val="34B45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644A53"/>
    <w:multiLevelType w:val="hybridMultilevel"/>
    <w:tmpl w:val="EF367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C6297"/>
    <w:multiLevelType w:val="hybridMultilevel"/>
    <w:tmpl w:val="83EA4A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A2AF1"/>
    <w:multiLevelType w:val="hybridMultilevel"/>
    <w:tmpl w:val="3F38CDA6"/>
    <w:lvl w:ilvl="0" w:tplc="FB2433B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832D6"/>
    <w:multiLevelType w:val="hybridMultilevel"/>
    <w:tmpl w:val="A48E844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2001B"/>
    <w:multiLevelType w:val="hybridMultilevel"/>
    <w:tmpl w:val="19B8F8CE"/>
    <w:lvl w:ilvl="0" w:tplc="2D3E0B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31626"/>
    <w:multiLevelType w:val="hybridMultilevel"/>
    <w:tmpl w:val="AE22F34A"/>
    <w:lvl w:ilvl="0" w:tplc="041D0005">
      <w:start w:val="1"/>
      <w:numFmt w:val="bullet"/>
      <w:lvlText w:val=""/>
      <w:lvlJc w:val="left"/>
      <w:pPr>
        <w:tabs>
          <w:tab w:val="num" w:pos="-913"/>
        </w:tabs>
        <w:ind w:left="-913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"/>
        </w:tabs>
        <w:ind w:left="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</w:abstractNum>
  <w:abstractNum w:abstractNumId="46" w15:restartNumberingAfterBreak="0">
    <w:nsid w:val="7F1D40B4"/>
    <w:multiLevelType w:val="hybridMultilevel"/>
    <w:tmpl w:val="738420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18"/>
  </w:num>
  <w:num w:numId="6">
    <w:abstractNumId w:val="29"/>
  </w:num>
  <w:num w:numId="7">
    <w:abstractNumId w:val="35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20"/>
  </w:num>
  <w:num w:numId="13">
    <w:abstractNumId w:val="21"/>
  </w:num>
  <w:num w:numId="14">
    <w:abstractNumId w:val="12"/>
  </w:num>
  <w:num w:numId="15">
    <w:abstractNumId w:val="17"/>
  </w:num>
  <w:num w:numId="16">
    <w:abstractNumId w:val="38"/>
  </w:num>
  <w:num w:numId="17">
    <w:abstractNumId w:val="40"/>
  </w:num>
  <w:num w:numId="18">
    <w:abstractNumId w:val="42"/>
  </w:num>
  <w:num w:numId="19">
    <w:abstractNumId w:val="36"/>
  </w:num>
  <w:num w:numId="20">
    <w:abstractNumId w:val="22"/>
  </w:num>
  <w:num w:numId="21">
    <w:abstractNumId w:val="34"/>
  </w:num>
  <w:num w:numId="22">
    <w:abstractNumId w:val="26"/>
  </w:num>
  <w:num w:numId="23">
    <w:abstractNumId w:val="11"/>
  </w:num>
  <w:num w:numId="24">
    <w:abstractNumId w:val="44"/>
  </w:num>
  <w:num w:numId="25">
    <w:abstractNumId w:val="10"/>
  </w:num>
  <w:num w:numId="26">
    <w:abstractNumId w:val="30"/>
  </w:num>
  <w:num w:numId="27">
    <w:abstractNumId w:val="23"/>
  </w:num>
  <w:num w:numId="28">
    <w:abstractNumId w:val="43"/>
  </w:num>
  <w:num w:numId="29">
    <w:abstractNumId w:val="3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5"/>
  </w:num>
  <w:num w:numId="33">
    <w:abstractNumId w:val="9"/>
  </w:num>
  <w:num w:numId="34">
    <w:abstractNumId w:val="41"/>
  </w:num>
  <w:num w:numId="35">
    <w:abstractNumId w:val="8"/>
  </w:num>
  <w:num w:numId="36">
    <w:abstractNumId w:val="0"/>
  </w:num>
  <w:num w:numId="37">
    <w:abstractNumId w:val="5"/>
  </w:num>
  <w:num w:numId="38">
    <w:abstractNumId w:val="2"/>
  </w:num>
  <w:num w:numId="39">
    <w:abstractNumId w:val="3"/>
  </w:num>
  <w:num w:numId="40">
    <w:abstractNumId w:val="27"/>
  </w:num>
  <w:num w:numId="41">
    <w:abstractNumId w:val="46"/>
  </w:num>
  <w:num w:numId="42">
    <w:abstractNumId w:val="15"/>
  </w:num>
  <w:num w:numId="43">
    <w:abstractNumId w:val="7"/>
  </w:num>
  <w:num w:numId="44">
    <w:abstractNumId w:val="39"/>
  </w:num>
  <w:num w:numId="45">
    <w:abstractNumId w:val="33"/>
  </w:num>
  <w:num w:numId="46">
    <w:abstractNumId w:val="28"/>
  </w:num>
  <w:num w:numId="4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AEA"/>
    <w:rsid w:val="000F6DF3"/>
    <w:rsid w:val="000F7ADE"/>
    <w:rsid w:val="001005FF"/>
    <w:rsid w:val="00103BD6"/>
    <w:rsid w:val="00103BD7"/>
    <w:rsid w:val="001062FB"/>
    <w:rsid w:val="001063E6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731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3352"/>
    <w:rsid w:val="002346E2"/>
    <w:rsid w:val="00235632"/>
    <w:rsid w:val="00235872"/>
    <w:rsid w:val="00236580"/>
    <w:rsid w:val="00237254"/>
    <w:rsid w:val="00240B49"/>
    <w:rsid w:val="00241559"/>
    <w:rsid w:val="002435B3"/>
    <w:rsid w:val="002458EB"/>
    <w:rsid w:val="00245F4B"/>
    <w:rsid w:val="002500C8"/>
    <w:rsid w:val="00253972"/>
    <w:rsid w:val="00256F3B"/>
    <w:rsid w:val="00257543"/>
    <w:rsid w:val="002617E7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F44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3D73"/>
    <w:rsid w:val="002C41E6"/>
    <w:rsid w:val="002C434C"/>
    <w:rsid w:val="002C43A4"/>
    <w:rsid w:val="002C651D"/>
    <w:rsid w:val="002D071A"/>
    <w:rsid w:val="002D34B2"/>
    <w:rsid w:val="002D5715"/>
    <w:rsid w:val="002D7637"/>
    <w:rsid w:val="002E17F2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BF0"/>
    <w:rsid w:val="00390F4F"/>
    <w:rsid w:val="003939FF"/>
    <w:rsid w:val="003A2223"/>
    <w:rsid w:val="003A2A0F"/>
    <w:rsid w:val="003A341F"/>
    <w:rsid w:val="003A45A1"/>
    <w:rsid w:val="003A4B1B"/>
    <w:rsid w:val="003A5B0A"/>
    <w:rsid w:val="003A6BAC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CD4"/>
    <w:rsid w:val="003F4423"/>
    <w:rsid w:val="003F4AD2"/>
    <w:rsid w:val="003F6331"/>
    <w:rsid w:val="003F6BBE"/>
    <w:rsid w:val="004000E8"/>
    <w:rsid w:val="00402E2B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20C3"/>
    <w:rsid w:val="00485DBC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95F"/>
    <w:rsid w:val="004A7B30"/>
    <w:rsid w:val="004B2F8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4B59"/>
    <w:rsid w:val="00536759"/>
    <w:rsid w:val="00537C62"/>
    <w:rsid w:val="00544144"/>
    <w:rsid w:val="00546970"/>
    <w:rsid w:val="00550C36"/>
    <w:rsid w:val="00551945"/>
    <w:rsid w:val="005536C2"/>
    <w:rsid w:val="00554E19"/>
    <w:rsid w:val="00560F8E"/>
    <w:rsid w:val="0056121F"/>
    <w:rsid w:val="00563E70"/>
    <w:rsid w:val="005669EE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11B83"/>
    <w:rsid w:val="00613257"/>
    <w:rsid w:val="0061715B"/>
    <w:rsid w:val="00617E3B"/>
    <w:rsid w:val="00620A71"/>
    <w:rsid w:val="00620D80"/>
    <w:rsid w:val="006234A6"/>
    <w:rsid w:val="00623AAD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2AC6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95FC2"/>
    <w:rsid w:val="00696949"/>
    <w:rsid w:val="0069705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6F08"/>
    <w:rsid w:val="006E062C"/>
    <w:rsid w:val="006E28B7"/>
    <w:rsid w:val="006E3310"/>
    <w:rsid w:val="006E4C2F"/>
    <w:rsid w:val="006E4E39"/>
    <w:rsid w:val="006E565E"/>
    <w:rsid w:val="006E673D"/>
    <w:rsid w:val="006E7D3B"/>
    <w:rsid w:val="006F1B70"/>
    <w:rsid w:val="006F341D"/>
    <w:rsid w:val="006F3CDE"/>
    <w:rsid w:val="006F572E"/>
    <w:rsid w:val="006F58D4"/>
    <w:rsid w:val="006F7B1A"/>
    <w:rsid w:val="00700EC6"/>
    <w:rsid w:val="00703346"/>
    <w:rsid w:val="0070346E"/>
    <w:rsid w:val="00703711"/>
    <w:rsid w:val="00704EDB"/>
    <w:rsid w:val="00706101"/>
    <w:rsid w:val="00707072"/>
    <w:rsid w:val="007076AD"/>
    <w:rsid w:val="00707D61"/>
    <w:rsid w:val="00712287"/>
    <w:rsid w:val="00712772"/>
    <w:rsid w:val="00712B89"/>
    <w:rsid w:val="007139C5"/>
    <w:rsid w:val="00714833"/>
    <w:rsid w:val="007148D3"/>
    <w:rsid w:val="00715B9A"/>
    <w:rsid w:val="00725850"/>
    <w:rsid w:val="00725BBC"/>
    <w:rsid w:val="00726AB0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6BAD"/>
    <w:rsid w:val="007727A5"/>
    <w:rsid w:val="00772EBA"/>
    <w:rsid w:val="007744C6"/>
    <w:rsid w:val="007755F2"/>
    <w:rsid w:val="00776971"/>
    <w:rsid w:val="00776BC6"/>
    <w:rsid w:val="00776BEA"/>
    <w:rsid w:val="0078177E"/>
    <w:rsid w:val="0078304C"/>
    <w:rsid w:val="00783673"/>
    <w:rsid w:val="00784EC9"/>
    <w:rsid w:val="00785490"/>
    <w:rsid w:val="007925EA"/>
    <w:rsid w:val="00793CD8"/>
    <w:rsid w:val="00795B1A"/>
    <w:rsid w:val="00795C92"/>
    <w:rsid w:val="00796231"/>
    <w:rsid w:val="00796711"/>
    <w:rsid w:val="007973DE"/>
    <w:rsid w:val="007A1CB3"/>
    <w:rsid w:val="007A306F"/>
    <w:rsid w:val="007A43A6"/>
    <w:rsid w:val="007A58A6"/>
    <w:rsid w:val="007A71CF"/>
    <w:rsid w:val="007B0805"/>
    <w:rsid w:val="007B3D2D"/>
    <w:rsid w:val="007B50AE"/>
    <w:rsid w:val="007B51DF"/>
    <w:rsid w:val="007B5987"/>
    <w:rsid w:val="007C05DD"/>
    <w:rsid w:val="007C0FBC"/>
    <w:rsid w:val="007C2EC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44E8"/>
    <w:rsid w:val="00844E80"/>
    <w:rsid w:val="008453A0"/>
    <w:rsid w:val="00846FE7"/>
    <w:rsid w:val="00847D79"/>
    <w:rsid w:val="00855FFB"/>
    <w:rsid w:val="00856911"/>
    <w:rsid w:val="0086086E"/>
    <w:rsid w:val="00860ADC"/>
    <w:rsid w:val="0086574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9088A"/>
    <w:rsid w:val="008939AE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5DD7"/>
    <w:rsid w:val="00916079"/>
    <w:rsid w:val="00917CE9"/>
    <w:rsid w:val="00920BF2"/>
    <w:rsid w:val="00921B74"/>
    <w:rsid w:val="00922010"/>
    <w:rsid w:val="00931BD9"/>
    <w:rsid w:val="00934F5C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50F"/>
    <w:rsid w:val="009A69E6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2B37"/>
    <w:rsid w:val="00A048A8"/>
    <w:rsid w:val="00A101F1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EC4"/>
    <w:rsid w:val="00A80CB6"/>
    <w:rsid w:val="00A838DB"/>
    <w:rsid w:val="00A86418"/>
    <w:rsid w:val="00A9086D"/>
    <w:rsid w:val="00A92879"/>
    <w:rsid w:val="00A9442A"/>
    <w:rsid w:val="00A94836"/>
    <w:rsid w:val="00A95F36"/>
    <w:rsid w:val="00AA016F"/>
    <w:rsid w:val="00AA1ED6"/>
    <w:rsid w:val="00AA51D6"/>
    <w:rsid w:val="00AB0BC8"/>
    <w:rsid w:val="00AB11CA"/>
    <w:rsid w:val="00AB14D9"/>
    <w:rsid w:val="00AB2374"/>
    <w:rsid w:val="00AB46E9"/>
    <w:rsid w:val="00AB4AB8"/>
    <w:rsid w:val="00AB655E"/>
    <w:rsid w:val="00AC007F"/>
    <w:rsid w:val="00AC0E8B"/>
    <w:rsid w:val="00AC2ECD"/>
    <w:rsid w:val="00AC3119"/>
    <w:rsid w:val="00AC34B1"/>
    <w:rsid w:val="00AC3CD2"/>
    <w:rsid w:val="00AC49FB"/>
    <w:rsid w:val="00AC52D1"/>
    <w:rsid w:val="00AC5A10"/>
    <w:rsid w:val="00AD0AA3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E5FE6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763F"/>
    <w:rsid w:val="00B27AAC"/>
    <w:rsid w:val="00B30929"/>
    <w:rsid w:val="00B372AA"/>
    <w:rsid w:val="00B40445"/>
    <w:rsid w:val="00B406C2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2A25"/>
    <w:rsid w:val="00BB4444"/>
    <w:rsid w:val="00BB51E9"/>
    <w:rsid w:val="00BC0FDC"/>
    <w:rsid w:val="00BC3053"/>
    <w:rsid w:val="00BC4D2E"/>
    <w:rsid w:val="00BC590C"/>
    <w:rsid w:val="00BD48AC"/>
    <w:rsid w:val="00BD5F1A"/>
    <w:rsid w:val="00BD6434"/>
    <w:rsid w:val="00BE1234"/>
    <w:rsid w:val="00BE192D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4D4B"/>
    <w:rsid w:val="00C14EE3"/>
    <w:rsid w:val="00C154BB"/>
    <w:rsid w:val="00C16F68"/>
    <w:rsid w:val="00C27925"/>
    <w:rsid w:val="00C279B5"/>
    <w:rsid w:val="00C27C45"/>
    <w:rsid w:val="00C36A39"/>
    <w:rsid w:val="00C3719D"/>
    <w:rsid w:val="00C40ED5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4672"/>
    <w:rsid w:val="00C65D02"/>
    <w:rsid w:val="00C70697"/>
    <w:rsid w:val="00C71700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07D5"/>
    <w:rsid w:val="00D0349B"/>
    <w:rsid w:val="00D10249"/>
    <w:rsid w:val="00D10511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5DFE"/>
    <w:rsid w:val="00DD62A6"/>
    <w:rsid w:val="00DD69D8"/>
    <w:rsid w:val="00DE35AD"/>
    <w:rsid w:val="00DE49BF"/>
    <w:rsid w:val="00DE5608"/>
    <w:rsid w:val="00DE58D0"/>
    <w:rsid w:val="00DE654F"/>
    <w:rsid w:val="00DE761A"/>
    <w:rsid w:val="00DF0B6E"/>
    <w:rsid w:val="00DF15E0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3B75"/>
    <w:rsid w:val="00E54E3B"/>
    <w:rsid w:val="00E55CAB"/>
    <w:rsid w:val="00E57565"/>
    <w:rsid w:val="00E617AD"/>
    <w:rsid w:val="00E625A2"/>
    <w:rsid w:val="00E63838"/>
    <w:rsid w:val="00E64434"/>
    <w:rsid w:val="00E64629"/>
    <w:rsid w:val="00E662D6"/>
    <w:rsid w:val="00E67C51"/>
    <w:rsid w:val="00E72743"/>
    <w:rsid w:val="00E7287A"/>
    <w:rsid w:val="00E72EFC"/>
    <w:rsid w:val="00E74526"/>
    <w:rsid w:val="00E74F5D"/>
    <w:rsid w:val="00E75173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7F9"/>
    <w:rsid w:val="00E9291C"/>
    <w:rsid w:val="00E938DD"/>
    <w:rsid w:val="00E93FFE"/>
    <w:rsid w:val="00E94F8A"/>
    <w:rsid w:val="00E955DA"/>
    <w:rsid w:val="00E97C43"/>
    <w:rsid w:val="00EA7A41"/>
    <w:rsid w:val="00EB048A"/>
    <w:rsid w:val="00EB077B"/>
    <w:rsid w:val="00EB4EA2"/>
    <w:rsid w:val="00EB5D18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5F72"/>
    <w:rsid w:val="00F607C5"/>
    <w:rsid w:val="00F60DEA"/>
    <w:rsid w:val="00F6302A"/>
    <w:rsid w:val="00F64C2B"/>
    <w:rsid w:val="00F651BE"/>
    <w:rsid w:val="00F66D78"/>
    <w:rsid w:val="00F67E13"/>
    <w:rsid w:val="00F67F53"/>
    <w:rsid w:val="00F703BE"/>
    <w:rsid w:val="00F71A78"/>
    <w:rsid w:val="00F71F69"/>
    <w:rsid w:val="00F72A5D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13A8"/>
    <w:rsid w:val="00F92782"/>
    <w:rsid w:val="00F93AA9"/>
    <w:rsid w:val="00F943C6"/>
    <w:rsid w:val="00F95B4D"/>
    <w:rsid w:val="00F96985"/>
    <w:rsid w:val="00F96D4C"/>
    <w:rsid w:val="00F97838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919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44205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D4E6E-3119-472D-A7FD-E6261AF3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4</TotalTime>
  <Pages>2</Pages>
  <Words>773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5</cp:revision>
  <cp:lastPrinted>2016-09-23T14:37:00Z</cp:lastPrinted>
  <dcterms:created xsi:type="dcterms:W3CDTF">2017-02-03T12:48:00Z</dcterms:created>
  <dcterms:modified xsi:type="dcterms:W3CDTF">2017-02-03T18:40:00Z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