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56AB4">
        <w:rPr>
          <w:rFonts w:ascii="Arial" w:hAnsi="Arial" w:cs="Arial"/>
          <w:b/>
          <w:noProof/>
          <w:sz w:val="24"/>
          <w:lang w:val="de-DE"/>
        </w:rPr>
        <w:t>TSG-</w:t>
      </w:r>
      <w:r>
        <w:rPr>
          <w:rFonts w:ascii="Arial" w:hAnsi="Arial" w:cs="Arial"/>
          <w:b/>
          <w:noProof/>
          <w:sz w:val="24"/>
          <w:lang w:val="de-DE"/>
        </w:rPr>
        <w:t>RAN</w:t>
      </w:r>
      <w:r w:rsidR="00A56AB4">
        <w:rPr>
          <w:rFonts w:ascii="Arial" w:hAnsi="Arial" w:cs="Arial"/>
          <w:b/>
          <w:noProof/>
          <w:sz w:val="24"/>
          <w:lang w:val="de-DE"/>
        </w:rPr>
        <w:t xml:space="preserve"> WG</w:t>
      </w:r>
      <w:r>
        <w:rPr>
          <w:rFonts w:ascii="Arial" w:hAnsi="Arial" w:cs="Arial"/>
          <w:b/>
          <w:noProof/>
          <w:sz w:val="24"/>
          <w:lang w:val="de-DE"/>
        </w:rPr>
        <w:t>4 #</w:t>
      </w:r>
      <w:r>
        <w:rPr>
          <w:rFonts w:ascii="Arial" w:hAnsi="Arial" w:cs="Arial" w:hint="eastAsia"/>
          <w:b/>
          <w:noProof/>
          <w:sz w:val="24"/>
          <w:lang w:val="de-DE" w:eastAsia="ja-JP"/>
        </w:rPr>
        <w:t>8</w:t>
      </w:r>
      <w:r w:rsidR="00F72FF6">
        <w:rPr>
          <w:rFonts w:ascii="Arial" w:hAnsi="Arial" w:cs="Arial"/>
          <w:b/>
          <w:noProof/>
          <w:sz w:val="24"/>
          <w:lang w:val="de-DE" w:eastAsia="ja-JP"/>
        </w:rPr>
        <w:t>2</w:t>
      </w:r>
      <w:r w:rsidRPr="00BC0258">
        <w:rPr>
          <w:rFonts w:ascii="Arial" w:hAnsi="Arial" w:cs="Arial"/>
          <w:b/>
          <w:noProof/>
          <w:sz w:val="24"/>
          <w:lang w:val="de-DE"/>
        </w:rPr>
        <w:tab/>
      </w:r>
      <w:r>
        <w:rPr>
          <w:rFonts w:ascii="Arial" w:hAnsi="Arial" w:cs="Arial"/>
          <w:b/>
          <w:noProof/>
          <w:sz w:val="24"/>
          <w:lang w:val="de-DE"/>
        </w:rPr>
        <w:t xml:space="preserve">R4- </w:t>
      </w:r>
      <w:r w:rsidR="0096238E">
        <w:rPr>
          <w:rFonts w:ascii="Arial" w:hAnsi="Arial" w:cs="Arial"/>
          <w:b/>
          <w:noProof/>
          <w:sz w:val="24"/>
          <w:lang w:val="de-DE"/>
        </w:rPr>
        <w:t>17005</w:t>
      </w:r>
      <w:r w:rsidR="007C0BCE">
        <w:rPr>
          <w:rFonts w:ascii="Arial" w:hAnsi="Arial" w:cs="Arial"/>
          <w:b/>
          <w:noProof/>
          <w:sz w:val="24"/>
          <w:lang w:val="de-DE"/>
        </w:rPr>
        <w:t>90</w:t>
      </w:r>
    </w:p>
    <w:p w:rsidR="00936AFB" w:rsidRPr="00BC0258" w:rsidRDefault="00F72FF6" w:rsidP="00C67AB5">
      <w:pPr>
        <w:widowControl w:val="0"/>
        <w:tabs>
          <w:tab w:val="left" w:pos="8100"/>
        </w:tabs>
        <w:jc w:val="both"/>
        <w:rPr>
          <w:rFonts w:ascii="Arial" w:hAnsi="Arial" w:cs="Arial"/>
          <w:b/>
          <w:sz w:val="24"/>
        </w:rPr>
      </w:pPr>
      <w:r>
        <w:rPr>
          <w:rFonts w:ascii="Arial" w:hAnsi="Arial" w:cs="Arial"/>
          <w:b/>
          <w:noProof/>
          <w:sz w:val="24"/>
          <w:lang w:eastAsia="ja-JP"/>
        </w:rPr>
        <w:t>Athens</w:t>
      </w:r>
      <w:r w:rsidR="00936AFB">
        <w:rPr>
          <w:rFonts w:ascii="Arial" w:hAnsi="Arial" w:cs="Arial"/>
          <w:b/>
          <w:noProof/>
          <w:sz w:val="24"/>
          <w:lang w:eastAsia="ja-JP"/>
        </w:rPr>
        <w:t xml:space="preserve">, </w:t>
      </w:r>
      <w:r>
        <w:rPr>
          <w:rFonts w:ascii="Arial" w:hAnsi="Arial" w:cs="Arial"/>
          <w:b/>
          <w:noProof/>
          <w:sz w:val="24"/>
          <w:lang w:eastAsia="ja-JP"/>
        </w:rPr>
        <w:t>Greece</w:t>
      </w:r>
      <w:r w:rsidR="00936AFB" w:rsidRPr="00D6506B">
        <w:rPr>
          <w:rFonts w:ascii="Arial" w:hAnsi="Arial" w:cs="Arial"/>
          <w:b/>
          <w:noProof/>
          <w:sz w:val="24"/>
          <w:lang w:eastAsia="ja-JP"/>
        </w:rPr>
        <w:t xml:space="preserve">, </w:t>
      </w:r>
      <w:r>
        <w:rPr>
          <w:rFonts w:ascii="Arial" w:hAnsi="Arial" w:cs="Arial"/>
          <w:b/>
          <w:noProof/>
          <w:sz w:val="24"/>
          <w:lang w:eastAsia="ja-JP"/>
        </w:rPr>
        <w:t>13 – 17</w:t>
      </w:r>
      <w:r w:rsidR="00936AFB">
        <w:rPr>
          <w:rFonts w:ascii="Arial" w:hAnsi="Arial" w:cs="Arial"/>
          <w:b/>
          <w:noProof/>
          <w:sz w:val="24"/>
          <w:lang w:eastAsia="ja-JP"/>
        </w:rPr>
        <w:t xml:space="preserve"> </w:t>
      </w:r>
      <w:r>
        <w:rPr>
          <w:rFonts w:ascii="Arial" w:hAnsi="Arial" w:cs="Arial"/>
          <w:b/>
          <w:noProof/>
          <w:sz w:val="24"/>
          <w:lang w:eastAsia="ja-JP"/>
        </w:rPr>
        <w:t>Febuary,</w:t>
      </w:r>
      <w:r w:rsidR="00936AFB">
        <w:rPr>
          <w:rFonts w:ascii="Arial" w:hAnsi="Arial" w:cs="Arial"/>
          <w:b/>
          <w:noProof/>
          <w:sz w:val="24"/>
          <w:lang w:eastAsia="ja-JP"/>
        </w:rPr>
        <w:t xml:space="preserve">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F72FF6">
        <w:rPr>
          <w:rFonts w:ascii="Arial" w:hAnsi="Arial" w:cs="Arial"/>
          <w:sz w:val="24"/>
          <w:lang w:eastAsia="ja-JP"/>
        </w:rPr>
        <w:t>On defining NR spectrum</w:t>
      </w:r>
      <w:r w:rsidR="007C0BCE">
        <w:rPr>
          <w:rFonts w:ascii="Arial" w:hAnsi="Arial" w:cs="Arial"/>
          <w:sz w:val="24"/>
          <w:lang w:eastAsia="ja-JP"/>
        </w:rPr>
        <w:t xml:space="preserve"> in </w:t>
      </w:r>
      <w:proofErr w:type="spellStart"/>
      <w:r w:rsidR="007C0BCE">
        <w:rPr>
          <w:rFonts w:ascii="Arial" w:hAnsi="Arial" w:cs="Arial"/>
          <w:sz w:val="24"/>
          <w:lang w:eastAsia="ja-JP"/>
        </w:rPr>
        <w:t>mmWave</w:t>
      </w:r>
      <w:proofErr w:type="spellEnd"/>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3E5457">
        <w:rPr>
          <w:rFonts w:ascii="Arial" w:hAnsi="Arial" w:cs="Arial"/>
          <w:sz w:val="24"/>
          <w:lang w:eastAsia="ja-JP"/>
        </w:rPr>
        <w:t>10.2</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A56AB4">
        <w:rPr>
          <w:rFonts w:ascii="Arial" w:hAnsi="Arial" w:cs="Arial"/>
          <w:sz w:val="24"/>
          <w:lang w:eastAsia="ja-JP"/>
        </w:rPr>
        <w:t>Discussion</w:t>
      </w:r>
    </w:p>
    <w:p w:rsidR="00F6372E" w:rsidRPr="003403AF" w:rsidRDefault="00F6372E" w:rsidP="00F6372E">
      <w:pPr>
        <w:pStyle w:val="Heading1"/>
      </w:pPr>
      <w:r>
        <w:t>1</w:t>
      </w:r>
      <w:r>
        <w:tab/>
        <w:t>Introduction</w:t>
      </w:r>
    </w:p>
    <w:p w:rsidR="00F6372E" w:rsidRPr="00D35BFE" w:rsidRDefault="00F6372E" w:rsidP="00F6372E">
      <w:pPr>
        <w:rPr>
          <w:rFonts w:ascii="Arial" w:hAnsi="Arial" w:cs="Arial"/>
          <w:sz w:val="20"/>
          <w:szCs w:val="20"/>
        </w:rPr>
      </w:pPr>
      <w:r w:rsidRPr="00D35BFE">
        <w:rPr>
          <w:rFonts w:ascii="Arial" w:hAnsi="Arial" w:cs="Arial"/>
          <w:sz w:val="20"/>
          <w:szCs w:val="20"/>
        </w:rPr>
        <w:t xml:space="preserve"> </w:t>
      </w:r>
      <w:r w:rsidR="003E5457" w:rsidRPr="00D35BFE">
        <w:rPr>
          <w:rFonts w:ascii="Arial" w:hAnsi="Arial" w:cs="Arial"/>
          <w:sz w:val="20"/>
          <w:szCs w:val="20"/>
        </w:rPr>
        <w:t>This contribution provides our view on NR duplex mode and NR band definition</w:t>
      </w:r>
      <w:r w:rsidR="00423803">
        <w:rPr>
          <w:rFonts w:ascii="Arial" w:hAnsi="Arial" w:cs="Arial"/>
          <w:sz w:val="20"/>
          <w:szCs w:val="20"/>
        </w:rPr>
        <w:t xml:space="preserve"> for </w:t>
      </w:r>
      <w:proofErr w:type="spellStart"/>
      <w:r w:rsidR="007C0BCE">
        <w:rPr>
          <w:rFonts w:ascii="Arial" w:hAnsi="Arial" w:cs="Arial"/>
          <w:sz w:val="20"/>
          <w:szCs w:val="20"/>
        </w:rPr>
        <w:t>mmWave</w:t>
      </w:r>
      <w:proofErr w:type="spellEnd"/>
      <w:r w:rsidR="007C0BCE">
        <w:rPr>
          <w:rFonts w:ascii="Arial" w:hAnsi="Arial" w:cs="Arial"/>
          <w:sz w:val="20"/>
          <w:szCs w:val="20"/>
        </w:rPr>
        <w:t>.</w:t>
      </w:r>
    </w:p>
    <w:p w:rsidR="00C72E18" w:rsidRDefault="00C72E18" w:rsidP="00F6372E"/>
    <w:p w:rsidR="00B467EE" w:rsidRDefault="00F6372E" w:rsidP="00B467EE">
      <w:pPr>
        <w:pStyle w:val="Heading1"/>
      </w:pPr>
      <w:r>
        <w:t>2</w:t>
      </w:r>
      <w:r>
        <w:tab/>
        <w:t>Discussion</w:t>
      </w:r>
    </w:p>
    <w:p w:rsidR="00B467EE" w:rsidRDefault="00B467EE" w:rsidP="00B467EE">
      <w:pPr>
        <w:pStyle w:val="Heading1"/>
        <w:rPr>
          <w:sz w:val="28"/>
          <w:szCs w:val="28"/>
        </w:rPr>
      </w:pPr>
      <w:r w:rsidRPr="00B467EE">
        <w:rPr>
          <w:sz w:val="28"/>
          <w:szCs w:val="28"/>
        </w:rPr>
        <w:t>2.1 Duplex mode</w:t>
      </w:r>
    </w:p>
    <w:p w:rsidR="00B467EE" w:rsidRPr="00D35BFE" w:rsidRDefault="00F047B1" w:rsidP="00F6372E">
      <w:pPr>
        <w:rPr>
          <w:rFonts w:ascii="Arial" w:hAnsi="Arial" w:cs="Arial"/>
          <w:sz w:val="20"/>
          <w:szCs w:val="20"/>
        </w:rPr>
      </w:pPr>
      <w:proofErr w:type="spellStart"/>
      <w:r w:rsidRPr="00D35BFE">
        <w:rPr>
          <w:rFonts w:ascii="Arial" w:hAnsi="Arial" w:cs="Arial"/>
          <w:sz w:val="20"/>
          <w:szCs w:val="20"/>
        </w:rPr>
        <w:t>FDD</w:t>
      </w:r>
      <w:proofErr w:type="spellEnd"/>
      <w:r w:rsidRPr="00D35BFE">
        <w:rPr>
          <w:rFonts w:ascii="Arial" w:hAnsi="Arial" w:cs="Arial"/>
          <w:sz w:val="20"/>
          <w:szCs w:val="20"/>
        </w:rPr>
        <w:t xml:space="preserve"> </w:t>
      </w:r>
      <w:r w:rsidR="00B467EE" w:rsidRPr="00D35BFE">
        <w:rPr>
          <w:rFonts w:ascii="Arial" w:hAnsi="Arial" w:cs="Arial"/>
          <w:sz w:val="20"/>
          <w:szCs w:val="20"/>
        </w:rPr>
        <w:t xml:space="preserve">and </w:t>
      </w:r>
      <w:proofErr w:type="spellStart"/>
      <w:r w:rsidR="00B467EE" w:rsidRPr="00D35BFE">
        <w:rPr>
          <w:rFonts w:ascii="Arial" w:hAnsi="Arial" w:cs="Arial"/>
          <w:sz w:val="20"/>
          <w:szCs w:val="20"/>
        </w:rPr>
        <w:t>TDD</w:t>
      </w:r>
      <w:proofErr w:type="spellEnd"/>
      <w:r w:rsidR="00B467EE" w:rsidRPr="00D35BFE">
        <w:rPr>
          <w:rFonts w:ascii="Arial" w:hAnsi="Arial" w:cs="Arial"/>
          <w:sz w:val="20"/>
          <w:szCs w:val="20"/>
        </w:rPr>
        <w:t xml:space="preserve"> have unique characteristics one over the other. In earlier stage in LTE deployment, FDD had been the dominant </w:t>
      </w:r>
      <w:r w:rsidRPr="00D35BFE">
        <w:rPr>
          <w:rFonts w:ascii="Arial" w:hAnsi="Arial" w:cs="Arial"/>
          <w:sz w:val="20"/>
          <w:szCs w:val="20"/>
        </w:rPr>
        <w:t>duplex</w:t>
      </w:r>
      <w:r w:rsidR="00B467EE" w:rsidRPr="00D35BFE">
        <w:rPr>
          <w:rFonts w:ascii="Arial" w:hAnsi="Arial" w:cs="Arial"/>
          <w:sz w:val="20"/>
          <w:szCs w:val="20"/>
        </w:rPr>
        <w:t xml:space="preserve"> method. However, TDD had been introduced </w:t>
      </w:r>
      <w:r w:rsidR="003202B2">
        <w:rPr>
          <w:rFonts w:ascii="Arial" w:hAnsi="Arial" w:cs="Arial"/>
          <w:sz w:val="20"/>
          <w:szCs w:val="20"/>
        </w:rPr>
        <w:t>on</w:t>
      </w:r>
      <w:r w:rsidR="003202B2" w:rsidRPr="00D35BFE">
        <w:rPr>
          <w:rFonts w:ascii="Arial" w:hAnsi="Arial" w:cs="Arial"/>
          <w:sz w:val="20"/>
          <w:szCs w:val="20"/>
        </w:rPr>
        <w:t xml:space="preserve"> </w:t>
      </w:r>
      <w:r w:rsidR="00B467EE" w:rsidRPr="00D35BFE">
        <w:rPr>
          <w:rFonts w:ascii="Arial" w:hAnsi="Arial" w:cs="Arial"/>
          <w:sz w:val="20"/>
          <w:szCs w:val="20"/>
        </w:rPr>
        <w:t xml:space="preserve">BAND 38, 39, 40, </w:t>
      </w:r>
      <w:r w:rsidRPr="00D35BFE">
        <w:rPr>
          <w:rFonts w:ascii="Arial" w:hAnsi="Arial" w:cs="Arial"/>
          <w:sz w:val="20"/>
          <w:szCs w:val="20"/>
        </w:rPr>
        <w:t>etc.</w:t>
      </w:r>
      <w:r w:rsidR="00B467EE" w:rsidRPr="00D35BFE">
        <w:rPr>
          <w:rFonts w:ascii="Arial" w:hAnsi="Arial" w:cs="Arial"/>
          <w:sz w:val="20"/>
          <w:szCs w:val="20"/>
        </w:rPr>
        <w:t xml:space="preserve"> </w:t>
      </w:r>
      <w:r w:rsidR="003202B2">
        <w:rPr>
          <w:rFonts w:ascii="Arial" w:hAnsi="Arial" w:cs="Arial"/>
          <w:sz w:val="20"/>
          <w:szCs w:val="20"/>
        </w:rPr>
        <w:t>starting from</w:t>
      </w:r>
      <w:r w:rsidR="003202B2" w:rsidRPr="00D35BFE">
        <w:rPr>
          <w:rFonts w:ascii="Arial" w:hAnsi="Arial" w:cs="Arial"/>
          <w:sz w:val="20"/>
          <w:szCs w:val="20"/>
        </w:rPr>
        <w:t xml:space="preserve"> </w:t>
      </w:r>
      <w:r w:rsidR="00B467EE" w:rsidRPr="00D35BFE">
        <w:rPr>
          <w:rFonts w:ascii="Arial" w:hAnsi="Arial" w:cs="Arial"/>
          <w:sz w:val="20"/>
          <w:szCs w:val="20"/>
        </w:rPr>
        <w:t xml:space="preserve">mid-2010. Since then both FDD and TDD have been two favourable </w:t>
      </w:r>
      <w:r w:rsidR="0098559A" w:rsidRPr="00D35BFE">
        <w:rPr>
          <w:rFonts w:ascii="Arial" w:hAnsi="Arial" w:cs="Arial"/>
          <w:sz w:val="20"/>
          <w:szCs w:val="20"/>
        </w:rPr>
        <w:t>duplex techniques.</w:t>
      </w:r>
    </w:p>
    <w:p w:rsidR="00E47F98" w:rsidRPr="00D35BFE" w:rsidRDefault="00E47F98" w:rsidP="00F6372E">
      <w:pPr>
        <w:rPr>
          <w:rFonts w:ascii="Arial" w:hAnsi="Arial" w:cs="Arial"/>
          <w:sz w:val="20"/>
          <w:szCs w:val="20"/>
        </w:rPr>
      </w:pPr>
    </w:p>
    <w:p w:rsidR="00101722" w:rsidRPr="00D35BFE" w:rsidRDefault="00101722" w:rsidP="00101722">
      <w:pPr>
        <w:rPr>
          <w:rFonts w:ascii="Arial" w:hAnsi="Arial" w:cs="Arial"/>
          <w:sz w:val="20"/>
          <w:szCs w:val="20"/>
        </w:rPr>
      </w:pPr>
      <w:r w:rsidRPr="00D35BFE">
        <w:rPr>
          <w:rFonts w:ascii="Arial" w:hAnsi="Arial" w:cs="Arial"/>
          <w:b/>
          <w:i/>
          <w:sz w:val="20"/>
          <w:szCs w:val="20"/>
        </w:rPr>
        <w:t>Dynamic Bandwidth Allocation</w:t>
      </w:r>
    </w:p>
    <w:p w:rsidR="00101722" w:rsidRPr="00D35BFE" w:rsidRDefault="00101722" w:rsidP="00101722">
      <w:pPr>
        <w:rPr>
          <w:rFonts w:ascii="Arial" w:hAnsi="Arial" w:cs="Arial"/>
          <w:sz w:val="20"/>
          <w:szCs w:val="20"/>
        </w:rPr>
      </w:pPr>
      <w:r w:rsidRPr="00D35BFE">
        <w:rPr>
          <w:rFonts w:ascii="Arial" w:hAnsi="Arial" w:cs="Arial"/>
          <w:sz w:val="20"/>
          <w:szCs w:val="20"/>
        </w:rPr>
        <w:t xml:space="preserve">An advantageous aspect is that TDD has more flexible to support key NR features which requires dynamic bandwidth allocation. Unlink </w:t>
      </w:r>
      <w:proofErr w:type="spellStart"/>
      <w:r w:rsidRPr="00D35BFE">
        <w:rPr>
          <w:rFonts w:ascii="Arial" w:hAnsi="Arial" w:cs="Arial"/>
          <w:sz w:val="20"/>
          <w:szCs w:val="20"/>
        </w:rPr>
        <w:t>FDD</w:t>
      </w:r>
      <w:proofErr w:type="spellEnd"/>
      <w:r w:rsidRPr="00D35BFE">
        <w:rPr>
          <w:rFonts w:ascii="Arial" w:hAnsi="Arial" w:cs="Arial"/>
          <w:sz w:val="20"/>
          <w:szCs w:val="20"/>
        </w:rPr>
        <w:t xml:space="preserve"> which </w:t>
      </w:r>
      <w:r w:rsidR="003202B2" w:rsidRPr="00D35BFE">
        <w:rPr>
          <w:rFonts w:ascii="Arial" w:hAnsi="Arial" w:cs="Arial"/>
          <w:sz w:val="20"/>
          <w:szCs w:val="20"/>
        </w:rPr>
        <w:t>require</w:t>
      </w:r>
      <w:r w:rsidR="003202B2">
        <w:rPr>
          <w:rFonts w:ascii="Arial" w:hAnsi="Arial" w:cs="Arial"/>
          <w:sz w:val="20"/>
          <w:szCs w:val="20"/>
        </w:rPr>
        <w:t>s</w:t>
      </w:r>
      <w:r w:rsidR="003202B2" w:rsidRPr="00D35BFE">
        <w:rPr>
          <w:rFonts w:ascii="Arial" w:hAnsi="Arial" w:cs="Arial"/>
          <w:sz w:val="20"/>
          <w:szCs w:val="20"/>
        </w:rPr>
        <w:t xml:space="preserve"> </w:t>
      </w:r>
      <w:r w:rsidRPr="00D35BFE">
        <w:rPr>
          <w:rFonts w:ascii="Arial" w:hAnsi="Arial" w:cs="Arial"/>
          <w:sz w:val="20"/>
          <w:szCs w:val="20"/>
        </w:rPr>
        <w:t>a pair of spectrum, TDD only needs a single spectrum for both downlink and uplink which provides greater flexibility for adaptation to variable global spectrum allocations. For MTC or V2V/V2X as an example, bandwidth will be very dynamic</w:t>
      </w:r>
      <w:r w:rsidR="003202B2">
        <w:rPr>
          <w:rFonts w:ascii="Arial" w:hAnsi="Arial" w:cs="Arial"/>
          <w:sz w:val="20"/>
          <w:szCs w:val="20"/>
        </w:rPr>
        <w:t>. M</w:t>
      </w:r>
      <w:r w:rsidRPr="00D35BFE">
        <w:rPr>
          <w:rFonts w:ascii="Arial" w:hAnsi="Arial" w:cs="Arial"/>
          <w:sz w:val="20"/>
          <w:szCs w:val="20"/>
        </w:rPr>
        <w:t>ost of bandwidth requires for UL at one time, but the same device would need most of traffics for DL at the other time. Also NSA operation would be another example in which TDD enables dynamic spectrum allocation of DL and UL resources to support asymmetric DL/UL traffic efficiently.</w:t>
      </w:r>
    </w:p>
    <w:p w:rsidR="00101722" w:rsidRPr="00D35BFE" w:rsidRDefault="00101722" w:rsidP="00F6372E">
      <w:pPr>
        <w:rPr>
          <w:rFonts w:ascii="Arial" w:hAnsi="Arial" w:cs="Arial"/>
          <w:sz w:val="20"/>
          <w:szCs w:val="20"/>
        </w:rPr>
      </w:pPr>
    </w:p>
    <w:p w:rsidR="00E47F98" w:rsidRPr="00D35BFE" w:rsidRDefault="00E47F98" w:rsidP="00F6372E">
      <w:pPr>
        <w:rPr>
          <w:rFonts w:ascii="Arial" w:hAnsi="Arial" w:cs="Arial"/>
          <w:b/>
          <w:i/>
          <w:sz w:val="20"/>
          <w:szCs w:val="20"/>
        </w:rPr>
      </w:pPr>
      <w:r w:rsidRPr="00D35BFE">
        <w:rPr>
          <w:rFonts w:ascii="Arial" w:hAnsi="Arial" w:cs="Arial"/>
          <w:b/>
          <w:i/>
          <w:sz w:val="20"/>
          <w:szCs w:val="20"/>
        </w:rPr>
        <w:t>Front-End Loss</w:t>
      </w:r>
      <w:r w:rsidR="004C27C3" w:rsidRPr="00D35BFE">
        <w:rPr>
          <w:rFonts w:ascii="Arial" w:hAnsi="Arial" w:cs="Arial"/>
          <w:b/>
          <w:i/>
          <w:sz w:val="20"/>
          <w:szCs w:val="20"/>
        </w:rPr>
        <w:t xml:space="preserve"> &amp; Size</w:t>
      </w:r>
    </w:p>
    <w:p w:rsidR="00E47F98" w:rsidRPr="00D35BFE" w:rsidRDefault="00E47F98" w:rsidP="00F6372E">
      <w:pPr>
        <w:rPr>
          <w:rFonts w:ascii="Arial" w:hAnsi="Arial" w:cs="Arial"/>
          <w:sz w:val="20"/>
          <w:szCs w:val="20"/>
        </w:rPr>
      </w:pPr>
      <w:r w:rsidRPr="00D35BFE">
        <w:rPr>
          <w:rFonts w:ascii="Arial" w:hAnsi="Arial" w:cs="Arial"/>
          <w:sz w:val="20"/>
          <w:szCs w:val="20"/>
        </w:rPr>
        <w:t>In mm-Wave frequency range, we are expecting to combat with higher noise figure and it would be critical to eliminate front-end losses as much as possible. FDD requires a duplexer to protect the sensitive receiver</w:t>
      </w:r>
      <w:r w:rsidR="00E16374" w:rsidRPr="00D35BFE">
        <w:rPr>
          <w:rFonts w:ascii="Arial" w:hAnsi="Arial" w:cs="Arial"/>
          <w:sz w:val="20"/>
          <w:szCs w:val="20"/>
        </w:rPr>
        <w:t xml:space="preserve"> signal</w:t>
      </w:r>
      <w:r w:rsidRPr="00D35BFE">
        <w:rPr>
          <w:rFonts w:ascii="Arial" w:hAnsi="Arial" w:cs="Arial"/>
          <w:sz w:val="20"/>
          <w:szCs w:val="20"/>
        </w:rPr>
        <w:t xml:space="preserve"> from transmitter noise</w:t>
      </w:r>
      <w:r w:rsidR="00E16374" w:rsidRPr="00D35BFE">
        <w:rPr>
          <w:rFonts w:ascii="Arial" w:hAnsi="Arial" w:cs="Arial"/>
          <w:sz w:val="20"/>
          <w:szCs w:val="20"/>
        </w:rPr>
        <w:t xml:space="preserve"> as well as other interferences and blockers</w:t>
      </w:r>
      <w:r w:rsidRPr="00D35BFE">
        <w:rPr>
          <w:rFonts w:ascii="Arial" w:hAnsi="Arial" w:cs="Arial"/>
          <w:sz w:val="20"/>
          <w:szCs w:val="20"/>
        </w:rPr>
        <w:t xml:space="preserve">. </w:t>
      </w:r>
      <w:r w:rsidR="00E16374" w:rsidRPr="00D35BFE">
        <w:rPr>
          <w:rFonts w:ascii="Arial" w:hAnsi="Arial" w:cs="Arial"/>
          <w:sz w:val="20"/>
          <w:szCs w:val="20"/>
        </w:rPr>
        <w:t xml:space="preserve">In current LTE system, insertion loss of a duplexer is 1.5 – 2.0 dB depending on operating bands. </w:t>
      </w:r>
      <w:r w:rsidRPr="00D35BFE">
        <w:rPr>
          <w:rFonts w:ascii="Arial" w:hAnsi="Arial" w:cs="Arial"/>
          <w:sz w:val="20"/>
          <w:szCs w:val="20"/>
        </w:rPr>
        <w:t>Even with technology evolving, this loss would be one of</w:t>
      </w:r>
      <w:r w:rsidR="003202B2">
        <w:rPr>
          <w:rFonts w:ascii="Arial" w:hAnsi="Arial" w:cs="Arial"/>
          <w:sz w:val="20"/>
          <w:szCs w:val="20"/>
        </w:rPr>
        <w:t xml:space="preserve"> the</w:t>
      </w:r>
      <w:r w:rsidRPr="00D35BFE">
        <w:rPr>
          <w:rFonts w:ascii="Arial" w:hAnsi="Arial" w:cs="Arial"/>
          <w:sz w:val="20"/>
          <w:szCs w:val="20"/>
        </w:rPr>
        <w:t xml:space="preserve"> largest portions in front-end loss.</w:t>
      </w:r>
      <w:r w:rsidR="00E16374" w:rsidRPr="00D35BFE">
        <w:rPr>
          <w:rFonts w:ascii="Arial" w:hAnsi="Arial" w:cs="Arial"/>
          <w:sz w:val="20"/>
          <w:szCs w:val="20"/>
        </w:rPr>
        <w:t xml:space="preserve"> By nature of </w:t>
      </w:r>
      <w:proofErr w:type="spellStart"/>
      <w:r w:rsidR="00E16374" w:rsidRPr="00D35BFE">
        <w:rPr>
          <w:rFonts w:ascii="Arial" w:hAnsi="Arial" w:cs="Arial"/>
          <w:sz w:val="20"/>
          <w:szCs w:val="20"/>
        </w:rPr>
        <w:t>Tx</w:t>
      </w:r>
      <w:proofErr w:type="spellEnd"/>
      <w:r w:rsidR="00E16374" w:rsidRPr="00D35BFE">
        <w:rPr>
          <w:rFonts w:ascii="Arial" w:hAnsi="Arial" w:cs="Arial"/>
          <w:sz w:val="20"/>
          <w:szCs w:val="20"/>
        </w:rPr>
        <w:t xml:space="preserve">/Rx switching in </w:t>
      </w:r>
      <w:proofErr w:type="spellStart"/>
      <w:r w:rsidR="00E16374" w:rsidRPr="00D35BFE">
        <w:rPr>
          <w:rFonts w:ascii="Arial" w:hAnsi="Arial" w:cs="Arial"/>
          <w:sz w:val="20"/>
          <w:szCs w:val="20"/>
        </w:rPr>
        <w:t>TDD</w:t>
      </w:r>
      <w:proofErr w:type="spellEnd"/>
      <w:r w:rsidR="00E16374" w:rsidRPr="00D35BFE">
        <w:rPr>
          <w:rFonts w:ascii="Arial" w:hAnsi="Arial" w:cs="Arial"/>
          <w:sz w:val="20"/>
          <w:szCs w:val="20"/>
        </w:rPr>
        <w:t xml:space="preserve">, it is possible to replace this duplexer loss with </w:t>
      </w:r>
      <w:proofErr w:type="spellStart"/>
      <w:r w:rsidR="00E16374" w:rsidRPr="00D35BFE">
        <w:rPr>
          <w:rFonts w:ascii="Arial" w:hAnsi="Arial" w:cs="Arial"/>
          <w:sz w:val="20"/>
          <w:szCs w:val="20"/>
        </w:rPr>
        <w:t>Tx</w:t>
      </w:r>
      <w:proofErr w:type="spellEnd"/>
      <w:r w:rsidR="00E16374" w:rsidRPr="00D35BFE">
        <w:rPr>
          <w:rFonts w:ascii="Arial" w:hAnsi="Arial" w:cs="Arial"/>
          <w:sz w:val="20"/>
          <w:szCs w:val="20"/>
        </w:rPr>
        <w:t xml:space="preserve">/Rx switch loss which is normally 0.3 – 0.5dB. By adopting TDD, we could take </w:t>
      </w:r>
      <w:r w:rsidR="003202B2">
        <w:rPr>
          <w:rFonts w:ascii="Arial" w:hAnsi="Arial" w:cs="Arial"/>
          <w:sz w:val="20"/>
          <w:szCs w:val="20"/>
        </w:rPr>
        <w:t xml:space="preserve">the </w:t>
      </w:r>
      <w:r w:rsidR="00E16374" w:rsidRPr="00D35BFE">
        <w:rPr>
          <w:rFonts w:ascii="Arial" w:hAnsi="Arial" w:cs="Arial"/>
          <w:sz w:val="20"/>
          <w:szCs w:val="20"/>
        </w:rPr>
        <w:t>advantage</w:t>
      </w:r>
      <w:r w:rsidR="003202B2">
        <w:rPr>
          <w:rFonts w:ascii="Arial" w:hAnsi="Arial" w:cs="Arial"/>
          <w:sz w:val="20"/>
          <w:szCs w:val="20"/>
        </w:rPr>
        <w:t xml:space="preserve"> of</w:t>
      </w:r>
      <w:r w:rsidR="00E16374" w:rsidRPr="00D35BFE">
        <w:rPr>
          <w:rFonts w:ascii="Arial" w:hAnsi="Arial" w:cs="Arial"/>
          <w:sz w:val="20"/>
          <w:szCs w:val="20"/>
        </w:rPr>
        <w:t xml:space="preserve"> more than 1dB </w:t>
      </w:r>
      <w:r w:rsidR="004412E2" w:rsidRPr="00D35BFE">
        <w:rPr>
          <w:rFonts w:ascii="Arial" w:hAnsi="Arial" w:cs="Arial"/>
          <w:sz w:val="20"/>
          <w:szCs w:val="20"/>
        </w:rPr>
        <w:t>in front-end loss</w:t>
      </w:r>
      <w:r w:rsidR="00E16374" w:rsidRPr="00D35BFE">
        <w:rPr>
          <w:rFonts w:ascii="Arial" w:hAnsi="Arial" w:cs="Arial"/>
          <w:sz w:val="20"/>
          <w:szCs w:val="20"/>
        </w:rPr>
        <w:t>.</w:t>
      </w:r>
    </w:p>
    <w:p w:rsidR="00E16374" w:rsidRPr="00D35BFE" w:rsidRDefault="00E16374" w:rsidP="00F6372E">
      <w:pPr>
        <w:rPr>
          <w:rFonts w:ascii="Arial" w:hAnsi="Arial" w:cs="Arial"/>
          <w:sz w:val="20"/>
          <w:szCs w:val="20"/>
        </w:rPr>
      </w:pPr>
    </w:p>
    <w:p w:rsidR="00E47F98" w:rsidRPr="00D35BFE" w:rsidRDefault="004C27C3" w:rsidP="00F6372E">
      <w:pPr>
        <w:rPr>
          <w:rFonts w:ascii="Arial" w:hAnsi="Arial" w:cs="Arial"/>
          <w:sz w:val="20"/>
          <w:szCs w:val="20"/>
        </w:rPr>
      </w:pPr>
      <w:r w:rsidRPr="00D35BFE">
        <w:rPr>
          <w:rFonts w:ascii="Arial" w:hAnsi="Arial" w:cs="Arial"/>
          <w:sz w:val="20"/>
          <w:szCs w:val="20"/>
        </w:rPr>
        <w:t xml:space="preserve">On size perspective, TDD also has an advantage over FDD. Considering NR supports very broadband signal compared to any other existing communication technologies, the rejection requirement of a duplexer in NR bands would be very challenging in terms </w:t>
      </w:r>
      <w:r w:rsidR="00E16374" w:rsidRPr="00D35BFE">
        <w:rPr>
          <w:rFonts w:ascii="Arial" w:hAnsi="Arial" w:cs="Arial"/>
          <w:sz w:val="20"/>
          <w:szCs w:val="20"/>
        </w:rPr>
        <w:t xml:space="preserve">of Q-factor. With high-Q requirement, </w:t>
      </w:r>
      <w:r w:rsidR="004412E2" w:rsidRPr="00D35BFE">
        <w:rPr>
          <w:rFonts w:ascii="Arial" w:hAnsi="Arial" w:cs="Arial"/>
          <w:sz w:val="20"/>
          <w:szCs w:val="20"/>
        </w:rPr>
        <w:t>a</w:t>
      </w:r>
      <w:r w:rsidR="00E16374" w:rsidRPr="00D35BFE">
        <w:rPr>
          <w:rFonts w:ascii="Arial" w:hAnsi="Arial" w:cs="Arial"/>
          <w:sz w:val="20"/>
          <w:szCs w:val="20"/>
        </w:rPr>
        <w:t xml:space="preserve"> duplexer should be implemented in discrete off-chip type. </w:t>
      </w:r>
      <w:r w:rsidR="004412E2" w:rsidRPr="00D35BFE">
        <w:rPr>
          <w:rFonts w:ascii="Arial" w:hAnsi="Arial" w:cs="Arial"/>
          <w:sz w:val="20"/>
          <w:szCs w:val="20"/>
        </w:rPr>
        <w:t xml:space="preserve">In TDD, a typical switch could be integrated in on-chip which saves </w:t>
      </w:r>
      <w:r w:rsidR="00E437B4" w:rsidRPr="00D35BFE">
        <w:rPr>
          <w:rFonts w:ascii="Arial" w:hAnsi="Arial" w:cs="Arial"/>
          <w:sz w:val="20"/>
          <w:szCs w:val="20"/>
        </w:rPr>
        <w:t xml:space="preserve">total </w:t>
      </w:r>
      <w:r w:rsidR="004412E2" w:rsidRPr="00D35BFE">
        <w:rPr>
          <w:rFonts w:ascii="Arial" w:hAnsi="Arial" w:cs="Arial"/>
          <w:sz w:val="20"/>
          <w:szCs w:val="20"/>
        </w:rPr>
        <w:t xml:space="preserve">foot-print </w:t>
      </w:r>
      <w:r w:rsidR="00E437B4" w:rsidRPr="00D35BFE">
        <w:rPr>
          <w:rFonts w:ascii="Arial" w:hAnsi="Arial" w:cs="Arial"/>
          <w:sz w:val="20"/>
          <w:szCs w:val="20"/>
        </w:rPr>
        <w:t>of RF front-end</w:t>
      </w:r>
      <w:r w:rsidR="004412E2" w:rsidRPr="00D35BFE">
        <w:rPr>
          <w:rFonts w:ascii="Arial" w:hAnsi="Arial" w:cs="Arial"/>
          <w:sz w:val="20"/>
          <w:szCs w:val="20"/>
        </w:rPr>
        <w:t>.</w:t>
      </w:r>
    </w:p>
    <w:p w:rsidR="004412E2" w:rsidRPr="00D35BFE" w:rsidRDefault="004412E2" w:rsidP="00F6372E">
      <w:pPr>
        <w:rPr>
          <w:rFonts w:ascii="Arial" w:hAnsi="Arial" w:cs="Arial"/>
          <w:sz w:val="20"/>
          <w:szCs w:val="20"/>
        </w:rPr>
      </w:pPr>
    </w:p>
    <w:p w:rsidR="00101722" w:rsidRPr="00D35BFE" w:rsidRDefault="00101722" w:rsidP="00101722">
      <w:pPr>
        <w:rPr>
          <w:rFonts w:ascii="Arial" w:hAnsi="Arial" w:cs="Arial"/>
          <w:b/>
          <w:i/>
          <w:sz w:val="20"/>
          <w:szCs w:val="20"/>
        </w:rPr>
      </w:pPr>
      <w:r w:rsidRPr="00D35BFE">
        <w:rPr>
          <w:rFonts w:ascii="Arial" w:hAnsi="Arial" w:cs="Arial"/>
          <w:b/>
          <w:i/>
          <w:sz w:val="20"/>
          <w:szCs w:val="20"/>
        </w:rPr>
        <w:t>Cell Coverage and Battery Life</w:t>
      </w:r>
    </w:p>
    <w:p w:rsidR="004412E2" w:rsidRDefault="00101722" w:rsidP="00F6372E">
      <w:pPr>
        <w:rPr>
          <w:rFonts w:ascii="Arial" w:hAnsi="Arial" w:cs="Arial"/>
          <w:sz w:val="20"/>
          <w:szCs w:val="20"/>
        </w:rPr>
      </w:pPr>
      <w:r w:rsidRPr="00D35BFE">
        <w:rPr>
          <w:rFonts w:ascii="Arial" w:hAnsi="Arial" w:cs="Arial"/>
          <w:sz w:val="20"/>
          <w:szCs w:val="20"/>
        </w:rPr>
        <w:t xml:space="preserve">Due to a switching nature of TDD, cell coverage of TDD would be smaller than FDD. In LTE system, a PA output power for TDD LTE needs to be 1dB bigger than FDD LTE PA to achieve the same cell coverage. In NR which operates mm-Wave, shrinking cell coverage is expected and </w:t>
      </w:r>
      <w:r w:rsidR="00376BB9" w:rsidRPr="00D35BFE">
        <w:rPr>
          <w:rFonts w:ascii="Arial" w:hAnsi="Arial" w:cs="Arial"/>
          <w:sz w:val="20"/>
          <w:szCs w:val="20"/>
        </w:rPr>
        <w:t xml:space="preserve">generating higher output power would be feasible with </w:t>
      </w:r>
      <w:r w:rsidRPr="00D35BFE">
        <w:rPr>
          <w:rFonts w:ascii="Arial" w:hAnsi="Arial" w:cs="Arial"/>
          <w:sz w:val="20"/>
          <w:szCs w:val="20"/>
        </w:rPr>
        <w:t>evolving PA technology</w:t>
      </w:r>
      <w:r w:rsidR="00376BB9" w:rsidRPr="00D35BFE">
        <w:rPr>
          <w:rFonts w:ascii="Arial" w:hAnsi="Arial" w:cs="Arial"/>
          <w:sz w:val="20"/>
          <w:szCs w:val="20"/>
        </w:rPr>
        <w:t>.</w:t>
      </w:r>
    </w:p>
    <w:p w:rsidR="003202B2" w:rsidRPr="00D35BFE" w:rsidRDefault="003202B2" w:rsidP="00F6372E">
      <w:pPr>
        <w:rPr>
          <w:rFonts w:ascii="Arial" w:hAnsi="Arial" w:cs="Arial"/>
          <w:sz w:val="20"/>
          <w:szCs w:val="20"/>
        </w:rPr>
      </w:pPr>
    </w:p>
    <w:p w:rsidR="00376BB9" w:rsidRPr="00D35BFE" w:rsidRDefault="00376BB9" w:rsidP="00F6372E">
      <w:pPr>
        <w:rPr>
          <w:rFonts w:ascii="Arial" w:hAnsi="Arial" w:cs="Arial"/>
          <w:sz w:val="20"/>
          <w:szCs w:val="20"/>
        </w:rPr>
      </w:pPr>
      <w:r w:rsidRPr="00D35BFE">
        <w:rPr>
          <w:rFonts w:ascii="Arial" w:hAnsi="Arial" w:cs="Arial"/>
          <w:sz w:val="20"/>
          <w:szCs w:val="20"/>
        </w:rPr>
        <w:lastRenderedPageBreak/>
        <w:t>In battery life perspective, a PA in FDD would consume larger amount of energy to overcome a duplexer loss</w:t>
      </w:r>
      <w:r w:rsidR="001A1883" w:rsidRPr="00D35BFE">
        <w:rPr>
          <w:rFonts w:ascii="Arial" w:hAnsi="Arial" w:cs="Arial"/>
          <w:sz w:val="20"/>
          <w:szCs w:val="20"/>
        </w:rPr>
        <w:t xml:space="preserve"> which makes the PA in FDD inefficiency compared to a PA in TDD.</w:t>
      </w:r>
    </w:p>
    <w:p w:rsidR="00CE01D3" w:rsidRPr="00D35BFE" w:rsidRDefault="00CE01D3" w:rsidP="00CE01D3">
      <w:pPr>
        <w:rPr>
          <w:rFonts w:ascii="Arial" w:hAnsi="Arial" w:cs="Arial"/>
          <w:sz w:val="20"/>
          <w:szCs w:val="20"/>
        </w:rPr>
      </w:pPr>
    </w:p>
    <w:p w:rsidR="009411FF" w:rsidRDefault="009411FF" w:rsidP="00CE01D3">
      <w:pPr>
        <w:rPr>
          <w:rFonts w:ascii="Arial" w:hAnsi="Arial" w:cs="Arial"/>
          <w:sz w:val="20"/>
          <w:szCs w:val="20"/>
        </w:rPr>
      </w:pPr>
      <w:r w:rsidRPr="00D35BFE">
        <w:rPr>
          <w:rFonts w:ascii="Arial" w:hAnsi="Arial" w:cs="Arial"/>
          <w:sz w:val="20"/>
          <w:szCs w:val="20"/>
        </w:rPr>
        <w:t>A summary of characteristics of TDD and FDD is shown in Table 1.</w:t>
      </w:r>
    </w:p>
    <w:p w:rsidR="002B4F10" w:rsidRPr="00D35BFE" w:rsidRDefault="002B4F10" w:rsidP="00CE01D3">
      <w:pPr>
        <w:rPr>
          <w:rFonts w:ascii="Arial" w:hAnsi="Arial" w:cs="Arial"/>
          <w:sz w:val="20"/>
          <w:szCs w:val="20"/>
        </w:rPr>
      </w:pPr>
    </w:p>
    <w:p w:rsidR="009411FF" w:rsidRPr="00D35BFE" w:rsidRDefault="009411FF" w:rsidP="00CE01D3">
      <w:pPr>
        <w:rPr>
          <w:rFonts w:ascii="Arial" w:hAnsi="Arial" w:cs="Arial"/>
          <w:sz w:val="20"/>
          <w:szCs w:val="20"/>
        </w:rPr>
      </w:pPr>
    </w:p>
    <w:tbl>
      <w:tblPr>
        <w:tblStyle w:val="TableGrid"/>
        <w:tblW w:w="0" w:type="auto"/>
        <w:tblLook w:val="04A0" w:firstRow="1" w:lastRow="0" w:firstColumn="1" w:lastColumn="0" w:noHBand="0" w:noVBand="1"/>
      </w:tblPr>
      <w:tblGrid>
        <w:gridCol w:w="3213"/>
        <w:gridCol w:w="3213"/>
        <w:gridCol w:w="3213"/>
      </w:tblGrid>
      <w:tr w:rsidR="00D8255D" w:rsidRPr="00804089" w:rsidTr="00D35BFE">
        <w:tc>
          <w:tcPr>
            <w:tcW w:w="3213" w:type="dxa"/>
          </w:tcPr>
          <w:p w:rsidR="00D8255D" w:rsidRPr="00D35BFE" w:rsidRDefault="00D8255D" w:rsidP="00D8255D">
            <w:pPr>
              <w:jc w:val="center"/>
              <w:rPr>
                <w:rFonts w:ascii="Arial" w:hAnsi="Arial" w:cs="Arial"/>
                <w:sz w:val="20"/>
                <w:szCs w:val="20"/>
              </w:rPr>
            </w:pPr>
          </w:p>
        </w:tc>
        <w:tc>
          <w:tcPr>
            <w:tcW w:w="3213" w:type="dxa"/>
            <w:shd w:val="clear" w:color="auto" w:fill="auto"/>
          </w:tcPr>
          <w:p w:rsidR="00D8255D" w:rsidRPr="00D35BFE" w:rsidRDefault="00D8255D" w:rsidP="00D8255D">
            <w:pPr>
              <w:jc w:val="center"/>
              <w:rPr>
                <w:rFonts w:ascii="Arial" w:hAnsi="Arial" w:cs="Arial"/>
                <w:sz w:val="20"/>
                <w:szCs w:val="20"/>
              </w:rPr>
            </w:pPr>
            <w:r w:rsidRPr="00D35BFE">
              <w:rPr>
                <w:rFonts w:ascii="Arial" w:hAnsi="Arial" w:cs="Arial"/>
                <w:sz w:val="20"/>
                <w:szCs w:val="20"/>
              </w:rPr>
              <w:t>TDD</w:t>
            </w:r>
          </w:p>
        </w:tc>
        <w:tc>
          <w:tcPr>
            <w:tcW w:w="3213" w:type="dxa"/>
            <w:shd w:val="clear" w:color="auto" w:fill="auto"/>
          </w:tcPr>
          <w:p w:rsidR="00D8255D" w:rsidRPr="00D35BFE" w:rsidRDefault="00D8255D" w:rsidP="00D8255D">
            <w:pPr>
              <w:jc w:val="center"/>
              <w:rPr>
                <w:rFonts w:ascii="Arial" w:hAnsi="Arial" w:cs="Arial"/>
                <w:sz w:val="20"/>
                <w:szCs w:val="20"/>
              </w:rPr>
            </w:pPr>
            <w:r w:rsidRPr="00D35BFE">
              <w:rPr>
                <w:rFonts w:ascii="Arial" w:hAnsi="Arial" w:cs="Arial"/>
                <w:sz w:val="20"/>
                <w:szCs w:val="20"/>
              </w:rPr>
              <w:t>FDD</w:t>
            </w:r>
          </w:p>
        </w:tc>
      </w:tr>
      <w:tr w:rsidR="009411FF" w:rsidRPr="00804089" w:rsidTr="00D35BFE">
        <w:tc>
          <w:tcPr>
            <w:tcW w:w="3213" w:type="dxa"/>
            <w:shd w:val="clear" w:color="auto" w:fill="auto"/>
          </w:tcPr>
          <w:p w:rsidR="009411FF" w:rsidRPr="00D35BFE" w:rsidRDefault="009411FF" w:rsidP="00D8255D">
            <w:pPr>
              <w:jc w:val="center"/>
              <w:rPr>
                <w:rFonts w:ascii="Arial" w:hAnsi="Arial" w:cs="Arial"/>
                <w:sz w:val="20"/>
                <w:szCs w:val="20"/>
              </w:rPr>
            </w:pPr>
            <w:r w:rsidRPr="00D35BFE">
              <w:rPr>
                <w:rFonts w:ascii="Arial" w:hAnsi="Arial" w:cs="Arial"/>
                <w:sz w:val="20"/>
                <w:szCs w:val="20"/>
              </w:rPr>
              <w:t>UL/DL Symmetry</w:t>
            </w:r>
          </w:p>
        </w:tc>
        <w:tc>
          <w:tcPr>
            <w:tcW w:w="3213" w:type="dxa"/>
          </w:tcPr>
          <w:p w:rsidR="009411FF" w:rsidRPr="00D35BFE" w:rsidRDefault="009411FF" w:rsidP="00D8255D">
            <w:pPr>
              <w:jc w:val="center"/>
              <w:rPr>
                <w:rFonts w:ascii="Arial" w:hAnsi="Arial" w:cs="Arial"/>
                <w:sz w:val="20"/>
                <w:szCs w:val="20"/>
              </w:rPr>
            </w:pPr>
            <w:r w:rsidRPr="00D35BFE">
              <w:rPr>
                <w:rFonts w:ascii="Arial" w:hAnsi="Arial" w:cs="Arial"/>
                <w:sz w:val="20"/>
                <w:szCs w:val="20"/>
              </w:rPr>
              <w:t>Support Asymmetrical UL/DL</w:t>
            </w:r>
          </w:p>
        </w:tc>
        <w:tc>
          <w:tcPr>
            <w:tcW w:w="3213" w:type="dxa"/>
          </w:tcPr>
          <w:p w:rsidR="009411FF" w:rsidRPr="00D35BFE" w:rsidRDefault="009411FF" w:rsidP="00D8255D">
            <w:pPr>
              <w:jc w:val="center"/>
              <w:rPr>
                <w:rFonts w:ascii="Arial" w:hAnsi="Arial" w:cs="Arial"/>
                <w:sz w:val="20"/>
                <w:szCs w:val="20"/>
              </w:rPr>
            </w:pPr>
            <w:r w:rsidRPr="00D35BFE">
              <w:rPr>
                <w:rFonts w:ascii="Arial" w:hAnsi="Arial" w:cs="Arial"/>
                <w:sz w:val="20"/>
                <w:szCs w:val="20"/>
              </w:rPr>
              <w:t>Usually 50/50</w:t>
            </w:r>
          </w:p>
        </w:tc>
      </w:tr>
      <w:tr w:rsidR="009411FF" w:rsidRPr="00804089" w:rsidTr="00D35BFE">
        <w:tc>
          <w:tcPr>
            <w:tcW w:w="3213" w:type="dxa"/>
            <w:shd w:val="clear" w:color="auto" w:fill="auto"/>
          </w:tcPr>
          <w:p w:rsidR="009411FF" w:rsidRPr="00D35BFE" w:rsidRDefault="009411FF" w:rsidP="00D8255D">
            <w:pPr>
              <w:jc w:val="center"/>
              <w:rPr>
                <w:rFonts w:ascii="Arial" w:hAnsi="Arial" w:cs="Arial"/>
                <w:sz w:val="20"/>
                <w:szCs w:val="20"/>
              </w:rPr>
            </w:pPr>
            <w:r w:rsidRPr="00D35BFE">
              <w:rPr>
                <w:rFonts w:ascii="Arial" w:hAnsi="Arial" w:cs="Arial"/>
                <w:sz w:val="20"/>
                <w:szCs w:val="20"/>
              </w:rPr>
              <w:t>Dynamic Bandwidth Allocation</w:t>
            </w:r>
          </w:p>
        </w:tc>
        <w:tc>
          <w:tcPr>
            <w:tcW w:w="3213" w:type="dxa"/>
          </w:tcPr>
          <w:p w:rsidR="009411FF" w:rsidRPr="00D35BFE" w:rsidRDefault="009411FF" w:rsidP="00D8255D">
            <w:pPr>
              <w:jc w:val="center"/>
              <w:rPr>
                <w:rFonts w:ascii="Arial" w:hAnsi="Arial" w:cs="Arial"/>
                <w:sz w:val="20"/>
                <w:szCs w:val="20"/>
              </w:rPr>
            </w:pPr>
            <w:r w:rsidRPr="00D35BFE">
              <w:rPr>
                <w:rFonts w:ascii="Arial" w:hAnsi="Arial" w:cs="Arial"/>
                <w:sz w:val="20"/>
                <w:szCs w:val="20"/>
              </w:rPr>
              <w:t>Support</w:t>
            </w:r>
          </w:p>
        </w:tc>
        <w:tc>
          <w:tcPr>
            <w:tcW w:w="3213" w:type="dxa"/>
          </w:tcPr>
          <w:p w:rsidR="009411FF" w:rsidRPr="00D35BFE" w:rsidRDefault="009411FF" w:rsidP="00D8255D">
            <w:pPr>
              <w:jc w:val="center"/>
              <w:rPr>
                <w:rFonts w:ascii="Arial" w:hAnsi="Arial" w:cs="Arial"/>
                <w:sz w:val="20"/>
                <w:szCs w:val="20"/>
              </w:rPr>
            </w:pPr>
            <w:r w:rsidRPr="00D35BFE">
              <w:rPr>
                <w:rFonts w:ascii="Arial" w:hAnsi="Arial" w:cs="Arial"/>
                <w:sz w:val="20"/>
                <w:szCs w:val="20"/>
              </w:rPr>
              <w:t>None</w:t>
            </w:r>
          </w:p>
        </w:tc>
      </w:tr>
      <w:tr w:rsidR="00D8255D" w:rsidRPr="00804089" w:rsidTr="00D35BFE">
        <w:tc>
          <w:tcPr>
            <w:tcW w:w="3213" w:type="dxa"/>
            <w:shd w:val="clear" w:color="auto" w:fill="auto"/>
          </w:tcPr>
          <w:p w:rsidR="00D8255D" w:rsidRPr="00D35BFE" w:rsidRDefault="009411FF" w:rsidP="00D8255D">
            <w:pPr>
              <w:jc w:val="center"/>
              <w:rPr>
                <w:rFonts w:ascii="Arial" w:hAnsi="Arial" w:cs="Arial"/>
                <w:sz w:val="20"/>
                <w:szCs w:val="20"/>
              </w:rPr>
            </w:pPr>
            <w:r w:rsidRPr="00D35BFE">
              <w:rPr>
                <w:rFonts w:ascii="Arial" w:hAnsi="Arial" w:cs="Arial"/>
                <w:sz w:val="20"/>
                <w:szCs w:val="20"/>
              </w:rPr>
              <w:t>Front-End Loss</w:t>
            </w:r>
          </w:p>
        </w:tc>
        <w:tc>
          <w:tcPr>
            <w:tcW w:w="3213" w:type="dxa"/>
          </w:tcPr>
          <w:p w:rsidR="00D8255D" w:rsidRPr="00D35BFE" w:rsidRDefault="009411FF" w:rsidP="009411FF">
            <w:pPr>
              <w:jc w:val="center"/>
              <w:rPr>
                <w:rFonts w:ascii="Arial" w:hAnsi="Arial" w:cs="Arial"/>
                <w:sz w:val="20"/>
                <w:szCs w:val="20"/>
              </w:rPr>
            </w:pPr>
            <w:r w:rsidRPr="00D35BFE">
              <w:rPr>
                <w:rFonts w:ascii="Arial" w:hAnsi="Arial" w:cs="Arial"/>
                <w:sz w:val="20"/>
                <w:szCs w:val="20"/>
              </w:rPr>
              <w:t>Lower</w:t>
            </w:r>
          </w:p>
        </w:tc>
        <w:tc>
          <w:tcPr>
            <w:tcW w:w="3213" w:type="dxa"/>
          </w:tcPr>
          <w:p w:rsidR="00D8255D" w:rsidRPr="00D35BFE" w:rsidRDefault="009411FF" w:rsidP="009411FF">
            <w:pPr>
              <w:jc w:val="center"/>
              <w:rPr>
                <w:rFonts w:ascii="Arial" w:hAnsi="Arial" w:cs="Arial"/>
                <w:sz w:val="20"/>
                <w:szCs w:val="20"/>
              </w:rPr>
            </w:pPr>
            <w:r w:rsidRPr="00D35BFE">
              <w:rPr>
                <w:rFonts w:ascii="Arial" w:hAnsi="Arial" w:cs="Arial"/>
                <w:sz w:val="20"/>
                <w:szCs w:val="20"/>
              </w:rPr>
              <w:t>Higher</w:t>
            </w:r>
          </w:p>
        </w:tc>
      </w:tr>
      <w:tr w:rsidR="00D8255D" w:rsidRPr="00804089" w:rsidTr="00D35BFE">
        <w:tc>
          <w:tcPr>
            <w:tcW w:w="3213" w:type="dxa"/>
            <w:shd w:val="clear" w:color="auto" w:fill="auto"/>
          </w:tcPr>
          <w:p w:rsidR="00D8255D" w:rsidRPr="00D35BFE" w:rsidRDefault="009411FF" w:rsidP="00D8255D">
            <w:pPr>
              <w:jc w:val="center"/>
              <w:rPr>
                <w:rFonts w:ascii="Arial" w:hAnsi="Arial" w:cs="Arial"/>
                <w:sz w:val="20"/>
                <w:szCs w:val="20"/>
              </w:rPr>
            </w:pPr>
            <w:r w:rsidRPr="00D35BFE">
              <w:rPr>
                <w:rFonts w:ascii="Arial" w:hAnsi="Arial" w:cs="Arial"/>
                <w:sz w:val="20"/>
                <w:szCs w:val="20"/>
              </w:rPr>
              <w:t>Front-End Size</w:t>
            </w:r>
          </w:p>
        </w:tc>
        <w:tc>
          <w:tcPr>
            <w:tcW w:w="3213" w:type="dxa"/>
          </w:tcPr>
          <w:p w:rsidR="00D8255D" w:rsidRPr="00D35BFE" w:rsidRDefault="009411FF" w:rsidP="009411FF">
            <w:pPr>
              <w:jc w:val="center"/>
              <w:rPr>
                <w:rFonts w:ascii="Arial" w:hAnsi="Arial" w:cs="Arial"/>
                <w:sz w:val="20"/>
                <w:szCs w:val="20"/>
              </w:rPr>
            </w:pPr>
            <w:r w:rsidRPr="00D35BFE">
              <w:rPr>
                <w:rFonts w:ascii="Arial" w:hAnsi="Arial" w:cs="Arial"/>
                <w:sz w:val="20"/>
                <w:szCs w:val="20"/>
              </w:rPr>
              <w:t>Smaller</w:t>
            </w:r>
          </w:p>
        </w:tc>
        <w:tc>
          <w:tcPr>
            <w:tcW w:w="3213" w:type="dxa"/>
          </w:tcPr>
          <w:p w:rsidR="00D8255D" w:rsidRPr="00D35BFE" w:rsidRDefault="009411FF" w:rsidP="009411FF">
            <w:pPr>
              <w:jc w:val="center"/>
              <w:rPr>
                <w:rFonts w:ascii="Arial" w:hAnsi="Arial" w:cs="Arial"/>
                <w:sz w:val="20"/>
                <w:szCs w:val="20"/>
              </w:rPr>
            </w:pPr>
            <w:r w:rsidRPr="00D35BFE">
              <w:rPr>
                <w:rFonts w:ascii="Arial" w:hAnsi="Arial" w:cs="Arial"/>
                <w:sz w:val="20"/>
                <w:szCs w:val="20"/>
              </w:rPr>
              <w:t>Larger</w:t>
            </w:r>
          </w:p>
        </w:tc>
      </w:tr>
      <w:tr w:rsidR="00B6522F" w:rsidRPr="00804089" w:rsidTr="008E1065">
        <w:tc>
          <w:tcPr>
            <w:tcW w:w="3213" w:type="dxa"/>
            <w:shd w:val="clear" w:color="auto" w:fill="auto"/>
          </w:tcPr>
          <w:p w:rsidR="00B6522F" w:rsidRPr="008E1065" w:rsidRDefault="00B6522F" w:rsidP="00D8255D">
            <w:pPr>
              <w:jc w:val="center"/>
              <w:rPr>
                <w:rFonts w:ascii="Arial" w:hAnsi="Arial" w:cs="Arial"/>
                <w:sz w:val="20"/>
                <w:szCs w:val="20"/>
              </w:rPr>
            </w:pPr>
            <w:r>
              <w:rPr>
                <w:rFonts w:ascii="Arial" w:hAnsi="Arial" w:cs="Arial"/>
                <w:sz w:val="20"/>
                <w:szCs w:val="20"/>
              </w:rPr>
              <w:t>Front-End Cost</w:t>
            </w:r>
          </w:p>
        </w:tc>
        <w:tc>
          <w:tcPr>
            <w:tcW w:w="3213" w:type="dxa"/>
          </w:tcPr>
          <w:p w:rsidR="00B6522F" w:rsidRPr="00804089" w:rsidRDefault="00D85090" w:rsidP="009411FF">
            <w:pPr>
              <w:jc w:val="center"/>
              <w:rPr>
                <w:rFonts w:ascii="Arial" w:hAnsi="Arial" w:cs="Arial"/>
                <w:sz w:val="20"/>
                <w:szCs w:val="20"/>
              </w:rPr>
            </w:pPr>
            <w:r>
              <w:rPr>
                <w:rFonts w:ascii="Arial" w:hAnsi="Arial" w:cs="Arial"/>
                <w:sz w:val="20"/>
                <w:szCs w:val="20"/>
              </w:rPr>
              <w:t xml:space="preserve">Relatively </w:t>
            </w:r>
            <w:r w:rsidR="00B6522F">
              <w:rPr>
                <w:rFonts w:ascii="Arial" w:hAnsi="Arial" w:cs="Arial"/>
                <w:sz w:val="20"/>
                <w:szCs w:val="20"/>
              </w:rPr>
              <w:t>Cheap</w:t>
            </w:r>
          </w:p>
        </w:tc>
        <w:tc>
          <w:tcPr>
            <w:tcW w:w="3213" w:type="dxa"/>
          </w:tcPr>
          <w:p w:rsidR="00B6522F" w:rsidRPr="00804089" w:rsidRDefault="00D85090" w:rsidP="009411FF">
            <w:pPr>
              <w:jc w:val="center"/>
              <w:rPr>
                <w:rFonts w:ascii="Arial" w:hAnsi="Arial" w:cs="Arial"/>
                <w:sz w:val="20"/>
                <w:szCs w:val="20"/>
              </w:rPr>
            </w:pPr>
            <w:r>
              <w:rPr>
                <w:rFonts w:ascii="Arial" w:hAnsi="Arial" w:cs="Arial"/>
                <w:sz w:val="20"/>
                <w:szCs w:val="20"/>
              </w:rPr>
              <w:t xml:space="preserve">Relatively </w:t>
            </w:r>
            <w:r w:rsidR="00B6522F">
              <w:rPr>
                <w:rFonts w:ascii="Arial" w:hAnsi="Arial" w:cs="Arial"/>
                <w:sz w:val="20"/>
                <w:szCs w:val="20"/>
              </w:rPr>
              <w:t>Expensive</w:t>
            </w:r>
          </w:p>
        </w:tc>
      </w:tr>
      <w:tr w:rsidR="009411FF" w:rsidRPr="00804089" w:rsidTr="00D35BFE">
        <w:tc>
          <w:tcPr>
            <w:tcW w:w="3213" w:type="dxa"/>
            <w:shd w:val="clear" w:color="auto" w:fill="auto"/>
          </w:tcPr>
          <w:p w:rsidR="009411FF" w:rsidRPr="00D35BFE" w:rsidRDefault="009411FF" w:rsidP="00D8255D">
            <w:pPr>
              <w:jc w:val="center"/>
              <w:rPr>
                <w:rFonts w:ascii="Arial" w:hAnsi="Arial" w:cs="Arial"/>
                <w:sz w:val="20"/>
                <w:szCs w:val="20"/>
              </w:rPr>
            </w:pPr>
            <w:r w:rsidRPr="00D35BFE">
              <w:rPr>
                <w:rFonts w:ascii="Arial" w:hAnsi="Arial" w:cs="Arial"/>
                <w:sz w:val="20"/>
                <w:szCs w:val="20"/>
              </w:rPr>
              <w:t>Cell Coverage</w:t>
            </w:r>
          </w:p>
        </w:tc>
        <w:tc>
          <w:tcPr>
            <w:tcW w:w="3213" w:type="dxa"/>
          </w:tcPr>
          <w:p w:rsidR="009411FF" w:rsidRPr="00D35BFE" w:rsidRDefault="009411FF" w:rsidP="009411FF">
            <w:pPr>
              <w:jc w:val="center"/>
              <w:rPr>
                <w:rFonts w:ascii="Arial" w:hAnsi="Arial" w:cs="Arial"/>
                <w:sz w:val="20"/>
                <w:szCs w:val="20"/>
              </w:rPr>
            </w:pPr>
            <w:r w:rsidRPr="00D35BFE">
              <w:rPr>
                <w:rFonts w:ascii="Arial" w:hAnsi="Arial" w:cs="Arial"/>
                <w:sz w:val="20"/>
                <w:szCs w:val="20"/>
              </w:rPr>
              <w:t>Smaller</w:t>
            </w:r>
          </w:p>
        </w:tc>
        <w:tc>
          <w:tcPr>
            <w:tcW w:w="3213" w:type="dxa"/>
          </w:tcPr>
          <w:p w:rsidR="009411FF" w:rsidRPr="00D35BFE" w:rsidRDefault="009411FF" w:rsidP="009411FF">
            <w:pPr>
              <w:jc w:val="center"/>
              <w:rPr>
                <w:rFonts w:ascii="Arial" w:hAnsi="Arial" w:cs="Arial"/>
                <w:sz w:val="20"/>
                <w:szCs w:val="20"/>
              </w:rPr>
            </w:pPr>
            <w:r w:rsidRPr="00D35BFE">
              <w:rPr>
                <w:rFonts w:ascii="Arial" w:hAnsi="Arial" w:cs="Arial"/>
                <w:sz w:val="20"/>
                <w:szCs w:val="20"/>
              </w:rPr>
              <w:t>Larger</w:t>
            </w:r>
          </w:p>
        </w:tc>
      </w:tr>
      <w:tr w:rsidR="009411FF" w:rsidRPr="00804089" w:rsidTr="00D35BFE">
        <w:tc>
          <w:tcPr>
            <w:tcW w:w="3213" w:type="dxa"/>
            <w:shd w:val="clear" w:color="auto" w:fill="auto"/>
          </w:tcPr>
          <w:p w:rsidR="009411FF" w:rsidRPr="00D35BFE" w:rsidRDefault="009411FF" w:rsidP="00D8255D">
            <w:pPr>
              <w:jc w:val="center"/>
              <w:rPr>
                <w:rFonts w:ascii="Arial" w:hAnsi="Arial" w:cs="Arial"/>
                <w:sz w:val="20"/>
                <w:szCs w:val="20"/>
              </w:rPr>
            </w:pPr>
            <w:r w:rsidRPr="00D35BFE">
              <w:rPr>
                <w:rFonts w:ascii="Arial" w:hAnsi="Arial" w:cs="Arial"/>
                <w:sz w:val="20"/>
                <w:szCs w:val="20"/>
              </w:rPr>
              <w:t>Battery Life</w:t>
            </w:r>
          </w:p>
        </w:tc>
        <w:tc>
          <w:tcPr>
            <w:tcW w:w="3213" w:type="dxa"/>
          </w:tcPr>
          <w:p w:rsidR="009411FF" w:rsidRPr="00D35BFE" w:rsidRDefault="009411FF" w:rsidP="009411FF">
            <w:pPr>
              <w:jc w:val="center"/>
              <w:rPr>
                <w:rFonts w:ascii="Arial" w:hAnsi="Arial" w:cs="Arial"/>
                <w:sz w:val="20"/>
                <w:szCs w:val="20"/>
              </w:rPr>
            </w:pPr>
            <w:r w:rsidRPr="00D35BFE">
              <w:rPr>
                <w:rFonts w:ascii="Arial" w:hAnsi="Arial" w:cs="Arial"/>
                <w:sz w:val="20"/>
                <w:szCs w:val="20"/>
              </w:rPr>
              <w:t>Could be longer than FDD</w:t>
            </w:r>
          </w:p>
        </w:tc>
        <w:tc>
          <w:tcPr>
            <w:tcW w:w="3213" w:type="dxa"/>
          </w:tcPr>
          <w:p w:rsidR="009411FF" w:rsidRPr="00D35BFE" w:rsidRDefault="009411FF" w:rsidP="009411FF">
            <w:pPr>
              <w:jc w:val="center"/>
              <w:rPr>
                <w:rFonts w:ascii="Arial" w:hAnsi="Arial" w:cs="Arial"/>
                <w:sz w:val="20"/>
                <w:szCs w:val="20"/>
              </w:rPr>
            </w:pPr>
            <w:r w:rsidRPr="00D35BFE">
              <w:rPr>
                <w:rFonts w:ascii="Arial" w:hAnsi="Arial" w:cs="Arial"/>
                <w:sz w:val="20"/>
                <w:szCs w:val="20"/>
              </w:rPr>
              <w:t>Could be shorter than TDD</w:t>
            </w:r>
          </w:p>
        </w:tc>
      </w:tr>
      <w:tr w:rsidR="00D8255D" w:rsidRPr="00804089" w:rsidTr="00D35BFE">
        <w:tc>
          <w:tcPr>
            <w:tcW w:w="3213" w:type="dxa"/>
            <w:shd w:val="clear" w:color="auto" w:fill="auto"/>
            <w:vAlign w:val="center"/>
          </w:tcPr>
          <w:p w:rsidR="00D8255D" w:rsidRPr="00D35BFE" w:rsidRDefault="00D8255D" w:rsidP="00D8255D">
            <w:pPr>
              <w:jc w:val="center"/>
              <w:rPr>
                <w:rFonts w:ascii="Arial" w:hAnsi="Arial" w:cs="Arial"/>
                <w:sz w:val="20"/>
                <w:szCs w:val="20"/>
              </w:rPr>
            </w:pPr>
            <w:r w:rsidRPr="00D35BFE">
              <w:rPr>
                <w:rFonts w:ascii="Arial" w:hAnsi="Arial" w:cs="Arial"/>
                <w:sz w:val="20"/>
                <w:szCs w:val="20"/>
              </w:rPr>
              <w:t>Latency</w:t>
            </w:r>
          </w:p>
        </w:tc>
        <w:tc>
          <w:tcPr>
            <w:tcW w:w="3213" w:type="dxa"/>
            <w:vAlign w:val="center"/>
          </w:tcPr>
          <w:p w:rsidR="00D8255D" w:rsidRPr="00D35BFE" w:rsidRDefault="00D8255D" w:rsidP="009411FF">
            <w:pPr>
              <w:jc w:val="center"/>
              <w:rPr>
                <w:rFonts w:ascii="Arial" w:hAnsi="Arial" w:cs="Arial"/>
                <w:sz w:val="20"/>
                <w:szCs w:val="20"/>
              </w:rPr>
            </w:pPr>
            <w:r w:rsidRPr="00D35BFE">
              <w:rPr>
                <w:rFonts w:ascii="Arial" w:hAnsi="Arial" w:cs="Arial"/>
                <w:sz w:val="20"/>
                <w:szCs w:val="20"/>
              </w:rPr>
              <w:t>Depends on range</w:t>
            </w:r>
            <w:r w:rsidR="009411FF" w:rsidRPr="00D35BFE">
              <w:rPr>
                <w:rFonts w:ascii="Arial" w:hAnsi="Arial" w:cs="Arial"/>
                <w:sz w:val="20"/>
                <w:szCs w:val="20"/>
              </w:rPr>
              <w:t xml:space="preserve">; </w:t>
            </w:r>
            <w:proofErr w:type="spellStart"/>
            <w:r w:rsidRPr="00D35BFE">
              <w:rPr>
                <w:rFonts w:ascii="Arial" w:hAnsi="Arial" w:cs="Arial"/>
                <w:sz w:val="20"/>
                <w:szCs w:val="20"/>
              </w:rPr>
              <w:t>Tx</w:t>
            </w:r>
            <w:proofErr w:type="spellEnd"/>
            <w:r w:rsidRPr="00D35BFE">
              <w:rPr>
                <w:rFonts w:ascii="Arial" w:hAnsi="Arial" w:cs="Arial"/>
                <w:sz w:val="20"/>
                <w:szCs w:val="20"/>
              </w:rPr>
              <w:t>/Rx switching time</w:t>
            </w:r>
          </w:p>
        </w:tc>
        <w:tc>
          <w:tcPr>
            <w:tcW w:w="3213" w:type="dxa"/>
            <w:vAlign w:val="center"/>
          </w:tcPr>
          <w:p w:rsidR="00D8255D" w:rsidRPr="00D35BFE" w:rsidRDefault="00D8255D" w:rsidP="009411FF">
            <w:pPr>
              <w:jc w:val="center"/>
              <w:rPr>
                <w:rFonts w:ascii="Arial" w:hAnsi="Arial" w:cs="Arial"/>
                <w:sz w:val="20"/>
                <w:szCs w:val="20"/>
              </w:rPr>
            </w:pPr>
            <w:r w:rsidRPr="00D35BFE">
              <w:rPr>
                <w:rFonts w:ascii="Arial" w:hAnsi="Arial" w:cs="Arial"/>
                <w:sz w:val="20"/>
                <w:szCs w:val="20"/>
              </w:rPr>
              <w:t>Little or non</w:t>
            </w:r>
            <w:r w:rsidR="001A1883" w:rsidRPr="00D35BFE">
              <w:rPr>
                <w:rFonts w:ascii="Arial" w:hAnsi="Arial" w:cs="Arial"/>
                <w:sz w:val="20"/>
                <w:szCs w:val="20"/>
              </w:rPr>
              <w:t>e</w:t>
            </w:r>
          </w:p>
        </w:tc>
      </w:tr>
    </w:tbl>
    <w:p w:rsidR="00D8255D" w:rsidRPr="00D35BFE" w:rsidRDefault="009411FF" w:rsidP="009411FF">
      <w:pPr>
        <w:jc w:val="center"/>
        <w:rPr>
          <w:rFonts w:ascii="Arial" w:hAnsi="Arial" w:cs="Arial"/>
          <w:sz w:val="20"/>
          <w:szCs w:val="20"/>
        </w:rPr>
      </w:pPr>
      <w:r w:rsidRPr="00D35BFE">
        <w:rPr>
          <w:rFonts w:ascii="Arial" w:hAnsi="Arial" w:cs="Arial"/>
          <w:sz w:val="20"/>
          <w:szCs w:val="20"/>
        </w:rPr>
        <w:t>Table 1. A summary of characteristics of TDD and FDD.</w:t>
      </w:r>
    </w:p>
    <w:p w:rsidR="009411FF" w:rsidRDefault="009411FF" w:rsidP="009411FF">
      <w:pPr>
        <w:rPr>
          <w:rFonts w:ascii="Arial" w:hAnsi="Arial" w:cs="Arial"/>
          <w:sz w:val="20"/>
          <w:szCs w:val="20"/>
        </w:rPr>
      </w:pPr>
    </w:p>
    <w:p w:rsidR="002B4F10" w:rsidRPr="00D35BFE" w:rsidRDefault="002B4F10" w:rsidP="009411FF">
      <w:pPr>
        <w:rPr>
          <w:rFonts w:ascii="Arial" w:hAnsi="Arial" w:cs="Arial"/>
          <w:sz w:val="20"/>
          <w:szCs w:val="20"/>
        </w:rPr>
      </w:pPr>
    </w:p>
    <w:p w:rsidR="009411FF" w:rsidRPr="00D35BFE" w:rsidRDefault="00E53CAC" w:rsidP="009411FF">
      <w:pPr>
        <w:rPr>
          <w:rFonts w:ascii="Arial" w:hAnsi="Arial" w:cs="Arial"/>
          <w:sz w:val="20"/>
          <w:szCs w:val="20"/>
        </w:rPr>
      </w:pPr>
      <w:r w:rsidRPr="00D35BFE">
        <w:rPr>
          <w:rFonts w:ascii="Arial" w:hAnsi="Arial" w:cs="Arial"/>
          <w:sz w:val="20"/>
          <w:szCs w:val="20"/>
        </w:rPr>
        <w:t xml:space="preserve">As described above, FDD and TDD have unique characteristics one over the other. To enable key NR features, TDD is more suitable method </w:t>
      </w:r>
      <w:r w:rsidR="00EE333A" w:rsidRPr="00D35BFE">
        <w:rPr>
          <w:rFonts w:ascii="Arial" w:hAnsi="Arial" w:cs="Arial"/>
          <w:sz w:val="20"/>
          <w:szCs w:val="20"/>
        </w:rPr>
        <w:t xml:space="preserve">at least </w:t>
      </w:r>
      <w:r w:rsidRPr="00D35BFE">
        <w:rPr>
          <w:rFonts w:ascii="Arial" w:hAnsi="Arial" w:cs="Arial"/>
          <w:sz w:val="20"/>
          <w:szCs w:val="20"/>
        </w:rPr>
        <w:t xml:space="preserve">for new NR spectrums. </w:t>
      </w:r>
    </w:p>
    <w:p w:rsidR="00E53CAC" w:rsidRPr="00D35BFE" w:rsidRDefault="00E53CAC" w:rsidP="009411FF">
      <w:pPr>
        <w:rPr>
          <w:rFonts w:ascii="Arial" w:hAnsi="Arial" w:cs="Arial"/>
          <w:sz w:val="20"/>
          <w:szCs w:val="20"/>
        </w:rPr>
      </w:pPr>
    </w:p>
    <w:p w:rsidR="00FA1C35" w:rsidRPr="00D35BFE" w:rsidRDefault="002415E5" w:rsidP="00FA1C35">
      <w:pPr>
        <w:rPr>
          <w:rFonts w:ascii="Arial" w:hAnsi="Arial" w:cs="Arial"/>
          <w:b/>
          <w:i/>
          <w:sz w:val="20"/>
          <w:szCs w:val="20"/>
        </w:rPr>
      </w:pPr>
      <w:r w:rsidRPr="00D35BFE">
        <w:rPr>
          <w:rFonts w:ascii="Arial" w:hAnsi="Arial" w:cs="Arial"/>
          <w:b/>
          <w:i/>
          <w:sz w:val="20"/>
          <w:szCs w:val="20"/>
        </w:rPr>
        <w:t>Proposal 1: TDD should be adapted exclusively for new spectrums to enable key NR features.</w:t>
      </w:r>
    </w:p>
    <w:p w:rsidR="00EE333A" w:rsidRPr="00D35BFE" w:rsidRDefault="00EE333A" w:rsidP="00FA1C35">
      <w:pPr>
        <w:rPr>
          <w:rFonts w:ascii="Arial" w:hAnsi="Arial" w:cs="Arial"/>
          <w:sz w:val="20"/>
          <w:szCs w:val="20"/>
        </w:rPr>
      </w:pPr>
    </w:p>
    <w:p w:rsidR="00EE333A" w:rsidRDefault="00EE333A" w:rsidP="00FA1C35"/>
    <w:p w:rsidR="002415E5" w:rsidRDefault="002415E5" w:rsidP="00D35BFE">
      <w:pPr>
        <w:pStyle w:val="Heading1"/>
        <w:rPr>
          <w:sz w:val="28"/>
          <w:szCs w:val="28"/>
        </w:rPr>
      </w:pPr>
      <w:r w:rsidRPr="002415E5">
        <w:rPr>
          <w:sz w:val="28"/>
          <w:szCs w:val="28"/>
        </w:rPr>
        <w:t xml:space="preserve">2.2 New bands for NR </w:t>
      </w:r>
    </w:p>
    <w:p w:rsidR="004C579F" w:rsidRDefault="004C579F" w:rsidP="007D74F6">
      <w:pPr>
        <w:rPr>
          <w:rFonts w:ascii="Arial" w:hAnsi="Arial" w:cs="Arial"/>
          <w:sz w:val="20"/>
          <w:szCs w:val="20"/>
        </w:rPr>
      </w:pPr>
      <w:r w:rsidRPr="00D35BFE">
        <w:rPr>
          <w:rFonts w:ascii="Arial" w:hAnsi="Arial" w:cs="Arial"/>
          <w:sz w:val="20"/>
          <w:szCs w:val="20"/>
        </w:rPr>
        <w:t>In current LTE there are 51 bands and more than 800 CA/DC band combinations. The following figure shows the current LTE bands, CA, and the issues of LTE band structure [1].</w:t>
      </w:r>
      <w:r w:rsidR="00645CB5" w:rsidRPr="00D35BFE">
        <w:rPr>
          <w:rFonts w:ascii="Arial" w:hAnsi="Arial" w:cs="Arial"/>
          <w:sz w:val="20"/>
          <w:szCs w:val="20"/>
        </w:rPr>
        <w:t xml:space="preserve"> Since there are so many different bands, UE needs to support many bands for global roaming. It is extremely complicated for UE implementation in order to support so many bands</w:t>
      </w:r>
      <w:r w:rsidR="00804089" w:rsidRPr="00D35BFE">
        <w:rPr>
          <w:rFonts w:ascii="Arial" w:hAnsi="Arial" w:cs="Arial"/>
          <w:sz w:val="20"/>
          <w:szCs w:val="20"/>
        </w:rPr>
        <w:t xml:space="preserve"> and CA</w:t>
      </w:r>
      <w:r w:rsidR="00645CB5" w:rsidRPr="00D35BFE">
        <w:rPr>
          <w:rFonts w:ascii="Arial" w:hAnsi="Arial" w:cs="Arial"/>
          <w:sz w:val="20"/>
          <w:szCs w:val="20"/>
        </w:rPr>
        <w:t>.</w:t>
      </w:r>
    </w:p>
    <w:p w:rsidR="002B4F10" w:rsidRPr="00D35BFE" w:rsidRDefault="002B4F10" w:rsidP="007D74F6">
      <w:pPr>
        <w:rPr>
          <w:rFonts w:ascii="Arial" w:hAnsi="Arial" w:cs="Arial"/>
          <w:sz w:val="20"/>
          <w:szCs w:val="20"/>
        </w:rPr>
      </w:pPr>
    </w:p>
    <w:p w:rsidR="00645CB5" w:rsidRDefault="00645CB5" w:rsidP="007D74F6"/>
    <w:p w:rsidR="00645CB5" w:rsidRDefault="00645CB5" w:rsidP="00D35BFE">
      <w:pPr>
        <w:jc w:val="center"/>
        <w:rPr>
          <w:rFonts w:ascii="Arial" w:hAnsi="Arial" w:cs="Arial"/>
          <w:sz w:val="20"/>
          <w:szCs w:val="20"/>
        </w:rPr>
      </w:pPr>
      <w:r>
        <w:rPr>
          <w:rFonts w:hint="eastAsia"/>
          <w:noProof/>
          <w:lang w:val="en-US" w:eastAsia="ko-KR"/>
        </w:rPr>
        <w:drawing>
          <wp:anchor distT="0" distB="0" distL="114300" distR="114300" simplePos="0" relativeHeight="251658240" behindDoc="0" locked="0" layoutInCell="1" allowOverlap="1">
            <wp:simplePos x="0" y="0"/>
            <wp:positionH relativeFrom="column">
              <wp:posOffset>508000</wp:posOffset>
            </wp:positionH>
            <wp:positionV relativeFrom="paragraph">
              <wp:posOffset>635</wp:posOffset>
            </wp:positionV>
            <wp:extent cx="5106035" cy="25717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06035" cy="2571750"/>
                    </a:xfrm>
                    <a:prstGeom prst="rect">
                      <a:avLst/>
                    </a:prstGeom>
                    <a:noFill/>
                    <a:ln>
                      <a:noFill/>
                    </a:ln>
                  </pic:spPr>
                </pic:pic>
              </a:graphicData>
            </a:graphic>
          </wp:anchor>
        </w:drawing>
      </w:r>
      <w:r w:rsidRPr="00D35BFE">
        <w:rPr>
          <w:rFonts w:ascii="Arial" w:hAnsi="Arial" w:cs="Arial"/>
          <w:sz w:val="20"/>
          <w:szCs w:val="20"/>
        </w:rPr>
        <w:t xml:space="preserve">Figure </w:t>
      </w:r>
      <w:r w:rsidR="00B6522F">
        <w:rPr>
          <w:rFonts w:ascii="Arial" w:hAnsi="Arial" w:cs="Arial"/>
          <w:sz w:val="20"/>
          <w:szCs w:val="20"/>
        </w:rPr>
        <w:t>1.</w:t>
      </w:r>
      <w:r w:rsidRPr="00D35BFE">
        <w:rPr>
          <w:rFonts w:ascii="Arial" w:hAnsi="Arial" w:cs="Arial"/>
          <w:sz w:val="20"/>
          <w:szCs w:val="20"/>
        </w:rPr>
        <w:t xml:space="preserve"> LTE bands, CA, and issues of LTE band structure</w:t>
      </w:r>
    </w:p>
    <w:p w:rsidR="002B4F10" w:rsidRPr="00D35BFE" w:rsidRDefault="002B4F10" w:rsidP="00D35BFE">
      <w:pPr>
        <w:jc w:val="center"/>
        <w:rPr>
          <w:rFonts w:ascii="Arial" w:hAnsi="Arial" w:cs="Arial"/>
          <w:sz w:val="20"/>
          <w:szCs w:val="20"/>
        </w:rPr>
      </w:pPr>
    </w:p>
    <w:p w:rsidR="004C579F" w:rsidRPr="00D35BFE" w:rsidRDefault="004C579F" w:rsidP="007D74F6">
      <w:pPr>
        <w:rPr>
          <w:rFonts w:ascii="Arial" w:hAnsi="Arial" w:cs="Arial"/>
          <w:sz w:val="20"/>
          <w:szCs w:val="20"/>
        </w:rPr>
      </w:pPr>
      <w:r w:rsidRPr="00D35BFE">
        <w:rPr>
          <w:rFonts w:ascii="Arial" w:hAnsi="Arial" w:cs="Arial"/>
          <w:sz w:val="20"/>
          <w:szCs w:val="20"/>
        </w:rPr>
        <w:t xml:space="preserve"> </w:t>
      </w:r>
    </w:p>
    <w:p w:rsidR="007D74F6" w:rsidRPr="00D35BFE" w:rsidRDefault="007D74F6" w:rsidP="007D74F6">
      <w:pPr>
        <w:rPr>
          <w:rFonts w:ascii="Arial" w:hAnsi="Arial" w:cs="Arial"/>
          <w:sz w:val="20"/>
          <w:szCs w:val="20"/>
        </w:rPr>
      </w:pPr>
      <w:r w:rsidRPr="00D35BFE">
        <w:rPr>
          <w:rFonts w:ascii="Arial" w:hAnsi="Arial" w:cs="Arial"/>
          <w:sz w:val="20"/>
          <w:szCs w:val="20"/>
        </w:rPr>
        <w:lastRenderedPageBreak/>
        <w:t xml:space="preserve">Companies provided initial inputs of possible frequency ranges or bands for NR deployment in the last </w:t>
      </w:r>
      <w:proofErr w:type="spellStart"/>
      <w:r w:rsidRPr="00D35BFE">
        <w:rPr>
          <w:rFonts w:ascii="Arial" w:hAnsi="Arial" w:cs="Arial"/>
          <w:sz w:val="20"/>
          <w:szCs w:val="20"/>
        </w:rPr>
        <w:t>RAN4</w:t>
      </w:r>
      <w:proofErr w:type="spellEnd"/>
      <w:r w:rsidRPr="00D35BFE">
        <w:rPr>
          <w:rFonts w:ascii="Arial" w:hAnsi="Arial" w:cs="Arial"/>
          <w:sz w:val="20"/>
          <w:szCs w:val="20"/>
        </w:rPr>
        <w:t xml:space="preserve"> </w:t>
      </w:r>
      <w:proofErr w:type="spellStart"/>
      <w:r w:rsidRPr="00D35BFE">
        <w:rPr>
          <w:rFonts w:ascii="Arial" w:hAnsi="Arial" w:cs="Arial"/>
          <w:sz w:val="20"/>
          <w:szCs w:val="20"/>
        </w:rPr>
        <w:t>adhoc</w:t>
      </w:r>
      <w:proofErr w:type="spellEnd"/>
      <w:r w:rsidRPr="00D35BFE">
        <w:rPr>
          <w:rFonts w:ascii="Arial" w:hAnsi="Arial" w:cs="Arial"/>
          <w:sz w:val="20"/>
          <w:szCs w:val="20"/>
        </w:rPr>
        <w:t xml:space="preserve"> meeting. The following </w:t>
      </w:r>
      <w:r w:rsidR="00804089" w:rsidRPr="00D35BFE">
        <w:rPr>
          <w:rFonts w:ascii="Arial" w:hAnsi="Arial" w:cs="Arial"/>
          <w:sz w:val="20"/>
          <w:szCs w:val="20"/>
        </w:rPr>
        <w:t xml:space="preserve">table </w:t>
      </w:r>
      <w:r w:rsidRPr="00D35BFE">
        <w:rPr>
          <w:rFonts w:ascii="Arial" w:hAnsi="Arial" w:cs="Arial"/>
          <w:sz w:val="20"/>
          <w:szCs w:val="20"/>
        </w:rPr>
        <w:t>summarizes the possible frequency ranges [</w:t>
      </w:r>
      <w:r w:rsidR="004C579F" w:rsidRPr="00D35BFE">
        <w:rPr>
          <w:rFonts w:ascii="Arial" w:hAnsi="Arial" w:cs="Arial"/>
          <w:sz w:val="20"/>
          <w:szCs w:val="20"/>
        </w:rPr>
        <w:t>2</w:t>
      </w:r>
      <w:r w:rsidRPr="00D35BFE">
        <w:rPr>
          <w:rFonts w:ascii="Arial" w:hAnsi="Arial" w:cs="Arial"/>
          <w:sz w:val="20"/>
          <w:szCs w:val="20"/>
        </w:rPr>
        <w:t xml:space="preserve">]. </w:t>
      </w:r>
      <w:r w:rsidR="00E70408" w:rsidRPr="00D35BFE">
        <w:rPr>
          <w:rFonts w:ascii="Arial" w:hAnsi="Arial" w:cs="Arial"/>
          <w:sz w:val="20"/>
          <w:szCs w:val="20"/>
        </w:rPr>
        <w:t>Other frequency ranges are not precluded.</w:t>
      </w:r>
    </w:p>
    <w:p w:rsidR="007D74F6" w:rsidRDefault="007D74F6" w:rsidP="007D74F6"/>
    <w:p w:rsidR="002B4F10" w:rsidRDefault="002B4F10" w:rsidP="007D74F6"/>
    <w:tbl>
      <w:tblPr>
        <w:tblStyle w:val="TableGrid"/>
        <w:tblW w:w="0" w:type="auto"/>
        <w:tblLook w:val="04A0" w:firstRow="1" w:lastRow="0" w:firstColumn="1" w:lastColumn="0" w:noHBand="0" w:noVBand="1"/>
      </w:tblPr>
      <w:tblGrid>
        <w:gridCol w:w="1795"/>
        <w:gridCol w:w="1440"/>
        <w:gridCol w:w="6404"/>
      </w:tblGrid>
      <w:tr w:rsidR="007D74F6" w:rsidTr="00D35BFE">
        <w:tc>
          <w:tcPr>
            <w:tcW w:w="1795" w:type="dxa"/>
          </w:tcPr>
          <w:p w:rsidR="007D74F6" w:rsidRPr="00D35BFE" w:rsidRDefault="007D74F6" w:rsidP="00D35BFE">
            <w:pPr>
              <w:jc w:val="center"/>
              <w:rPr>
                <w:rFonts w:ascii="Arial" w:eastAsia="Batang" w:hAnsi="Arial" w:cs="Arial"/>
                <w:sz w:val="16"/>
                <w:szCs w:val="16"/>
                <w:lang w:val="en-US"/>
              </w:rPr>
            </w:pPr>
            <w:r w:rsidRPr="00D35BFE">
              <w:rPr>
                <w:rFonts w:ascii="Arial" w:eastAsia="Batang" w:hAnsi="Arial" w:cs="Arial"/>
                <w:b/>
                <w:bCs/>
                <w:sz w:val="16"/>
                <w:szCs w:val="16"/>
                <w:lang w:val="en-US"/>
              </w:rPr>
              <w:t>Company</w:t>
            </w:r>
          </w:p>
        </w:tc>
        <w:tc>
          <w:tcPr>
            <w:tcW w:w="1440" w:type="dxa"/>
          </w:tcPr>
          <w:p w:rsidR="007D74F6" w:rsidRPr="00D35BFE" w:rsidRDefault="007D74F6" w:rsidP="00D35BFE">
            <w:pPr>
              <w:jc w:val="center"/>
              <w:rPr>
                <w:rFonts w:ascii="Arial" w:eastAsia="Batang" w:hAnsi="Arial" w:cs="Arial"/>
                <w:sz w:val="16"/>
                <w:szCs w:val="16"/>
                <w:lang w:val="en-US"/>
              </w:rPr>
            </w:pPr>
            <w:r w:rsidRPr="00D35BFE">
              <w:rPr>
                <w:rFonts w:ascii="Arial" w:eastAsia="Batang" w:hAnsi="Arial" w:cs="Arial"/>
                <w:b/>
                <w:bCs/>
                <w:sz w:val="16"/>
                <w:szCs w:val="16"/>
                <w:lang w:val="en-US"/>
              </w:rPr>
              <w:t>R4-1700xxx</w:t>
            </w:r>
          </w:p>
        </w:tc>
        <w:tc>
          <w:tcPr>
            <w:tcW w:w="6404" w:type="dxa"/>
          </w:tcPr>
          <w:p w:rsidR="007D74F6" w:rsidRPr="00D35BFE" w:rsidRDefault="007D74F6" w:rsidP="00D35BFE">
            <w:pPr>
              <w:jc w:val="center"/>
              <w:rPr>
                <w:rFonts w:ascii="Arial" w:eastAsia="Batang" w:hAnsi="Arial" w:cs="Arial"/>
                <w:sz w:val="16"/>
                <w:szCs w:val="16"/>
                <w:lang w:val="en-US"/>
              </w:rPr>
            </w:pPr>
            <w:r w:rsidRPr="00D35BFE">
              <w:rPr>
                <w:rFonts w:ascii="Arial" w:eastAsia="Batang" w:hAnsi="Arial" w:cs="Arial"/>
                <w:b/>
                <w:bCs/>
                <w:sz w:val="16"/>
                <w:szCs w:val="16"/>
                <w:lang w:val="en-US"/>
              </w:rPr>
              <w:t>Proposal</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Sprint, CTC, C-Spire, China Unicom</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255</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2496MHz – 2690MHz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China Telecom</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256</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824- 849MHz/869 – 894MHz, 1920 – 1980MHz/2110 – 2170MHz, 1710 – 1785MHz/1805 – 1880MHz, 2496 – 2690MHz, 3300 - 3400MHz, 3400 – 3600MHz, 4400 - 4500MHz, 4800 - 4990MHz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AT&amp;T</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034</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37-37.6GHz, 37.6-40GHz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DISH Network</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193</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12.2-12.7GHz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Orange</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194</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703-748MHz/758-803MHz, 832–862MHz/791-821MHz</w:t>
            </w:r>
            <w:r w:rsidRPr="00D35BFE">
              <w:rPr>
                <w:rFonts w:ascii="Arial" w:eastAsia="Batang" w:hAnsi="Arial" w:cs="Arial" w:hint="eastAsia"/>
                <w:sz w:val="16"/>
                <w:szCs w:val="16"/>
                <w:lang w:val="en-US"/>
              </w:rPr>
              <w:t>、</w:t>
            </w:r>
            <w:r w:rsidRPr="00D35BFE">
              <w:rPr>
                <w:rFonts w:ascii="Arial" w:eastAsia="Batang" w:hAnsi="Arial" w:cs="Arial"/>
                <w:sz w:val="16"/>
                <w:szCs w:val="16"/>
                <w:lang w:val="en-US"/>
              </w:rPr>
              <w:t>1920-1980MHz/2110-2170MHz,1710-1785MHz/1805-1880MHz,2500-2570MHz/2620MHz-2690MHz,3400-3600MHz,3600-3800MHz,5.925-8.5GHz,24.25-27.5GHz,31.8-33.4GHz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KT</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210</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880 – 915MHz/925 – 960MHz, 1920 – 1980MHz/2110 – 2170MHz, 1710 – 1785MHz/1805 – 1880MHz, 2300 – 2400MHz, 3400-3700MHz, 26.5-29.5GHz, 24.25-27.5GHz, 31.8-33.4GHz, 37-40.5GHz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CMCC</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162</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 xml:space="preserve">Around 3.5GHz </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DOCOMO</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139</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 xml:space="preserve">3.3-4.2GHz, 4.4-4.99GHz, 26.5-29.5GHz. </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China Unicom</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241</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3400 - 3600 MHz,  4800 - 4990 MHz, 4400 – 4500 MHz,  3300 - 3400 MHz,  2496 - 2690 MHz, 24.5 GHz-27.5 GHz, 37 GHz-43.5 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 xml:space="preserve">Verizon, </w:t>
            </w:r>
            <w:proofErr w:type="spellStart"/>
            <w:r w:rsidRPr="00D35BFE">
              <w:rPr>
                <w:rFonts w:ascii="Arial" w:eastAsia="Batang" w:hAnsi="Arial" w:cs="Arial"/>
                <w:sz w:val="16"/>
                <w:szCs w:val="16"/>
                <w:lang w:val="en-US"/>
              </w:rPr>
              <w:t>T-mobile</w:t>
            </w:r>
            <w:proofErr w:type="spellEnd"/>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244</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27.5 – 28.35 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Etisalat</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267</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1427 – 1518MHz, 3400 - 3600MHz, 10.7 – 11.7GHz, 24.25- 27.5GHz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 xml:space="preserve">Huawei, </w:t>
            </w:r>
            <w:proofErr w:type="spellStart"/>
            <w:r w:rsidRPr="00D35BFE">
              <w:rPr>
                <w:rFonts w:ascii="Arial" w:eastAsia="Batang" w:hAnsi="Arial" w:cs="Arial"/>
                <w:sz w:val="16"/>
                <w:szCs w:val="16"/>
                <w:lang w:val="en-US"/>
              </w:rPr>
              <w:t>Hisilicon</w:t>
            </w:r>
            <w:proofErr w:type="spellEnd"/>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124, 267</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3.3-[3.8GHz~4.2GHz], 4.4-4.99GHz, 24.25-27.5GHz, 26.5-29.5GHz, 37-40GHz, 40.5-43.5GHz, 1427 – 1518MHz, 3400 - 3600MHz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ZTE</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249</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3.6-3.6GHz, 24.25-27.5GHz</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Ericsson</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255, 162</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 xml:space="preserve">2496MHz – 2690MHz, Around 3.5GHz </w:t>
            </w:r>
          </w:p>
        </w:tc>
      </w:tr>
      <w:tr w:rsidR="007D74F6" w:rsidTr="00D35BFE">
        <w:tc>
          <w:tcPr>
            <w:tcW w:w="1795"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Nokia</w:t>
            </w:r>
          </w:p>
        </w:tc>
        <w:tc>
          <w:tcPr>
            <w:tcW w:w="1440"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255</w:t>
            </w:r>
          </w:p>
        </w:tc>
        <w:tc>
          <w:tcPr>
            <w:tcW w:w="6404" w:type="dxa"/>
          </w:tcPr>
          <w:p w:rsidR="007D74F6" w:rsidRPr="00D35BFE" w:rsidRDefault="007D74F6" w:rsidP="007D74F6">
            <w:pPr>
              <w:rPr>
                <w:rFonts w:ascii="Arial" w:eastAsia="Batang" w:hAnsi="Arial" w:cs="Arial"/>
                <w:sz w:val="16"/>
                <w:szCs w:val="16"/>
                <w:lang w:val="en-US"/>
              </w:rPr>
            </w:pPr>
            <w:r w:rsidRPr="00D35BFE">
              <w:rPr>
                <w:rFonts w:ascii="Arial" w:eastAsia="Batang" w:hAnsi="Arial" w:cs="Arial"/>
                <w:sz w:val="16"/>
                <w:szCs w:val="16"/>
                <w:lang w:val="en-US"/>
              </w:rPr>
              <w:t>2496MHz – 2690MHz</w:t>
            </w:r>
          </w:p>
        </w:tc>
      </w:tr>
    </w:tbl>
    <w:p w:rsidR="002B4F10" w:rsidRPr="00C5170D" w:rsidRDefault="002B4F10" w:rsidP="002B4F10">
      <w:pPr>
        <w:jc w:val="center"/>
        <w:rPr>
          <w:rFonts w:ascii="Arial" w:hAnsi="Arial" w:cs="Arial"/>
          <w:sz w:val="20"/>
          <w:szCs w:val="20"/>
        </w:rPr>
      </w:pPr>
      <w:r w:rsidRPr="00C5170D">
        <w:rPr>
          <w:rFonts w:ascii="Arial" w:hAnsi="Arial" w:cs="Arial"/>
          <w:sz w:val="20"/>
          <w:szCs w:val="20"/>
        </w:rPr>
        <w:t>Table 1</w:t>
      </w:r>
      <w:r w:rsidR="00B6522F">
        <w:rPr>
          <w:rFonts w:ascii="Arial" w:hAnsi="Arial" w:cs="Arial"/>
          <w:sz w:val="20"/>
          <w:szCs w:val="20"/>
        </w:rPr>
        <w:t>.</w:t>
      </w:r>
      <w:r w:rsidRPr="00C5170D">
        <w:rPr>
          <w:rFonts w:ascii="Arial" w:hAnsi="Arial" w:cs="Arial"/>
          <w:sz w:val="20"/>
          <w:szCs w:val="20"/>
        </w:rPr>
        <w:t xml:space="preserve"> Proposals of NR spectrum from companies</w:t>
      </w:r>
    </w:p>
    <w:p w:rsidR="007D74F6" w:rsidRDefault="007D74F6" w:rsidP="007D74F6"/>
    <w:p w:rsidR="002B4F10" w:rsidRDefault="002B4F10" w:rsidP="007D74F6"/>
    <w:p w:rsidR="007D74F6" w:rsidRPr="00D35BFE" w:rsidRDefault="00645CB5" w:rsidP="00FA1C35">
      <w:pPr>
        <w:rPr>
          <w:rFonts w:ascii="Arial" w:eastAsia="Batang" w:hAnsi="Arial" w:cs="Arial"/>
          <w:sz w:val="20"/>
          <w:szCs w:val="20"/>
        </w:rPr>
      </w:pPr>
      <w:r w:rsidRPr="00D35BFE">
        <w:rPr>
          <w:rFonts w:ascii="Arial" w:eastAsia="Batang" w:hAnsi="Arial" w:cs="Arial"/>
          <w:sz w:val="20"/>
          <w:szCs w:val="20"/>
        </w:rPr>
        <w:t>From the above table, it can be seen that the frequency allocations are very diverse. It becomes very important to harmonize the frequency range among different regions/countries, and define as few bands as possible.</w:t>
      </w:r>
      <w:r w:rsidR="00804089" w:rsidRPr="00D35BFE">
        <w:rPr>
          <w:rFonts w:ascii="Arial" w:eastAsia="Batang" w:hAnsi="Arial" w:cs="Arial"/>
          <w:sz w:val="20"/>
          <w:szCs w:val="20"/>
        </w:rPr>
        <w:t xml:space="preserve"> Fewer bands can lead to </w:t>
      </w:r>
      <w:r w:rsidR="00B430A7">
        <w:rPr>
          <w:rFonts w:ascii="Arial" w:eastAsia="Batang" w:hAnsi="Arial" w:cs="Arial"/>
          <w:sz w:val="20"/>
          <w:szCs w:val="20"/>
        </w:rPr>
        <w:t xml:space="preserve">wider spectrum resources, </w:t>
      </w:r>
      <w:r w:rsidR="00804089" w:rsidRPr="00D35BFE">
        <w:rPr>
          <w:rFonts w:ascii="Arial" w:eastAsia="Batang" w:hAnsi="Arial" w:cs="Arial"/>
          <w:sz w:val="20"/>
          <w:szCs w:val="20"/>
        </w:rPr>
        <w:t>fewer potential CA combinations</w:t>
      </w:r>
      <w:r w:rsidR="00B430A7">
        <w:rPr>
          <w:rFonts w:ascii="Arial" w:eastAsia="Batang" w:hAnsi="Arial" w:cs="Arial"/>
          <w:sz w:val="20"/>
          <w:szCs w:val="20"/>
        </w:rPr>
        <w:t>, less complexity</w:t>
      </w:r>
      <w:r w:rsidR="00804089" w:rsidRPr="00D35BFE">
        <w:rPr>
          <w:rFonts w:ascii="Arial" w:eastAsia="Batang" w:hAnsi="Arial" w:cs="Arial"/>
          <w:sz w:val="20"/>
          <w:szCs w:val="20"/>
        </w:rPr>
        <w:t xml:space="preserve"> </w:t>
      </w:r>
      <w:r w:rsidR="00B430A7">
        <w:rPr>
          <w:rFonts w:ascii="Arial" w:eastAsia="Batang" w:hAnsi="Arial" w:cs="Arial"/>
          <w:sz w:val="20"/>
          <w:szCs w:val="20"/>
        </w:rPr>
        <w:t xml:space="preserve">device </w:t>
      </w:r>
      <w:r w:rsidR="00804089" w:rsidRPr="00D35BFE">
        <w:rPr>
          <w:rFonts w:ascii="Arial" w:eastAsia="Batang" w:hAnsi="Arial" w:cs="Arial"/>
          <w:sz w:val="20"/>
          <w:szCs w:val="20"/>
        </w:rPr>
        <w:t>implementation</w:t>
      </w:r>
      <w:r w:rsidR="00B430A7">
        <w:rPr>
          <w:rFonts w:ascii="Arial" w:eastAsia="Batang" w:hAnsi="Arial" w:cs="Arial"/>
          <w:sz w:val="20"/>
          <w:szCs w:val="20"/>
        </w:rPr>
        <w:t>, and less standardization work</w:t>
      </w:r>
      <w:r w:rsidR="00804089" w:rsidRPr="00D35BFE">
        <w:rPr>
          <w:rFonts w:ascii="Arial" w:eastAsia="Batang" w:hAnsi="Arial" w:cs="Arial"/>
          <w:sz w:val="20"/>
          <w:szCs w:val="20"/>
        </w:rPr>
        <w:t>.</w:t>
      </w:r>
    </w:p>
    <w:p w:rsidR="00645CB5" w:rsidRDefault="00645CB5" w:rsidP="00FA1C35">
      <w:pPr>
        <w:rPr>
          <w:rFonts w:ascii="Arial" w:eastAsia="Batang" w:hAnsi="Arial" w:cs="Arial"/>
          <w:sz w:val="20"/>
          <w:szCs w:val="20"/>
        </w:rPr>
      </w:pPr>
    </w:p>
    <w:p w:rsidR="00423803" w:rsidRPr="004F46D9" w:rsidRDefault="00423803" w:rsidP="00D35BFE">
      <w:pPr>
        <w:pStyle w:val="Heading1"/>
        <w:rPr>
          <w:sz w:val="24"/>
        </w:rPr>
      </w:pPr>
      <w:r w:rsidRPr="00D35BFE">
        <w:rPr>
          <w:sz w:val="24"/>
          <w:szCs w:val="24"/>
        </w:rPr>
        <w:t xml:space="preserve">2.2.1 </w:t>
      </w:r>
      <w:r w:rsidR="004502E5">
        <w:rPr>
          <w:sz w:val="24"/>
          <w:szCs w:val="24"/>
        </w:rPr>
        <w:t xml:space="preserve">NR </w:t>
      </w:r>
      <w:r w:rsidRPr="00D35BFE">
        <w:rPr>
          <w:sz w:val="24"/>
          <w:szCs w:val="24"/>
        </w:rPr>
        <w:t xml:space="preserve">Band Definition </w:t>
      </w:r>
      <w:r w:rsidR="004502E5">
        <w:rPr>
          <w:sz w:val="24"/>
          <w:szCs w:val="24"/>
        </w:rPr>
        <w:t xml:space="preserve">for </w:t>
      </w:r>
      <w:proofErr w:type="spellStart"/>
      <w:r w:rsidR="007C0BCE">
        <w:rPr>
          <w:sz w:val="24"/>
          <w:szCs w:val="24"/>
        </w:rPr>
        <w:t>mmWave</w:t>
      </w:r>
      <w:proofErr w:type="spellEnd"/>
    </w:p>
    <w:p w:rsidR="007F1258" w:rsidRDefault="00085015">
      <w:pPr>
        <w:rPr>
          <w:sz w:val="24"/>
        </w:rPr>
      </w:pPr>
      <w:r>
        <w:rPr>
          <w:rFonts w:ascii="Arial" w:eastAsia="Batang" w:hAnsi="Arial" w:cs="Arial"/>
          <w:sz w:val="20"/>
          <w:szCs w:val="20"/>
        </w:rPr>
        <w:t xml:space="preserve">From the table </w:t>
      </w:r>
      <w:r w:rsidR="007F1258">
        <w:rPr>
          <w:rFonts w:ascii="Arial" w:eastAsia="Batang" w:hAnsi="Arial" w:cs="Arial"/>
          <w:sz w:val="20"/>
          <w:szCs w:val="20"/>
        </w:rPr>
        <w:t>above</w:t>
      </w:r>
      <w:r>
        <w:rPr>
          <w:rFonts w:ascii="Arial" w:eastAsia="Batang" w:hAnsi="Arial" w:cs="Arial"/>
          <w:sz w:val="20"/>
          <w:szCs w:val="20"/>
        </w:rPr>
        <w:t xml:space="preserve">, it would be hard to </w:t>
      </w:r>
      <w:r w:rsidR="006D5790">
        <w:rPr>
          <w:rFonts w:ascii="Arial" w:eastAsia="Batang" w:hAnsi="Arial" w:cs="Arial"/>
          <w:sz w:val="20"/>
          <w:szCs w:val="20"/>
        </w:rPr>
        <w:t>come up with a common band which satisfies</w:t>
      </w:r>
      <w:r>
        <w:rPr>
          <w:rFonts w:ascii="Arial" w:eastAsia="Batang" w:hAnsi="Arial" w:cs="Arial"/>
          <w:sz w:val="20"/>
          <w:szCs w:val="20"/>
        </w:rPr>
        <w:t xml:space="preserve"> all the </w:t>
      </w:r>
      <w:r w:rsidR="006D5790">
        <w:rPr>
          <w:rFonts w:ascii="Arial" w:eastAsia="Batang" w:hAnsi="Arial" w:cs="Arial"/>
          <w:sz w:val="20"/>
          <w:szCs w:val="20"/>
        </w:rPr>
        <w:t>operators’ need.</w:t>
      </w:r>
      <w:r w:rsidR="007F1258">
        <w:rPr>
          <w:rFonts w:ascii="Arial" w:eastAsia="Batang" w:hAnsi="Arial" w:cs="Arial"/>
          <w:sz w:val="20"/>
          <w:szCs w:val="20"/>
        </w:rPr>
        <w:t xml:space="preserve"> </w:t>
      </w:r>
      <w:r w:rsidR="006D5790">
        <w:rPr>
          <w:rFonts w:ascii="Arial" w:eastAsia="Batang" w:hAnsi="Arial" w:cs="Arial"/>
          <w:sz w:val="20"/>
          <w:szCs w:val="20"/>
        </w:rPr>
        <w:t xml:space="preserve">In this document, we would like to propose </w:t>
      </w:r>
      <w:r w:rsidR="00DC07AE">
        <w:rPr>
          <w:rFonts w:ascii="Arial" w:eastAsia="Batang" w:hAnsi="Arial" w:cs="Arial"/>
          <w:sz w:val="20"/>
          <w:szCs w:val="20"/>
        </w:rPr>
        <w:t xml:space="preserve">below bands as </w:t>
      </w:r>
      <w:r w:rsidR="006D5790">
        <w:rPr>
          <w:rFonts w:ascii="Arial" w:eastAsia="Batang" w:hAnsi="Arial" w:cs="Arial"/>
          <w:sz w:val="20"/>
          <w:szCs w:val="20"/>
        </w:rPr>
        <w:t>two NR bands</w:t>
      </w:r>
      <w:r w:rsidR="007F1258">
        <w:rPr>
          <w:sz w:val="24"/>
        </w:rPr>
        <w:t>:</w:t>
      </w:r>
    </w:p>
    <w:p w:rsidR="007F1258" w:rsidRDefault="007F1258">
      <w:pPr>
        <w:rPr>
          <w:sz w:val="24"/>
        </w:rPr>
      </w:pPr>
    </w:p>
    <w:p w:rsidR="007F1258" w:rsidRPr="00D35BFE" w:rsidRDefault="007F1258" w:rsidP="00D35BFE">
      <w:pPr>
        <w:pStyle w:val="ListParagraph"/>
        <w:numPr>
          <w:ilvl w:val="0"/>
          <w:numId w:val="8"/>
        </w:numPr>
        <w:rPr>
          <w:rFonts w:ascii="Arial" w:eastAsia="Batang" w:hAnsi="Arial" w:cs="Arial"/>
          <w:sz w:val="20"/>
          <w:szCs w:val="20"/>
        </w:rPr>
      </w:pPr>
      <w:r w:rsidRPr="00D35BFE">
        <w:rPr>
          <w:rFonts w:ascii="Arial" w:eastAsia="Batang" w:hAnsi="Arial" w:cs="Arial"/>
          <w:sz w:val="20"/>
          <w:szCs w:val="20"/>
        </w:rPr>
        <w:t xml:space="preserve">Band </w:t>
      </w:r>
      <w:r w:rsidR="007C0BCE">
        <w:rPr>
          <w:rFonts w:ascii="Arial" w:eastAsia="Batang" w:hAnsi="Arial" w:cs="Arial"/>
          <w:sz w:val="20"/>
          <w:szCs w:val="20"/>
        </w:rPr>
        <w:t>C</w:t>
      </w:r>
      <w:r w:rsidRPr="00D35BFE">
        <w:rPr>
          <w:rFonts w:ascii="Arial" w:eastAsia="Batang" w:hAnsi="Arial" w:cs="Arial"/>
          <w:sz w:val="20"/>
          <w:szCs w:val="20"/>
        </w:rPr>
        <w:t xml:space="preserve">: </w:t>
      </w:r>
      <w:r w:rsidR="00B6522F">
        <w:rPr>
          <w:rFonts w:ascii="Arial" w:eastAsia="Batang" w:hAnsi="Arial" w:cs="Arial"/>
          <w:sz w:val="20"/>
          <w:szCs w:val="20"/>
        </w:rPr>
        <w:t>24</w:t>
      </w:r>
      <w:r w:rsidR="007C0BCE">
        <w:rPr>
          <w:rFonts w:ascii="Arial" w:eastAsia="Batang" w:hAnsi="Arial" w:cs="Arial"/>
          <w:sz w:val="20"/>
          <w:szCs w:val="20"/>
        </w:rPr>
        <w:t>.</w:t>
      </w:r>
      <w:r w:rsidR="00B6522F">
        <w:rPr>
          <w:rFonts w:ascii="Arial" w:eastAsia="Batang" w:hAnsi="Arial" w:cs="Arial"/>
          <w:sz w:val="20"/>
          <w:szCs w:val="20"/>
        </w:rPr>
        <w:t>2</w:t>
      </w:r>
      <w:r w:rsidR="007C0BCE">
        <w:rPr>
          <w:rFonts w:ascii="Arial" w:eastAsia="Batang" w:hAnsi="Arial" w:cs="Arial"/>
          <w:sz w:val="20"/>
          <w:szCs w:val="20"/>
        </w:rPr>
        <w:t>5 – 29.5</w:t>
      </w:r>
      <w:r w:rsidRPr="00D35BFE">
        <w:rPr>
          <w:rFonts w:ascii="Arial" w:eastAsia="Batang" w:hAnsi="Arial" w:cs="Arial"/>
          <w:sz w:val="20"/>
          <w:szCs w:val="20"/>
        </w:rPr>
        <w:t xml:space="preserve"> GHz</w:t>
      </w:r>
    </w:p>
    <w:p w:rsidR="007F1258" w:rsidRDefault="007C0BCE" w:rsidP="00D35BFE">
      <w:pPr>
        <w:pStyle w:val="ListParagraph"/>
        <w:numPr>
          <w:ilvl w:val="0"/>
          <w:numId w:val="8"/>
        </w:numPr>
        <w:rPr>
          <w:rFonts w:ascii="Arial" w:eastAsia="Batang" w:hAnsi="Arial" w:cs="Arial"/>
          <w:sz w:val="20"/>
          <w:szCs w:val="20"/>
        </w:rPr>
      </w:pPr>
      <w:r>
        <w:rPr>
          <w:rFonts w:ascii="Arial" w:eastAsia="Batang" w:hAnsi="Arial" w:cs="Arial"/>
          <w:sz w:val="20"/>
          <w:szCs w:val="20"/>
        </w:rPr>
        <w:t>Band D: 37.0 – 40.0 GHz</w:t>
      </w:r>
    </w:p>
    <w:p w:rsidR="00DC07AE" w:rsidRDefault="00DC07AE">
      <w:pPr>
        <w:rPr>
          <w:rFonts w:ascii="Arial" w:eastAsia="Batang" w:hAnsi="Arial" w:cs="Arial"/>
          <w:sz w:val="20"/>
          <w:szCs w:val="20"/>
        </w:rPr>
      </w:pPr>
    </w:p>
    <w:p w:rsidR="00CE3337" w:rsidRDefault="00CE3337">
      <w:pPr>
        <w:rPr>
          <w:rFonts w:ascii="Arial" w:eastAsia="Batang" w:hAnsi="Arial" w:cs="Arial"/>
          <w:sz w:val="20"/>
          <w:szCs w:val="20"/>
        </w:rPr>
      </w:pPr>
    </w:p>
    <w:p w:rsidR="007C0BCE" w:rsidRDefault="00CE3337">
      <w:pPr>
        <w:rPr>
          <w:rFonts w:ascii="Arial" w:eastAsia="Batang" w:hAnsi="Arial" w:cs="Arial"/>
          <w:sz w:val="20"/>
          <w:szCs w:val="20"/>
        </w:rPr>
      </w:pPr>
      <w:r>
        <w:rPr>
          <w:rFonts w:ascii="Arial" w:eastAsia="Batang" w:hAnsi="Arial" w:cs="Arial"/>
          <w:sz w:val="20"/>
          <w:szCs w:val="20"/>
        </w:rPr>
        <w:t>In this proposal, Band D cover 37.0 – 40.0 GHz, but it could be extended up to 43.5 GHz later.</w:t>
      </w:r>
    </w:p>
    <w:p w:rsidR="00CE3337" w:rsidRDefault="00CE3337">
      <w:pPr>
        <w:rPr>
          <w:rFonts w:ascii="Arial" w:eastAsia="Batang" w:hAnsi="Arial" w:cs="Arial"/>
          <w:sz w:val="20"/>
          <w:szCs w:val="20"/>
        </w:rPr>
      </w:pPr>
    </w:p>
    <w:p w:rsidR="00DC07AE" w:rsidRDefault="00B6522F" w:rsidP="00D35BFE">
      <w:pPr>
        <w:jc w:val="center"/>
        <w:rPr>
          <w:rFonts w:ascii="Arial" w:eastAsia="Batang" w:hAnsi="Arial" w:cs="Arial"/>
          <w:sz w:val="20"/>
          <w:szCs w:val="20"/>
        </w:rPr>
      </w:pPr>
      <w:r>
        <w:rPr>
          <w:noProof/>
          <w:lang w:val="en-US" w:eastAsia="ko-KR"/>
        </w:rPr>
        <w:drawing>
          <wp:anchor distT="0" distB="0" distL="114300" distR="114300" simplePos="0" relativeHeight="251659264" behindDoc="0" locked="0" layoutInCell="1" allowOverlap="1">
            <wp:simplePos x="0" y="0"/>
            <wp:positionH relativeFrom="column">
              <wp:posOffset>0</wp:posOffset>
            </wp:positionH>
            <wp:positionV relativeFrom="paragraph">
              <wp:posOffset>3175</wp:posOffset>
            </wp:positionV>
            <wp:extent cx="6127115" cy="1195070"/>
            <wp:effectExtent l="0" t="0" r="6985" b="508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127115" cy="1195070"/>
                    </a:xfrm>
                    <a:prstGeom prst="rect">
                      <a:avLst/>
                    </a:prstGeom>
                  </pic:spPr>
                </pic:pic>
              </a:graphicData>
            </a:graphic>
          </wp:anchor>
        </w:drawing>
      </w:r>
      <w:r>
        <w:rPr>
          <w:rFonts w:ascii="Arial" w:eastAsia="Batang" w:hAnsi="Arial" w:cs="Arial"/>
          <w:sz w:val="20"/>
          <w:szCs w:val="20"/>
        </w:rPr>
        <w:t xml:space="preserve">Figure 2. </w:t>
      </w:r>
      <w:r w:rsidR="003202B2">
        <w:rPr>
          <w:rFonts w:ascii="Arial" w:eastAsia="Batang" w:hAnsi="Arial" w:cs="Arial"/>
          <w:sz w:val="20"/>
          <w:szCs w:val="20"/>
        </w:rPr>
        <w:t>NR band proposal</w:t>
      </w:r>
      <w:r>
        <w:rPr>
          <w:rFonts w:ascii="Arial" w:eastAsia="Batang" w:hAnsi="Arial" w:cs="Arial"/>
          <w:sz w:val="20"/>
          <w:szCs w:val="20"/>
        </w:rPr>
        <w:t xml:space="preserve">s in </w:t>
      </w:r>
      <w:proofErr w:type="spellStart"/>
      <w:r>
        <w:rPr>
          <w:rFonts w:ascii="Arial" w:eastAsia="Batang" w:hAnsi="Arial" w:cs="Arial"/>
          <w:sz w:val="20"/>
          <w:szCs w:val="20"/>
        </w:rPr>
        <w:t>mmWave</w:t>
      </w:r>
      <w:proofErr w:type="spellEnd"/>
    </w:p>
    <w:p w:rsidR="0055662B" w:rsidRDefault="0055662B">
      <w:pPr>
        <w:rPr>
          <w:rFonts w:ascii="Arial" w:eastAsia="Batang" w:hAnsi="Arial" w:cs="Arial"/>
          <w:sz w:val="20"/>
          <w:szCs w:val="20"/>
        </w:rPr>
      </w:pPr>
    </w:p>
    <w:p w:rsidR="00B6522F" w:rsidRDefault="00B6522F">
      <w:pPr>
        <w:rPr>
          <w:rFonts w:ascii="Arial" w:eastAsia="Batang" w:hAnsi="Arial" w:cs="Arial"/>
          <w:sz w:val="20"/>
          <w:szCs w:val="20"/>
        </w:rPr>
      </w:pPr>
    </w:p>
    <w:p w:rsidR="00DC07AE" w:rsidRDefault="007C0BCE">
      <w:pPr>
        <w:rPr>
          <w:rFonts w:ascii="Arial" w:eastAsia="Batang" w:hAnsi="Arial" w:cs="Arial"/>
          <w:sz w:val="20"/>
          <w:szCs w:val="20"/>
        </w:rPr>
      </w:pPr>
      <w:r>
        <w:rPr>
          <w:rFonts w:ascii="Arial" w:eastAsia="Batang" w:hAnsi="Arial" w:cs="Arial"/>
          <w:sz w:val="20"/>
          <w:szCs w:val="20"/>
        </w:rPr>
        <w:t xml:space="preserve">Supporting channel bandwidth is up to 800 MHz within each of </w:t>
      </w:r>
      <w:r w:rsidR="004F0A49">
        <w:rPr>
          <w:rFonts w:ascii="Arial" w:eastAsia="Batang" w:hAnsi="Arial" w:cs="Arial"/>
          <w:sz w:val="20"/>
          <w:szCs w:val="20"/>
        </w:rPr>
        <w:t xml:space="preserve">Band </w:t>
      </w:r>
      <w:r>
        <w:rPr>
          <w:rFonts w:ascii="Arial" w:eastAsia="Batang" w:hAnsi="Arial" w:cs="Arial"/>
          <w:sz w:val="20"/>
          <w:szCs w:val="20"/>
        </w:rPr>
        <w:t>C and Band D.</w:t>
      </w:r>
    </w:p>
    <w:p w:rsidR="007C0BCE" w:rsidRDefault="007C0BCE">
      <w:pPr>
        <w:rPr>
          <w:rFonts w:ascii="Arial" w:eastAsia="Batang" w:hAnsi="Arial" w:cs="Arial"/>
          <w:sz w:val="20"/>
          <w:szCs w:val="20"/>
        </w:rPr>
      </w:pPr>
    </w:p>
    <w:p w:rsidR="008A356D" w:rsidRPr="00D35BFE" w:rsidRDefault="008A356D">
      <w:pPr>
        <w:rPr>
          <w:rFonts w:ascii="Arial" w:eastAsia="Batang" w:hAnsi="Arial" w:cs="Arial"/>
          <w:b/>
          <w:i/>
          <w:sz w:val="20"/>
          <w:szCs w:val="20"/>
        </w:rPr>
      </w:pPr>
      <w:r w:rsidRPr="00D35BFE">
        <w:rPr>
          <w:rFonts w:ascii="Arial" w:eastAsia="Batang" w:hAnsi="Arial" w:cs="Arial"/>
          <w:b/>
          <w:i/>
          <w:sz w:val="20"/>
          <w:szCs w:val="20"/>
        </w:rPr>
        <w:t>Proposal</w:t>
      </w:r>
      <w:r w:rsidR="00A7778D" w:rsidRPr="003202B2">
        <w:rPr>
          <w:rFonts w:ascii="Arial" w:eastAsia="Batang" w:hAnsi="Arial" w:cs="Arial"/>
          <w:b/>
          <w:i/>
          <w:sz w:val="20"/>
          <w:szCs w:val="20"/>
        </w:rPr>
        <w:t xml:space="preserve"> 2</w:t>
      </w:r>
      <w:r w:rsidRPr="00D35BFE">
        <w:rPr>
          <w:rFonts w:ascii="Arial" w:eastAsia="Batang" w:hAnsi="Arial" w:cs="Arial"/>
          <w:b/>
          <w:i/>
          <w:sz w:val="20"/>
          <w:szCs w:val="20"/>
        </w:rPr>
        <w:t xml:space="preserve">: Define a single </w:t>
      </w:r>
      <w:r w:rsidR="00345C09" w:rsidRPr="00D35BFE">
        <w:rPr>
          <w:rFonts w:ascii="Arial" w:eastAsia="Batang" w:hAnsi="Arial" w:cs="Arial"/>
          <w:b/>
          <w:i/>
          <w:sz w:val="20"/>
          <w:szCs w:val="20"/>
        </w:rPr>
        <w:t xml:space="preserve">band </w:t>
      </w:r>
      <w:r w:rsidRPr="00D35BFE">
        <w:rPr>
          <w:rFonts w:ascii="Arial" w:eastAsia="Batang" w:hAnsi="Arial" w:cs="Arial"/>
          <w:b/>
          <w:i/>
          <w:sz w:val="20"/>
          <w:szCs w:val="20"/>
        </w:rPr>
        <w:t xml:space="preserve">in </w:t>
      </w:r>
      <w:r w:rsidR="003202B2">
        <w:rPr>
          <w:rFonts w:ascii="Arial" w:eastAsia="Batang" w:hAnsi="Arial" w:cs="Arial"/>
          <w:b/>
          <w:i/>
          <w:sz w:val="20"/>
          <w:szCs w:val="20"/>
        </w:rPr>
        <w:t>the</w:t>
      </w:r>
      <w:r w:rsidRPr="00D35BFE">
        <w:rPr>
          <w:rFonts w:ascii="Arial" w:eastAsia="Batang" w:hAnsi="Arial" w:cs="Arial"/>
          <w:b/>
          <w:i/>
          <w:sz w:val="20"/>
          <w:szCs w:val="20"/>
        </w:rPr>
        <w:t xml:space="preserve"> frequency range</w:t>
      </w:r>
      <w:r w:rsidR="003202B2">
        <w:rPr>
          <w:rFonts w:ascii="Arial" w:eastAsia="Batang" w:hAnsi="Arial" w:cs="Arial"/>
          <w:b/>
          <w:i/>
          <w:sz w:val="20"/>
          <w:szCs w:val="20"/>
        </w:rPr>
        <w:t xml:space="preserve"> of</w:t>
      </w:r>
      <w:r w:rsidRPr="00D35BFE">
        <w:rPr>
          <w:rFonts w:ascii="Arial" w:eastAsia="Batang" w:hAnsi="Arial" w:cs="Arial"/>
          <w:b/>
          <w:i/>
          <w:sz w:val="20"/>
          <w:szCs w:val="20"/>
        </w:rPr>
        <w:t xml:space="preserve"> </w:t>
      </w:r>
      <w:r w:rsidR="007C0BCE" w:rsidRPr="00D35BFE">
        <w:rPr>
          <w:rFonts w:ascii="Arial" w:eastAsia="Batang" w:hAnsi="Arial" w:cs="Arial"/>
          <w:b/>
          <w:i/>
          <w:sz w:val="20"/>
          <w:szCs w:val="20"/>
        </w:rPr>
        <w:t>2</w:t>
      </w:r>
      <w:r w:rsidR="00B6522F" w:rsidRPr="00D35BFE">
        <w:rPr>
          <w:rFonts w:ascii="Arial" w:eastAsia="Batang" w:hAnsi="Arial" w:cs="Arial"/>
          <w:b/>
          <w:i/>
          <w:sz w:val="20"/>
          <w:szCs w:val="20"/>
        </w:rPr>
        <w:t>4</w:t>
      </w:r>
      <w:r w:rsidR="007C0BCE" w:rsidRPr="00D35BFE">
        <w:rPr>
          <w:rFonts w:ascii="Arial" w:eastAsia="Batang" w:hAnsi="Arial" w:cs="Arial"/>
          <w:b/>
          <w:i/>
          <w:sz w:val="20"/>
          <w:szCs w:val="20"/>
        </w:rPr>
        <w:t>.</w:t>
      </w:r>
      <w:r w:rsidR="00B6522F" w:rsidRPr="00D35BFE">
        <w:rPr>
          <w:rFonts w:ascii="Arial" w:eastAsia="Batang" w:hAnsi="Arial" w:cs="Arial"/>
          <w:b/>
          <w:i/>
          <w:sz w:val="20"/>
          <w:szCs w:val="20"/>
        </w:rPr>
        <w:t>2</w:t>
      </w:r>
      <w:r w:rsidR="007C0BCE" w:rsidRPr="00D35BFE">
        <w:rPr>
          <w:rFonts w:ascii="Arial" w:eastAsia="Batang" w:hAnsi="Arial" w:cs="Arial"/>
          <w:b/>
          <w:i/>
          <w:sz w:val="20"/>
          <w:szCs w:val="20"/>
        </w:rPr>
        <w:t>5</w:t>
      </w:r>
      <w:r w:rsidRPr="00D35BFE">
        <w:rPr>
          <w:rFonts w:ascii="Arial" w:eastAsia="Batang" w:hAnsi="Arial" w:cs="Arial"/>
          <w:b/>
          <w:i/>
          <w:sz w:val="20"/>
          <w:szCs w:val="20"/>
        </w:rPr>
        <w:t xml:space="preserve"> – </w:t>
      </w:r>
      <w:r w:rsidR="007C0BCE" w:rsidRPr="00D35BFE">
        <w:rPr>
          <w:rFonts w:ascii="Arial" w:eastAsia="Batang" w:hAnsi="Arial" w:cs="Arial"/>
          <w:b/>
          <w:i/>
          <w:sz w:val="20"/>
          <w:szCs w:val="20"/>
        </w:rPr>
        <w:t>29.5</w:t>
      </w:r>
      <w:r w:rsidRPr="00D35BFE">
        <w:rPr>
          <w:rFonts w:ascii="Arial" w:eastAsia="Batang" w:hAnsi="Arial" w:cs="Arial"/>
          <w:b/>
          <w:i/>
          <w:sz w:val="20"/>
          <w:szCs w:val="20"/>
        </w:rPr>
        <w:t xml:space="preserve"> GHz</w:t>
      </w:r>
    </w:p>
    <w:p w:rsidR="008A356D" w:rsidRPr="00D35BFE" w:rsidRDefault="00A7778D">
      <w:pPr>
        <w:rPr>
          <w:rFonts w:ascii="Arial" w:eastAsia="Batang" w:hAnsi="Arial" w:cs="Arial"/>
          <w:b/>
          <w:i/>
          <w:sz w:val="20"/>
          <w:szCs w:val="20"/>
        </w:rPr>
      </w:pPr>
      <w:r w:rsidRPr="003202B2">
        <w:rPr>
          <w:rFonts w:ascii="Arial" w:eastAsia="Batang" w:hAnsi="Arial" w:cs="Arial"/>
          <w:b/>
          <w:i/>
          <w:sz w:val="20"/>
          <w:szCs w:val="20"/>
        </w:rPr>
        <w:t>Proposal 3</w:t>
      </w:r>
      <w:r w:rsidR="008A356D" w:rsidRPr="00D35BFE">
        <w:rPr>
          <w:rFonts w:ascii="Arial" w:eastAsia="Batang" w:hAnsi="Arial" w:cs="Arial"/>
          <w:b/>
          <w:i/>
          <w:sz w:val="20"/>
          <w:szCs w:val="20"/>
        </w:rPr>
        <w:t>: Define a sing</w:t>
      </w:r>
      <w:r w:rsidR="007C0BCE" w:rsidRPr="00D35BFE">
        <w:rPr>
          <w:rFonts w:ascii="Arial" w:eastAsia="Batang" w:hAnsi="Arial" w:cs="Arial"/>
          <w:b/>
          <w:i/>
          <w:sz w:val="20"/>
          <w:szCs w:val="20"/>
        </w:rPr>
        <w:t xml:space="preserve">le band in </w:t>
      </w:r>
      <w:r w:rsidR="003202B2">
        <w:rPr>
          <w:rFonts w:ascii="Arial" w:eastAsia="Batang" w:hAnsi="Arial" w:cs="Arial"/>
          <w:b/>
          <w:i/>
          <w:sz w:val="20"/>
          <w:szCs w:val="20"/>
        </w:rPr>
        <w:t>the</w:t>
      </w:r>
      <w:r w:rsidR="007C0BCE" w:rsidRPr="00D35BFE">
        <w:rPr>
          <w:rFonts w:ascii="Arial" w:eastAsia="Batang" w:hAnsi="Arial" w:cs="Arial"/>
          <w:b/>
          <w:i/>
          <w:sz w:val="20"/>
          <w:szCs w:val="20"/>
        </w:rPr>
        <w:t xml:space="preserve"> frequency range</w:t>
      </w:r>
      <w:r w:rsidR="003202B2">
        <w:rPr>
          <w:rFonts w:ascii="Arial" w:eastAsia="Batang" w:hAnsi="Arial" w:cs="Arial"/>
          <w:b/>
          <w:i/>
          <w:sz w:val="20"/>
          <w:szCs w:val="20"/>
        </w:rPr>
        <w:t xml:space="preserve"> of</w:t>
      </w:r>
      <w:r w:rsidR="007C0BCE" w:rsidRPr="00D35BFE">
        <w:rPr>
          <w:rFonts w:ascii="Arial" w:eastAsia="Batang" w:hAnsi="Arial" w:cs="Arial"/>
          <w:b/>
          <w:i/>
          <w:sz w:val="20"/>
          <w:szCs w:val="20"/>
        </w:rPr>
        <w:t xml:space="preserve"> 37.0</w:t>
      </w:r>
      <w:r w:rsidR="008A356D" w:rsidRPr="00D35BFE">
        <w:rPr>
          <w:rFonts w:ascii="Arial" w:eastAsia="Batang" w:hAnsi="Arial" w:cs="Arial"/>
          <w:b/>
          <w:i/>
          <w:sz w:val="20"/>
          <w:szCs w:val="20"/>
        </w:rPr>
        <w:t xml:space="preserve"> – </w:t>
      </w:r>
      <w:r w:rsidR="007C0BCE" w:rsidRPr="00D35BFE">
        <w:rPr>
          <w:rFonts w:ascii="Arial" w:eastAsia="Batang" w:hAnsi="Arial" w:cs="Arial"/>
          <w:b/>
          <w:i/>
          <w:sz w:val="20"/>
          <w:szCs w:val="20"/>
        </w:rPr>
        <w:t>40.0</w:t>
      </w:r>
      <w:r w:rsidR="008A356D" w:rsidRPr="00D35BFE">
        <w:rPr>
          <w:rFonts w:ascii="Arial" w:eastAsia="Batang" w:hAnsi="Arial" w:cs="Arial"/>
          <w:b/>
          <w:i/>
          <w:sz w:val="20"/>
          <w:szCs w:val="20"/>
        </w:rPr>
        <w:t xml:space="preserve"> GHz</w:t>
      </w:r>
    </w:p>
    <w:p w:rsidR="008A356D" w:rsidRDefault="008A356D">
      <w:pPr>
        <w:rPr>
          <w:rFonts w:ascii="Arial" w:eastAsia="Batang" w:hAnsi="Arial" w:cs="Arial"/>
          <w:sz w:val="20"/>
          <w:szCs w:val="20"/>
        </w:rPr>
      </w:pPr>
    </w:p>
    <w:p w:rsidR="00DC07AE" w:rsidRDefault="00DC07AE" w:rsidP="00D35BFE">
      <w:pPr>
        <w:pStyle w:val="Heading1"/>
        <w:rPr>
          <w:sz w:val="24"/>
        </w:rPr>
      </w:pPr>
      <w:r w:rsidRPr="00C5170D">
        <w:rPr>
          <w:sz w:val="24"/>
          <w:szCs w:val="24"/>
        </w:rPr>
        <w:t>2.2.2 Front-end Architecture</w:t>
      </w:r>
    </w:p>
    <w:p w:rsidR="004F0A49" w:rsidRDefault="006541A2">
      <w:pPr>
        <w:rPr>
          <w:rFonts w:ascii="Arial" w:eastAsia="Batang" w:hAnsi="Arial" w:cs="Arial"/>
          <w:sz w:val="20"/>
          <w:szCs w:val="20"/>
        </w:rPr>
      </w:pPr>
      <w:r w:rsidRPr="00D35BFE">
        <w:rPr>
          <w:rFonts w:ascii="Arial" w:eastAsia="Batang" w:hAnsi="Arial" w:cs="Arial"/>
          <w:sz w:val="20"/>
          <w:szCs w:val="20"/>
        </w:rPr>
        <w:t>Since the supporting bandwidth (</w:t>
      </w:r>
      <w:r w:rsidR="00A56AB4">
        <w:rPr>
          <w:rFonts w:ascii="Arial" w:eastAsia="Batang" w:hAnsi="Arial" w:cs="Arial"/>
          <w:sz w:val="20"/>
          <w:szCs w:val="20"/>
        </w:rPr>
        <w:t>5250</w:t>
      </w:r>
      <w:r w:rsidRPr="00D35BFE">
        <w:rPr>
          <w:rFonts w:ascii="Arial" w:eastAsia="Batang" w:hAnsi="Arial" w:cs="Arial"/>
          <w:sz w:val="20"/>
          <w:szCs w:val="20"/>
        </w:rPr>
        <w:t xml:space="preserve"> MHz for Band </w:t>
      </w:r>
      <w:r w:rsidR="007C0BCE">
        <w:rPr>
          <w:rFonts w:ascii="Arial" w:eastAsia="Batang" w:hAnsi="Arial" w:cs="Arial"/>
          <w:sz w:val="20"/>
          <w:szCs w:val="20"/>
        </w:rPr>
        <w:t xml:space="preserve">C and </w:t>
      </w:r>
      <w:r w:rsidR="00A56AB4">
        <w:rPr>
          <w:rFonts w:ascii="Arial" w:eastAsia="Batang" w:hAnsi="Arial" w:cs="Arial"/>
          <w:sz w:val="20"/>
          <w:szCs w:val="20"/>
        </w:rPr>
        <w:t xml:space="preserve">3000 MHz for </w:t>
      </w:r>
      <w:r w:rsidR="007C0BCE">
        <w:rPr>
          <w:rFonts w:ascii="Arial" w:eastAsia="Batang" w:hAnsi="Arial" w:cs="Arial"/>
          <w:sz w:val="20"/>
          <w:szCs w:val="20"/>
        </w:rPr>
        <w:t>Band D</w:t>
      </w:r>
      <w:r w:rsidRPr="00D35BFE">
        <w:rPr>
          <w:rFonts w:ascii="Arial" w:eastAsia="Batang" w:hAnsi="Arial" w:cs="Arial"/>
          <w:sz w:val="20"/>
          <w:szCs w:val="20"/>
        </w:rPr>
        <w:t>) does prevent implementation of an acoustic type of filter with sharp roll-off, co-existence could be a concern depending on the scenarios. We will describe more detail about the scenarios that we could avoid and/or mitigate the potential coexistence problems.</w:t>
      </w:r>
    </w:p>
    <w:p w:rsidR="003202B2" w:rsidRPr="00D35BFE" w:rsidRDefault="003202B2">
      <w:pPr>
        <w:rPr>
          <w:rFonts w:ascii="Arial" w:eastAsia="Batang" w:hAnsi="Arial" w:cs="Arial"/>
          <w:sz w:val="20"/>
          <w:szCs w:val="20"/>
        </w:rPr>
      </w:pPr>
    </w:p>
    <w:p w:rsidR="006541A2" w:rsidRPr="00D35BFE" w:rsidRDefault="006541A2">
      <w:pPr>
        <w:rPr>
          <w:rFonts w:ascii="Arial" w:eastAsia="Batang" w:hAnsi="Arial" w:cs="Arial"/>
          <w:sz w:val="20"/>
          <w:szCs w:val="20"/>
        </w:rPr>
      </w:pPr>
      <w:r w:rsidRPr="00D35BFE">
        <w:rPr>
          <w:rFonts w:ascii="Arial" w:eastAsia="Batang" w:hAnsi="Arial" w:cs="Arial"/>
          <w:sz w:val="20"/>
          <w:szCs w:val="20"/>
        </w:rPr>
        <w:t>In the front-end architecture, we will use TDD as the duplexer mode. Also we will cover the bandwidths</w:t>
      </w:r>
      <w:r>
        <w:rPr>
          <w:rFonts w:ascii="Arial" w:eastAsia="Batang" w:hAnsi="Arial" w:cs="Arial"/>
          <w:sz w:val="20"/>
          <w:szCs w:val="20"/>
        </w:rPr>
        <w:t xml:space="preserve"> with a single PA</w:t>
      </w:r>
      <w:r w:rsidRPr="00D35BFE">
        <w:rPr>
          <w:rFonts w:ascii="Arial" w:eastAsia="Batang" w:hAnsi="Arial" w:cs="Arial"/>
          <w:sz w:val="20"/>
          <w:szCs w:val="20"/>
        </w:rPr>
        <w:t xml:space="preserve">. We believe that a PA supporting a broadband BW is not a big challenge and fairly common for PA’s in LTE radios to cover large BW’s with switches to route to different filters for each </w:t>
      </w:r>
      <w:r w:rsidR="008F2C6A">
        <w:rPr>
          <w:rFonts w:ascii="Arial" w:eastAsia="Batang" w:hAnsi="Arial" w:cs="Arial"/>
          <w:sz w:val="20"/>
          <w:szCs w:val="20"/>
        </w:rPr>
        <w:t xml:space="preserve">channels or </w:t>
      </w:r>
      <w:r w:rsidRPr="00D35BFE">
        <w:rPr>
          <w:rFonts w:ascii="Arial" w:eastAsia="Batang" w:hAnsi="Arial" w:cs="Arial"/>
          <w:sz w:val="20"/>
          <w:szCs w:val="20"/>
        </w:rPr>
        <w:t xml:space="preserve">bands. </w:t>
      </w:r>
      <w:r>
        <w:rPr>
          <w:rFonts w:ascii="Arial" w:eastAsia="Batang" w:hAnsi="Arial" w:cs="Arial"/>
          <w:sz w:val="20"/>
          <w:szCs w:val="20"/>
        </w:rPr>
        <w:t>Similar principal also works for LNA to mitigate an interference from other channels or bands.</w:t>
      </w:r>
    </w:p>
    <w:p w:rsidR="006541A2" w:rsidRPr="00D35BFE" w:rsidRDefault="006541A2"/>
    <w:p w:rsidR="0047429B" w:rsidRDefault="00CE3337" w:rsidP="00D35BFE">
      <w:pPr>
        <w:rPr>
          <w:rFonts w:ascii="Arial" w:eastAsia="Batang" w:hAnsi="Arial" w:cs="Arial"/>
          <w:sz w:val="20"/>
          <w:szCs w:val="20"/>
        </w:rPr>
      </w:pPr>
      <w:r>
        <w:rPr>
          <w:rFonts w:ascii="Arial" w:eastAsia="Batang" w:hAnsi="Arial" w:cs="Arial"/>
          <w:sz w:val="20"/>
          <w:szCs w:val="20"/>
        </w:rPr>
        <w:t>Detail band usage plan and associated potential co-existence scenarios</w:t>
      </w:r>
      <w:r w:rsidRPr="00D35BFE">
        <w:rPr>
          <w:rFonts w:ascii="Arial" w:eastAsia="Batang" w:hAnsi="Arial" w:cs="Arial"/>
          <w:sz w:val="20"/>
          <w:szCs w:val="20"/>
        </w:rPr>
        <w:t xml:space="preserve"> </w:t>
      </w:r>
      <w:r>
        <w:rPr>
          <w:rFonts w:ascii="Arial" w:eastAsia="Batang" w:hAnsi="Arial" w:cs="Arial"/>
          <w:sz w:val="20"/>
          <w:szCs w:val="20"/>
        </w:rPr>
        <w:t>are</w:t>
      </w:r>
      <w:r w:rsidRPr="00D35BFE">
        <w:rPr>
          <w:rFonts w:ascii="Arial" w:eastAsia="Batang" w:hAnsi="Arial" w:cs="Arial"/>
          <w:sz w:val="20"/>
          <w:szCs w:val="20"/>
        </w:rPr>
        <w:t xml:space="preserve"> </w:t>
      </w:r>
      <w:proofErr w:type="spellStart"/>
      <w:r w:rsidRPr="00D35BFE">
        <w:rPr>
          <w:rFonts w:ascii="Arial" w:eastAsia="Batang" w:hAnsi="Arial" w:cs="Arial"/>
          <w:sz w:val="20"/>
          <w:szCs w:val="20"/>
        </w:rPr>
        <w:t>FFS</w:t>
      </w:r>
      <w:proofErr w:type="spellEnd"/>
      <w:r>
        <w:rPr>
          <w:rFonts w:ascii="Arial" w:eastAsia="Batang" w:hAnsi="Arial" w:cs="Arial"/>
          <w:sz w:val="20"/>
          <w:szCs w:val="20"/>
        </w:rPr>
        <w:t>.</w:t>
      </w:r>
    </w:p>
    <w:p w:rsidR="00CE3337" w:rsidRDefault="00CE3337" w:rsidP="00D35BFE">
      <w:pPr>
        <w:rPr>
          <w:rFonts w:ascii="Arial" w:eastAsia="Batang" w:hAnsi="Arial" w:cs="Arial"/>
          <w:sz w:val="20"/>
          <w:szCs w:val="20"/>
        </w:rPr>
      </w:pPr>
    </w:p>
    <w:p w:rsidR="00CE3337" w:rsidRPr="00D35BFE" w:rsidRDefault="00CE3337" w:rsidP="00D35BFE">
      <w:pPr>
        <w:rPr>
          <w:rFonts w:ascii="Arial" w:eastAsia="Batang" w:hAnsi="Arial" w:cs="Arial"/>
          <w:b/>
          <w:i/>
          <w:sz w:val="20"/>
          <w:szCs w:val="20"/>
        </w:rPr>
      </w:pPr>
      <w:r w:rsidRPr="00D35BFE">
        <w:rPr>
          <w:rFonts w:ascii="Arial" w:eastAsia="Batang" w:hAnsi="Arial" w:cs="Arial"/>
          <w:b/>
          <w:i/>
          <w:sz w:val="20"/>
          <w:szCs w:val="20"/>
        </w:rPr>
        <w:t>Proposal 4: Detail band usage plan and associa</w:t>
      </w:r>
      <w:bookmarkStart w:id="0" w:name="_GoBack"/>
      <w:bookmarkEnd w:id="0"/>
      <w:r w:rsidRPr="00D35BFE">
        <w:rPr>
          <w:rFonts w:ascii="Arial" w:eastAsia="Batang" w:hAnsi="Arial" w:cs="Arial"/>
          <w:b/>
          <w:i/>
          <w:sz w:val="20"/>
          <w:szCs w:val="20"/>
        </w:rPr>
        <w:t>ted co-existence scenarios are FFS.</w:t>
      </w:r>
    </w:p>
    <w:p w:rsidR="00F6372E" w:rsidRPr="003403AF" w:rsidRDefault="00F6372E" w:rsidP="00F6372E">
      <w:pPr>
        <w:pStyle w:val="Heading1"/>
      </w:pPr>
      <w:r>
        <w:t>3</w:t>
      </w:r>
      <w:r>
        <w:tab/>
        <w:t>Conclusions</w:t>
      </w:r>
    </w:p>
    <w:p w:rsidR="00A7778D" w:rsidRDefault="00A7778D" w:rsidP="00066DAD">
      <w:pPr>
        <w:rPr>
          <w:rFonts w:ascii="Arial" w:hAnsi="Arial" w:cs="Arial"/>
          <w:sz w:val="20"/>
          <w:szCs w:val="20"/>
        </w:rPr>
      </w:pPr>
      <w:r>
        <w:rPr>
          <w:rFonts w:ascii="Arial" w:hAnsi="Arial" w:cs="Arial"/>
          <w:sz w:val="20"/>
          <w:szCs w:val="20"/>
        </w:rPr>
        <w:t>In this contribution, the following proposals</w:t>
      </w:r>
      <w:r w:rsidR="00FF73D8">
        <w:rPr>
          <w:rFonts w:ascii="Arial" w:hAnsi="Arial" w:cs="Arial"/>
          <w:sz w:val="20"/>
          <w:szCs w:val="20"/>
        </w:rPr>
        <w:t xml:space="preserve"> were made</w:t>
      </w:r>
      <w:r>
        <w:rPr>
          <w:rFonts w:ascii="Arial" w:hAnsi="Arial" w:cs="Arial"/>
          <w:sz w:val="20"/>
          <w:szCs w:val="20"/>
        </w:rPr>
        <w:t>:</w:t>
      </w:r>
    </w:p>
    <w:p w:rsidR="00A7778D" w:rsidRPr="00D35BFE" w:rsidRDefault="00A7778D" w:rsidP="00066DAD">
      <w:pPr>
        <w:rPr>
          <w:rFonts w:ascii="Arial" w:hAnsi="Arial" w:cs="Arial"/>
          <w:sz w:val="20"/>
          <w:szCs w:val="20"/>
        </w:rPr>
      </w:pPr>
    </w:p>
    <w:p w:rsidR="00066DAD" w:rsidRPr="00D35BFE" w:rsidRDefault="00066DAD" w:rsidP="00066DAD">
      <w:pPr>
        <w:rPr>
          <w:rFonts w:ascii="Arial" w:hAnsi="Arial" w:cs="Arial"/>
          <w:b/>
          <w:i/>
          <w:sz w:val="20"/>
          <w:szCs w:val="20"/>
        </w:rPr>
      </w:pPr>
      <w:r w:rsidRPr="003202B2">
        <w:rPr>
          <w:rFonts w:ascii="Arial" w:hAnsi="Arial" w:cs="Arial"/>
          <w:b/>
          <w:i/>
          <w:sz w:val="20"/>
          <w:szCs w:val="20"/>
        </w:rPr>
        <w:t>Proposal 1</w:t>
      </w:r>
      <w:r w:rsidRPr="00D35BFE">
        <w:rPr>
          <w:rFonts w:ascii="Arial" w:hAnsi="Arial" w:cs="Arial"/>
          <w:b/>
          <w:i/>
          <w:sz w:val="20"/>
          <w:szCs w:val="20"/>
        </w:rPr>
        <w:t>: TDD should be adapted exclusively for new spectrums to enable key NR features.</w:t>
      </w:r>
    </w:p>
    <w:p w:rsidR="00036DED" w:rsidRPr="00D35BFE" w:rsidRDefault="00036DED" w:rsidP="00036DED">
      <w:pPr>
        <w:rPr>
          <w:rFonts w:ascii="Arial" w:eastAsia="Batang" w:hAnsi="Arial" w:cs="Arial"/>
          <w:b/>
          <w:i/>
          <w:sz w:val="20"/>
          <w:szCs w:val="20"/>
        </w:rPr>
      </w:pPr>
      <w:r w:rsidRPr="003202B2">
        <w:rPr>
          <w:rFonts w:ascii="Arial" w:eastAsia="Batang" w:hAnsi="Arial" w:cs="Arial"/>
          <w:b/>
          <w:i/>
          <w:sz w:val="20"/>
          <w:szCs w:val="20"/>
        </w:rPr>
        <w:t>Proposal 2</w:t>
      </w:r>
      <w:r w:rsidRPr="00D35BFE">
        <w:rPr>
          <w:rFonts w:ascii="Arial" w:eastAsia="Batang" w:hAnsi="Arial" w:cs="Arial"/>
          <w:b/>
          <w:i/>
          <w:sz w:val="20"/>
          <w:szCs w:val="20"/>
        </w:rPr>
        <w:t xml:space="preserve">: Define a single </w:t>
      </w:r>
      <w:r w:rsidR="00A56AB4" w:rsidRPr="00D35BFE">
        <w:rPr>
          <w:rFonts w:ascii="Arial" w:eastAsia="Batang" w:hAnsi="Arial" w:cs="Arial"/>
          <w:b/>
          <w:i/>
          <w:sz w:val="20"/>
          <w:szCs w:val="20"/>
        </w:rPr>
        <w:t xml:space="preserve">band </w:t>
      </w:r>
      <w:r w:rsidRPr="00D35BFE">
        <w:rPr>
          <w:rFonts w:ascii="Arial" w:eastAsia="Batang" w:hAnsi="Arial" w:cs="Arial"/>
          <w:b/>
          <w:i/>
          <w:sz w:val="20"/>
          <w:szCs w:val="20"/>
        </w:rPr>
        <w:t xml:space="preserve">in </w:t>
      </w:r>
      <w:r w:rsidR="003202B2">
        <w:rPr>
          <w:rFonts w:ascii="Arial" w:eastAsia="Batang" w:hAnsi="Arial" w:cs="Arial"/>
          <w:b/>
          <w:i/>
          <w:sz w:val="20"/>
          <w:szCs w:val="20"/>
        </w:rPr>
        <w:t>the</w:t>
      </w:r>
      <w:r w:rsidRPr="00D35BFE">
        <w:rPr>
          <w:rFonts w:ascii="Arial" w:eastAsia="Batang" w:hAnsi="Arial" w:cs="Arial"/>
          <w:b/>
          <w:i/>
          <w:sz w:val="20"/>
          <w:szCs w:val="20"/>
        </w:rPr>
        <w:t xml:space="preserve"> frequency range </w:t>
      </w:r>
      <w:r w:rsidR="003202B2">
        <w:rPr>
          <w:rFonts w:ascii="Arial" w:eastAsia="Batang" w:hAnsi="Arial" w:cs="Arial"/>
          <w:b/>
          <w:i/>
          <w:sz w:val="20"/>
          <w:szCs w:val="20"/>
        </w:rPr>
        <w:t xml:space="preserve">of </w:t>
      </w:r>
      <w:r w:rsidRPr="00D35BFE">
        <w:rPr>
          <w:rFonts w:ascii="Arial" w:eastAsia="Batang" w:hAnsi="Arial" w:cs="Arial"/>
          <w:b/>
          <w:i/>
          <w:sz w:val="20"/>
          <w:szCs w:val="20"/>
        </w:rPr>
        <w:t>2</w:t>
      </w:r>
      <w:r w:rsidR="00A56AB4" w:rsidRPr="00D35BFE">
        <w:rPr>
          <w:rFonts w:ascii="Arial" w:eastAsia="Batang" w:hAnsi="Arial" w:cs="Arial"/>
          <w:b/>
          <w:i/>
          <w:sz w:val="20"/>
          <w:szCs w:val="20"/>
        </w:rPr>
        <w:t>4</w:t>
      </w:r>
      <w:r w:rsidRPr="00D35BFE">
        <w:rPr>
          <w:rFonts w:ascii="Arial" w:eastAsia="Batang" w:hAnsi="Arial" w:cs="Arial"/>
          <w:b/>
          <w:i/>
          <w:sz w:val="20"/>
          <w:szCs w:val="20"/>
        </w:rPr>
        <w:t>.</w:t>
      </w:r>
      <w:r w:rsidR="00A56AB4" w:rsidRPr="00D35BFE">
        <w:rPr>
          <w:rFonts w:ascii="Arial" w:eastAsia="Batang" w:hAnsi="Arial" w:cs="Arial"/>
          <w:b/>
          <w:i/>
          <w:sz w:val="20"/>
          <w:szCs w:val="20"/>
        </w:rPr>
        <w:t>2</w:t>
      </w:r>
      <w:r w:rsidRPr="00D35BFE">
        <w:rPr>
          <w:rFonts w:ascii="Arial" w:eastAsia="Batang" w:hAnsi="Arial" w:cs="Arial"/>
          <w:b/>
          <w:i/>
          <w:sz w:val="20"/>
          <w:szCs w:val="20"/>
        </w:rPr>
        <w:t>5 – 29.5 GHz</w:t>
      </w:r>
    </w:p>
    <w:p w:rsidR="00036DED" w:rsidRPr="00D35BFE" w:rsidRDefault="00036DED" w:rsidP="00036DED">
      <w:pPr>
        <w:rPr>
          <w:rFonts w:ascii="Arial" w:eastAsia="Batang" w:hAnsi="Arial" w:cs="Arial"/>
          <w:b/>
          <w:i/>
          <w:sz w:val="20"/>
          <w:szCs w:val="20"/>
        </w:rPr>
      </w:pPr>
      <w:r w:rsidRPr="003202B2">
        <w:rPr>
          <w:rFonts w:ascii="Arial" w:eastAsia="Batang" w:hAnsi="Arial" w:cs="Arial"/>
          <w:b/>
          <w:i/>
          <w:sz w:val="20"/>
          <w:szCs w:val="20"/>
        </w:rPr>
        <w:t>Proposal 3</w:t>
      </w:r>
      <w:r w:rsidRPr="00D35BFE">
        <w:rPr>
          <w:rFonts w:ascii="Arial" w:eastAsia="Batang" w:hAnsi="Arial" w:cs="Arial"/>
          <w:b/>
          <w:i/>
          <w:sz w:val="20"/>
          <w:szCs w:val="20"/>
        </w:rPr>
        <w:t xml:space="preserve">: Define a single band in </w:t>
      </w:r>
      <w:r w:rsidR="003202B2">
        <w:rPr>
          <w:rFonts w:ascii="Arial" w:eastAsia="Batang" w:hAnsi="Arial" w:cs="Arial"/>
          <w:b/>
          <w:i/>
          <w:sz w:val="20"/>
          <w:szCs w:val="20"/>
        </w:rPr>
        <w:t>the</w:t>
      </w:r>
      <w:r w:rsidRPr="00D35BFE">
        <w:rPr>
          <w:rFonts w:ascii="Arial" w:eastAsia="Batang" w:hAnsi="Arial" w:cs="Arial"/>
          <w:b/>
          <w:i/>
          <w:sz w:val="20"/>
          <w:szCs w:val="20"/>
        </w:rPr>
        <w:t xml:space="preserve"> frequency range </w:t>
      </w:r>
      <w:r w:rsidR="003202B2">
        <w:rPr>
          <w:rFonts w:ascii="Arial" w:eastAsia="Batang" w:hAnsi="Arial" w:cs="Arial"/>
          <w:b/>
          <w:i/>
          <w:sz w:val="20"/>
          <w:szCs w:val="20"/>
        </w:rPr>
        <w:t xml:space="preserve">of </w:t>
      </w:r>
      <w:r w:rsidRPr="00D35BFE">
        <w:rPr>
          <w:rFonts w:ascii="Arial" w:eastAsia="Batang" w:hAnsi="Arial" w:cs="Arial"/>
          <w:b/>
          <w:i/>
          <w:sz w:val="20"/>
          <w:szCs w:val="20"/>
        </w:rPr>
        <w:t>37.0 – 40.0 GHz</w:t>
      </w:r>
    </w:p>
    <w:p w:rsidR="00CE3337" w:rsidRPr="00D35BFE" w:rsidRDefault="00CE3337" w:rsidP="00CE3337">
      <w:pPr>
        <w:rPr>
          <w:rFonts w:ascii="Arial" w:eastAsia="Batang" w:hAnsi="Arial" w:cs="Arial"/>
          <w:b/>
          <w:i/>
          <w:sz w:val="20"/>
          <w:szCs w:val="20"/>
        </w:rPr>
      </w:pPr>
      <w:r w:rsidRPr="003202B2">
        <w:rPr>
          <w:rFonts w:ascii="Arial" w:eastAsia="Batang" w:hAnsi="Arial" w:cs="Arial"/>
          <w:b/>
          <w:i/>
          <w:sz w:val="20"/>
          <w:szCs w:val="20"/>
        </w:rPr>
        <w:t>Proposal 4</w:t>
      </w:r>
      <w:r w:rsidRPr="00D35BFE">
        <w:rPr>
          <w:rFonts w:ascii="Arial" w:eastAsia="Batang" w:hAnsi="Arial" w:cs="Arial"/>
          <w:b/>
          <w:i/>
          <w:sz w:val="20"/>
          <w:szCs w:val="20"/>
        </w:rPr>
        <w:t>: Detail band usage plan and associated co-existence scenarios are FFS.</w:t>
      </w:r>
    </w:p>
    <w:p w:rsidR="00066DAD" w:rsidRDefault="00066DAD" w:rsidP="00F6372E"/>
    <w:p w:rsidR="00F6372E" w:rsidRPr="003403AF" w:rsidRDefault="00F6372E" w:rsidP="00F6372E">
      <w:pPr>
        <w:pStyle w:val="Heading1"/>
      </w:pPr>
      <w:r>
        <w:t>4</w:t>
      </w:r>
      <w:r>
        <w:tab/>
        <w:t>Reference</w:t>
      </w:r>
    </w:p>
    <w:p w:rsidR="00F6372E" w:rsidRDefault="00F6372E" w:rsidP="00F6372E"/>
    <w:p w:rsidR="00470A68" w:rsidRPr="00D35BFE" w:rsidRDefault="00470A68" w:rsidP="00F36577">
      <w:pPr>
        <w:numPr>
          <w:ilvl w:val="0"/>
          <w:numId w:val="5"/>
        </w:numPr>
        <w:tabs>
          <w:tab w:val="num" w:pos="426"/>
        </w:tabs>
        <w:autoSpaceDN w:val="0"/>
        <w:spacing w:after="180"/>
        <w:ind w:left="426" w:hanging="426"/>
        <w:rPr>
          <w:lang w:val="it-IT"/>
        </w:rPr>
      </w:pPr>
      <w:r>
        <w:rPr>
          <w:lang w:val="it-IT"/>
        </w:rPr>
        <w:t>RP-162214, “Consideration on new band structure for 5G”, Huawei</w:t>
      </w:r>
    </w:p>
    <w:p w:rsidR="00F6372E" w:rsidRPr="00F72FF6" w:rsidRDefault="007D74F6" w:rsidP="00F36577">
      <w:pPr>
        <w:numPr>
          <w:ilvl w:val="0"/>
          <w:numId w:val="5"/>
        </w:numPr>
        <w:tabs>
          <w:tab w:val="num" w:pos="426"/>
        </w:tabs>
        <w:autoSpaceDN w:val="0"/>
        <w:spacing w:after="180"/>
        <w:ind w:left="426" w:hanging="426"/>
        <w:rPr>
          <w:lang w:val="it-IT"/>
        </w:rPr>
      </w:pPr>
      <w:r>
        <w:t>R4-1700304, “WF on NR spectra related work”, NTT DoCoMo</w:t>
      </w:r>
    </w:p>
    <w:p w:rsidR="00190B4F" w:rsidRPr="007D74F6" w:rsidRDefault="00190B4F">
      <w:pPr>
        <w:rPr>
          <w:lang w:val="it-IT"/>
        </w:rPr>
      </w:pPr>
    </w:p>
    <w:sectPr w:rsidR="00190B4F" w:rsidRPr="007D74F6"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trackRevisions/>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36DED"/>
    <w:rsid w:val="00066DAD"/>
    <w:rsid w:val="00085015"/>
    <w:rsid w:val="000A51BA"/>
    <w:rsid w:val="000E151A"/>
    <w:rsid w:val="000F7E79"/>
    <w:rsid w:val="00101722"/>
    <w:rsid w:val="001168D0"/>
    <w:rsid w:val="00123505"/>
    <w:rsid w:val="001555D3"/>
    <w:rsid w:val="00177830"/>
    <w:rsid w:val="00190B4F"/>
    <w:rsid w:val="001A1883"/>
    <w:rsid w:val="001A7549"/>
    <w:rsid w:val="001B5E63"/>
    <w:rsid w:val="001C33F9"/>
    <w:rsid w:val="001C70A8"/>
    <w:rsid w:val="00206BD7"/>
    <w:rsid w:val="002415E5"/>
    <w:rsid w:val="0025151E"/>
    <w:rsid w:val="0026735E"/>
    <w:rsid w:val="00285D3E"/>
    <w:rsid w:val="002917BE"/>
    <w:rsid w:val="00293C3B"/>
    <w:rsid w:val="002A15D3"/>
    <w:rsid w:val="002A1C61"/>
    <w:rsid w:val="002B1D9D"/>
    <w:rsid w:val="002B474C"/>
    <w:rsid w:val="002B4F10"/>
    <w:rsid w:val="003202B2"/>
    <w:rsid w:val="0034530C"/>
    <w:rsid w:val="00345C09"/>
    <w:rsid w:val="00376BB9"/>
    <w:rsid w:val="003E5457"/>
    <w:rsid w:val="00400ABE"/>
    <w:rsid w:val="004011F4"/>
    <w:rsid w:val="00423803"/>
    <w:rsid w:val="004256EB"/>
    <w:rsid w:val="004412E2"/>
    <w:rsid w:val="004502E5"/>
    <w:rsid w:val="00455FAF"/>
    <w:rsid w:val="00466D7C"/>
    <w:rsid w:val="00470A68"/>
    <w:rsid w:val="0047429B"/>
    <w:rsid w:val="0049472C"/>
    <w:rsid w:val="004A4116"/>
    <w:rsid w:val="004C27C3"/>
    <w:rsid w:val="004C579F"/>
    <w:rsid w:val="004E3E79"/>
    <w:rsid w:val="004E66F6"/>
    <w:rsid w:val="004F0A49"/>
    <w:rsid w:val="004F20D8"/>
    <w:rsid w:val="004F46D9"/>
    <w:rsid w:val="00512FAC"/>
    <w:rsid w:val="005314B7"/>
    <w:rsid w:val="0055662B"/>
    <w:rsid w:val="00586B85"/>
    <w:rsid w:val="005E1F80"/>
    <w:rsid w:val="005E6416"/>
    <w:rsid w:val="00645CB5"/>
    <w:rsid w:val="006541A2"/>
    <w:rsid w:val="00674B0A"/>
    <w:rsid w:val="006B7A4A"/>
    <w:rsid w:val="006D5790"/>
    <w:rsid w:val="007514FF"/>
    <w:rsid w:val="0076402E"/>
    <w:rsid w:val="0077386F"/>
    <w:rsid w:val="007C0472"/>
    <w:rsid w:val="007C0BCE"/>
    <w:rsid w:val="007C2563"/>
    <w:rsid w:val="007D4DCD"/>
    <w:rsid w:val="007D609F"/>
    <w:rsid w:val="007D74F6"/>
    <w:rsid w:val="007F1258"/>
    <w:rsid w:val="00804089"/>
    <w:rsid w:val="00806C7F"/>
    <w:rsid w:val="0087684A"/>
    <w:rsid w:val="00886FA5"/>
    <w:rsid w:val="008A356D"/>
    <w:rsid w:val="008E1065"/>
    <w:rsid w:val="008F2C6A"/>
    <w:rsid w:val="00910122"/>
    <w:rsid w:val="00912522"/>
    <w:rsid w:val="00936AFB"/>
    <w:rsid w:val="009411FF"/>
    <w:rsid w:val="0096238E"/>
    <w:rsid w:val="0098559A"/>
    <w:rsid w:val="009C076D"/>
    <w:rsid w:val="009C34E1"/>
    <w:rsid w:val="009F5140"/>
    <w:rsid w:val="00A1428C"/>
    <w:rsid w:val="00A32281"/>
    <w:rsid w:val="00A56AB4"/>
    <w:rsid w:val="00A7120E"/>
    <w:rsid w:val="00A7778D"/>
    <w:rsid w:val="00AD7789"/>
    <w:rsid w:val="00AE6FAA"/>
    <w:rsid w:val="00AF7EA3"/>
    <w:rsid w:val="00B14FC5"/>
    <w:rsid w:val="00B430A7"/>
    <w:rsid w:val="00B467EE"/>
    <w:rsid w:val="00B6522F"/>
    <w:rsid w:val="00BC2768"/>
    <w:rsid w:val="00BE23F0"/>
    <w:rsid w:val="00BF4D25"/>
    <w:rsid w:val="00C67AB5"/>
    <w:rsid w:val="00C72E18"/>
    <w:rsid w:val="00CB3D00"/>
    <w:rsid w:val="00CE01D3"/>
    <w:rsid w:val="00CE3337"/>
    <w:rsid w:val="00D30C01"/>
    <w:rsid w:val="00D35BFE"/>
    <w:rsid w:val="00D8255D"/>
    <w:rsid w:val="00D85090"/>
    <w:rsid w:val="00DC07AE"/>
    <w:rsid w:val="00E16374"/>
    <w:rsid w:val="00E437B4"/>
    <w:rsid w:val="00E47F98"/>
    <w:rsid w:val="00E53CAC"/>
    <w:rsid w:val="00E608F8"/>
    <w:rsid w:val="00E70408"/>
    <w:rsid w:val="00E77343"/>
    <w:rsid w:val="00EA79F5"/>
    <w:rsid w:val="00EB089B"/>
    <w:rsid w:val="00ED53ED"/>
    <w:rsid w:val="00EE333A"/>
    <w:rsid w:val="00F047B1"/>
    <w:rsid w:val="00F32F9F"/>
    <w:rsid w:val="00F55C0D"/>
    <w:rsid w:val="00F6372E"/>
    <w:rsid w:val="00F72FF6"/>
    <w:rsid w:val="00F8056C"/>
    <w:rsid w:val="00FA1C35"/>
    <w:rsid w:val="00FA20A2"/>
    <w:rsid w:val="00FD3136"/>
    <w:rsid w:val="00FF73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2B4F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4F10"/>
    <w:rPr>
      <w:rFonts w:ascii="Segoe UI" w:eastAsia="MS Mincho"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Kim, Jiwoo</cp:lastModifiedBy>
  <cp:revision>4</cp:revision>
  <dcterms:created xsi:type="dcterms:W3CDTF">2017-02-03T01:37:00Z</dcterms:created>
  <dcterms:modified xsi:type="dcterms:W3CDTF">2017-02-03T01:39:00Z</dcterms:modified>
</cp:coreProperties>
</file>