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A512D3" w:rsidP="00A512D3">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B0721C">
        <w:rPr>
          <w:rFonts w:ascii="Arial" w:hAnsi="Arial" w:cs="Arial"/>
          <w:sz w:val="28"/>
        </w:rPr>
        <w:t>10151</w:t>
      </w:r>
      <w:bookmarkStart w:id="0" w:name="_GoBack"/>
      <w:bookmarkEnd w:id="0"/>
    </w:p>
    <w:p w:rsidR="00A512D3" w:rsidRPr="00E70B0E" w:rsidRDefault="00A512D3" w:rsidP="00A512D3">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600C52">
        <w:rPr>
          <w:rFonts w:ascii="Arial" w:hAnsi="Arial"/>
          <w:b/>
        </w:rPr>
        <w:t>1</w:t>
      </w:r>
      <w:r w:rsidR="00A512D3">
        <w:rPr>
          <w:rFonts w:ascii="Arial" w:hAnsi="Arial"/>
          <w:b/>
        </w:rPr>
        <w:t>1</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00C52">
        <w:rPr>
          <w:rFonts w:ascii="Arial" w:hAnsi="Arial" w:cs="Arial"/>
          <w:b/>
        </w:rPr>
        <w:t xml:space="preserve">Proposal on </w:t>
      </w:r>
      <w:r w:rsidR="00194E04">
        <w:rPr>
          <w:rFonts w:ascii="Arial" w:hAnsi="Arial" w:cs="Arial"/>
          <w:b/>
        </w:rPr>
        <w:t xml:space="preserve">urban </w:t>
      </w:r>
      <w:proofErr w:type="spellStart"/>
      <w:r w:rsidR="00194E04">
        <w:rPr>
          <w:rFonts w:ascii="Arial" w:hAnsi="Arial" w:cs="Arial"/>
          <w:b/>
        </w:rPr>
        <w:t>marco</w:t>
      </w:r>
      <w:proofErr w:type="spellEnd"/>
      <w:r w:rsidR="00194E04">
        <w:rPr>
          <w:rFonts w:ascii="Arial" w:hAnsi="Arial" w:cs="Arial"/>
          <w:b/>
        </w:rPr>
        <w:t xml:space="preserve"> i</w:t>
      </w:r>
      <w:r w:rsidR="00194E04" w:rsidRPr="00194E04">
        <w:rPr>
          <w:rFonts w:ascii="Arial" w:hAnsi="Arial" w:cs="Arial"/>
          <w:b/>
        </w:rPr>
        <w:t>ndoor UE ratio</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provides the simulation results using the agreed assumptions</w:t>
      </w:r>
      <w:r w:rsidR="00A512D3">
        <w:rPr>
          <w:rFonts w:eastAsia="宋体"/>
          <w:szCs w:val="21"/>
          <w:lang w:eastAsia="zh-CN"/>
        </w:rPr>
        <w:t xml:space="preserve"> (with the necessary correction on the constant in the </w:t>
      </w:r>
      <w:proofErr w:type="spellStart"/>
      <w:r w:rsidR="00A512D3" w:rsidRPr="00BD1CC5">
        <w:rPr>
          <w:rFonts w:hint="eastAsia"/>
          <w:lang w:eastAsia="ko-KR"/>
        </w:rPr>
        <w:t>UMa</w:t>
      </w:r>
      <w:proofErr w:type="spellEnd"/>
      <w:r w:rsidR="00A512D3" w:rsidRPr="00A512D3">
        <w:t xml:space="preserve"> </w:t>
      </w:r>
      <w:r w:rsidR="00A512D3" w:rsidRPr="00BD1CC5">
        <w:t>LOS probability</w:t>
      </w:r>
      <w:r w:rsidR="00A512D3">
        <w:t xml:space="preserve"> formula from ‘36’ to ‘63’)</w:t>
      </w:r>
      <w:r w:rsidR="008D2B77">
        <w:rPr>
          <w:rFonts w:eastAsia="宋体"/>
          <w:szCs w:val="21"/>
          <w:lang w:eastAsia="zh-CN"/>
        </w:rPr>
        <w:t xml:space="preserve">,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194E04">
        <w:rPr>
          <w:rFonts w:eastAsia="宋体"/>
          <w:szCs w:val="21"/>
          <w:lang w:eastAsia="zh-CN"/>
        </w:rPr>
        <w:t>indoor</w:t>
      </w:r>
      <w:r w:rsidR="00A512D3" w:rsidRPr="00A512D3">
        <w:rPr>
          <w:rFonts w:eastAsia="宋体"/>
          <w:szCs w:val="21"/>
          <w:lang w:eastAsia="zh-CN"/>
        </w:rPr>
        <w:t xml:space="preserve"> UE </w:t>
      </w:r>
      <w:r w:rsidR="00194E04">
        <w:rPr>
          <w:rFonts w:eastAsia="宋体"/>
          <w:szCs w:val="21"/>
          <w:lang w:eastAsia="zh-CN"/>
        </w:rPr>
        <w:t>ratio in the urban macro scenario</w:t>
      </w:r>
      <w:r w:rsidR="00480C88">
        <w:rPr>
          <w:rFonts w:eastAsia="宋体"/>
          <w:szCs w:val="21"/>
          <w:lang w:eastAsia="zh-CN"/>
        </w:rPr>
        <w:t xml:space="preserve">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194E04">
        <w:rPr>
          <w:rFonts w:eastAsia="宋体"/>
          <w:szCs w:val="21"/>
          <w:lang w:eastAsia="zh-CN"/>
        </w:rPr>
        <w:t>indoor</w:t>
      </w:r>
      <w:r w:rsidR="00194E04" w:rsidRPr="00A512D3">
        <w:rPr>
          <w:rFonts w:eastAsia="宋体"/>
          <w:szCs w:val="21"/>
          <w:lang w:eastAsia="zh-CN"/>
        </w:rPr>
        <w:t xml:space="preserve"> UE </w:t>
      </w:r>
      <w:r w:rsidR="00194E04">
        <w:rPr>
          <w:rFonts w:eastAsia="宋体"/>
          <w:szCs w:val="21"/>
          <w:lang w:eastAsia="zh-CN"/>
        </w:rPr>
        <w:t>ratio</w:t>
      </w:r>
      <w:r w:rsidR="00B9167A">
        <w:rPr>
          <w:rFonts w:eastAsia="宋体"/>
          <w:szCs w:val="21"/>
          <w:lang w:eastAsia="zh-CN"/>
        </w:rPr>
        <w:t>s</w:t>
      </w:r>
      <w:r w:rsidR="00194E04">
        <w:rPr>
          <w:rFonts w:eastAsia="宋体"/>
          <w:szCs w:val="21"/>
          <w:lang w:eastAsia="zh-CN"/>
        </w:rPr>
        <w:t xml:space="preserve"> in the urban macro scenario </w:t>
      </w:r>
      <w:r>
        <w:rPr>
          <w:szCs w:val="20"/>
          <w:lang w:val="en-GB" w:eastAsia="en-GB"/>
        </w:rPr>
        <w:t>were a</w:t>
      </w:r>
      <w:r w:rsidR="00480C88">
        <w:rPr>
          <w:szCs w:val="20"/>
          <w:lang w:val="en-GB" w:eastAsia="en-GB"/>
        </w:rPr>
        <w:t>ssum</w:t>
      </w:r>
      <w:r>
        <w:rPr>
          <w:szCs w:val="20"/>
          <w:lang w:val="en-GB" w:eastAsia="en-GB"/>
        </w:rPr>
        <w:t>ed in the way forward [5]:</w:t>
      </w:r>
    </w:p>
    <w:p w:rsidR="00A7412A" w:rsidRDefault="00A7412A" w:rsidP="00A7412A">
      <w:pPr>
        <w:pStyle w:val="TH"/>
      </w:pPr>
      <w:r w:rsidRPr="00C1714A">
        <w:t xml:space="preserve">Table 1: </w:t>
      </w:r>
      <w:r>
        <w:t>A</w:t>
      </w:r>
      <w:r w:rsidR="00480C88">
        <w:t>ssume</w:t>
      </w:r>
      <w:r>
        <w:t xml:space="preserve">d </w:t>
      </w:r>
      <w:r w:rsidR="00194E04">
        <w:rPr>
          <w:rFonts w:eastAsia="宋体"/>
          <w:szCs w:val="21"/>
          <w:lang w:eastAsia="zh-CN"/>
        </w:rPr>
        <w:t>indoor</w:t>
      </w:r>
      <w:r w:rsidR="00194E04" w:rsidRPr="00A512D3">
        <w:rPr>
          <w:rFonts w:eastAsia="宋体"/>
          <w:szCs w:val="21"/>
          <w:lang w:eastAsia="zh-CN"/>
        </w:rPr>
        <w:t xml:space="preserve"> UE </w:t>
      </w:r>
      <w:r w:rsidR="00194E04">
        <w:rPr>
          <w:rFonts w:eastAsia="宋体"/>
          <w:szCs w:val="21"/>
          <w:lang w:eastAsia="zh-CN"/>
        </w:rPr>
        <w:t>ratio</w:t>
      </w:r>
      <w:r w:rsidR="00B9167A">
        <w:rPr>
          <w:rFonts w:eastAsia="宋体"/>
          <w:szCs w:val="21"/>
          <w:lang w:eastAsia="zh-CN"/>
        </w:rPr>
        <w:t>s</w:t>
      </w:r>
      <w:r w:rsidR="00194E04">
        <w:rPr>
          <w:rFonts w:eastAsia="宋体"/>
          <w:szCs w:val="21"/>
          <w:lang w:eastAsia="zh-CN"/>
        </w:rPr>
        <w:t xml:space="preserve"> in the urban macro scenario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194E04" w:rsidRPr="00BD1CC5" w:rsidTr="00B46745">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BD1CC5" w:rsidRDefault="00194E04" w:rsidP="00B46745">
            <w:pPr>
              <w:jc w:val="center"/>
              <w:rPr>
                <w:rFonts w:ascii="Arial" w:eastAsia="MS PGothic" w:hAnsi="Arial" w:cs="Arial"/>
                <w:lang w:eastAsia="ja-JP"/>
              </w:rPr>
            </w:pPr>
            <w:bookmarkStart w:id="4" w:name="_Toc336211415"/>
            <w:r w:rsidRPr="00BD1CC5">
              <w:rPr>
                <w:rFonts w:ascii="Arial" w:eastAsia="宋体"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 </w:t>
            </w:r>
          </w:p>
        </w:tc>
      </w:tr>
      <w:tr w:rsidR="00194E04" w:rsidRPr="00BD1CC5" w:rsidTr="00B46745">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94E04" w:rsidRPr="00BD1CC5" w:rsidRDefault="00194E04" w:rsidP="00B46745">
            <w:pPr>
              <w:rPr>
                <w:rFonts w:ascii="Arial" w:eastAsia="MS PGothic" w:hAnsi="Arial" w:cs="Arial"/>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194E04" w:rsidRDefault="00194E04" w:rsidP="00B46745">
            <w:pPr>
              <w:jc w:val="center"/>
              <w:rPr>
                <w:rFonts w:ascii="Arial" w:eastAsia="MS Mincho" w:hAnsi="Arial"/>
                <w:kern w:val="24"/>
                <w:lang w:eastAsia="ja-JP"/>
              </w:rPr>
            </w:pPr>
            <w:r w:rsidRPr="00194E04">
              <w:rPr>
                <w:rFonts w:ascii="Arial" w:eastAsia="MS Mincho" w:hAnsi="Arial" w:hint="eastAsia"/>
                <w:kern w:val="24"/>
                <w:lang w:eastAsia="ja-JP"/>
              </w:rPr>
              <w:t>Case 1: 80%</w:t>
            </w:r>
          </w:p>
          <w:p w:rsidR="00194E04" w:rsidRPr="00194E04" w:rsidRDefault="00194E04" w:rsidP="00B46745">
            <w:pPr>
              <w:jc w:val="center"/>
              <w:rPr>
                <w:rFonts w:ascii="Arial" w:eastAsia="MS Mincho" w:hAnsi="Arial" w:cs="Arial"/>
                <w:lang w:eastAsia="ja-JP"/>
              </w:rPr>
            </w:pPr>
            <w:r w:rsidRPr="00194E04">
              <w:rPr>
                <w:rFonts w:ascii="Arial" w:eastAsia="MS Mincho" w:hAnsi="Arial" w:hint="eastAsia"/>
                <w:kern w:val="24"/>
                <w:lang w:eastAsia="ja-JP"/>
              </w:rPr>
              <w:t>Case 2: 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E33535" w:rsidRDefault="00194E04" w:rsidP="00B46745">
            <w:pPr>
              <w:jc w:val="center"/>
              <w:rPr>
                <w:rFonts w:ascii="Arial" w:eastAsia="MS Mincho" w:hAnsi="Arial" w:cs="Arial"/>
                <w:highlight w:val="yellow"/>
                <w:lang w:eastAsia="ja-JP"/>
              </w:rPr>
            </w:pPr>
            <w:r w:rsidRPr="00BE4D68">
              <w:rPr>
                <w:rFonts w:ascii="Arial" w:eastAsia="MS Mincho" w:hAnsi="Arial" w:hint="eastAsia"/>
                <w:kern w:val="24"/>
                <w:lang w:eastAsia="ja-JP"/>
              </w:rPr>
              <w:t>Note 1, 2</w:t>
            </w:r>
          </w:p>
        </w:tc>
      </w:tr>
      <w:tr w:rsidR="00194E04" w:rsidRPr="00BD1CC5" w:rsidTr="00B46745">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94E04" w:rsidRPr="00194E04" w:rsidRDefault="00194E04" w:rsidP="00B46745">
            <w:pPr>
              <w:rPr>
                <w:rFonts w:ascii="Arial" w:eastAsia="MS Mincho" w:hAnsi="Arial"/>
                <w:kern w:val="24"/>
                <w:lang w:eastAsia="ja-JP"/>
              </w:rPr>
            </w:pPr>
            <w:r w:rsidRPr="00194E04">
              <w:rPr>
                <w:rFonts w:ascii="Arial" w:eastAsia="MS Mincho" w:hAnsi="Arial" w:hint="eastAsia"/>
                <w:kern w:val="24"/>
                <w:lang w:eastAsia="ja-JP"/>
              </w:rPr>
              <w:t xml:space="preserve">Note: </w:t>
            </w:r>
            <w:r w:rsidRPr="00194E04">
              <w:rPr>
                <w:rFonts w:ascii="Arial" w:eastAsia="MS Mincho" w:hAnsi="Arial"/>
                <w:kern w:val="24"/>
                <w:lang w:eastAsia="ja-JP"/>
              </w:rPr>
              <w:t>If we find any issue, then we can revisit parameters</w:t>
            </w:r>
            <w:r w:rsidRPr="00194E04">
              <w:rPr>
                <w:rFonts w:ascii="Arial" w:eastAsia="MS Mincho" w:hAnsi="Arial" w:hint="eastAsia"/>
                <w:kern w:val="24"/>
                <w:lang w:eastAsia="ja-JP"/>
              </w:rPr>
              <w:t xml:space="preserve">. </w:t>
            </w:r>
            <w:r w:rsidRPr="00194E04">
              <w:rPr>
                <w:rFonts w:ascii="Arial" w:eastAsia="MS Mincho" w:hAnsi="Arial"/>
                <w:kern w:val="24"/>
                <w:lang w:eastAsia="ja-JP"/>
              </w:rPr>
              <w:t>Other cases are not precluded in addition to Case 1 and 2.</w:t>
            </w:r>
          </w:p>
          <w:p w:rsidR="00194E04" w:rsidRPr="00194E04" w:rsidRDefault="00194E04" w:rsidP="00B46745">
            <w:pPr>
              <w:rPr>
                <w:rFonts w:ascii="Arial" w:eastAsia="MS Mincho" w:hAnsi="Arial"/>
                <w:kern w:val="24"/>
                <w:lang w:eastAsia="ja-JP"/>
              </w:rPr>
            </w:pPr>
            <w:r w:rsidRPr="00194E04">
              <w:rPr>
                <w:rFonts w:ascii="Arial" w:eastAsia="MS Mincho" w:hAnsi="Arial" w:hint="eastAsia"/>
                <w:kern w:val="24"/>
                <w:lang w:eastAsia="ja-JP"/>
              </w:rPr>
              <w:t xml:space="preserve">Note 2: Case 2 is used in scenario No. </w:t>
            </w:r>
            <w:r w:rsidRPr="00194E04">
              <w:rPr>
                <w:rFonts w:ascii="Arial" w:eastAsia="MS Mincho" w:hAnsi="Arial"/>
                <w:kern w:val="24"/>
                <w:lang w:eastAsia="ja-JP"/>
              </w:rPr>
              <w:t>11</w:t>
            </w:r>
            <w:r w:rsidRPr="00194E04">
              <w:rPr>
                <w:rFonts w:ascii="Arial" w:eastAsia="MS Mincho" w:hAnsi="Arial" w:hint="eastAsia"/>
                <w:kern w:val="24"/>
                <w:lang w:eastAsia="ja-JP"/>
              </w:rPr>
              <w:t xml:space="preserve"> described in section 11.</w:t>
            </w:r>
          </w:p>
        </w:tc>
      </w:tr>
    </w:tbl>
    <w:p w:rsidR="00194E04" w:rsidRPr="00194E04" w:rsidRDefault="00194E04" w:rsidP="00561A45">
      <w:pPr>
        <w:overflowPunct w:val="0"/>
        <w:autoSpaceDE w:val="0"/>
        <w:autoSpaceDN w:val="0"/>
        <w:adjustRightInd w:val="0"/>
        <w:spacing w:after="180"/>
        <w:textAlignment w:val="baseline"/>
        <w:rPr>
          <w:szCs w:val="20"/>
          <w:lang w:eastAsia="en-GB"/>
        </w:rPr>
      </w:pPr>
    </w:p>
    <w:p w:rsidR="00561A45" w:rsidRDefault="00194E04" w:rsidP="00561A45">
      <w:pPr>
        <w:overflowPunct w:val="0"/>
        <w:autoSpaceDE w:val="0"/>
        <w:autoSpaceDN w:val="0"/>
        <w:adjustRightInd w:val="0"/>
        <w:spacing w:after="180"/>
        <w:textAlignment w:val="baseline"/>
        <w:rPr>
          <w:szCs w:val="20"/>
          <w:lang w:val="en-GB" w:eastAsia="en-GB"/>
        </w:rPr>
      </w:pPr>
      <w:r>
        <w:rPr>
          <w:szCs w:val="20"/>
          <w:lang w:val="en-GB" w:eastAsia="en-GB"/>
        </w:rPr>
        <w:t>It has been shown in [8] that with the current simulation assumptions</w:t>
      </w:r>
      <w:r w:rsidRPr="00194E04">
        <w:rPr>
          <w:szCs w:val="20"/>
          <w:lang w:val="en-GB" w:eastAsia="en-GB"/>
        </w:rPr>
        <w:t xml:space="preserve"> </w:t>
      </w:r>
      <w:r>
        <w:rPr>
          <w:szCs w:val="20"/>
          <w:lang w:val="en-GB" w:eastAsia="en-GB"/>
        </w:rPr>
        <w:t>for the urban macro scenario</w:t>
      </w:r>
      <w:r w:rsidR="00464D33">
        <w:rPr>
          <w:szCs w:val="20"/>
          <w:lang w:val="en-GB" w:eastAsia="en-GB"/>
        </w:rPr>
        <w:t xml:space="preserve"> and indoor UE ratio of 80%</w:t>
      </w:r>
      <w:r>
        <w:rPr>
          <w:szCs w:val="20"/>
          <w:lang w:val="en-GB" w:eastAsia="en-GB"/>
        </w:rPr>
        <w:t xml:space="preserve">, more than 5% of the victim UE have lower than -10 dB DL SINR and thus have zero 5%-tile throughput. </w:t>
      </w:r>
      <w:r w:rsidR="00A7412A">
        <w:rPr>
          <w:szCs w:val="20"/>
          <w:lang w:val="en-GB" w:eastAsia="en-GB"/>
        </w:rPr>
        <w:t xml:space="preserve">The simulation results on the </w:t>
      </w:r>
      <w:r w:rsidR="000A73B7">
        <w:rPr>
          <w:szCs w:val="20"/>
          <w:lang w:val="en-GB" w:eastAsia="en-GB"/>
        </w:rPr>
        <w:t>DL SINR of</w:t>
      </w:r>
      <w:r w:rsidR="00A7412A">
        <w:rPr>
          <w:szCs w:val="20"/>
          <w:lang w:val="en-GB" w:eastAsia="en-GB"/>
        </w:rPr>
        <w:t xml:space="preserve"> the victim UE for both </w:t>
      </w:r>
      <w:r w:rsidR="000A73B7">
        <w:rPr>
          <w:szCs w:val="20"/>
          <w:lang w:val="en-GB" w:eastAsia="en-GB"/>
        </w:rPr>
        <w:t>UE NF of 9</w:t>
      </w:r>
      <w:r w:rsidR="00A7412A" w:rsidRPr="00A7412A">
        <w:rPr>
          <w:szCs w:val="20"/>
          <w:lang w:val="en-GB" w:eastAsia="en-GB"/>
        </w:rPr>
        <w:t xml:space="preserve"> and </w:t>
      </w:r>
      <w:r w:rsidR="000A73B7">
        <w:rPr>
          <w:szCs w:val="20"/>
          <w:lang w:val="en-GB" w:eastAsia="en-GB"/>
        </w:rPr>
        <w:t>11 dB</w:t>
      </w:r>
      <w:r w:rsidR="00A7412A">
        <w:rPr>
          <w:szCs w:val="20"/>
          <w:lang w:val="en-GB" w:eastAsia="en-GB"/>
        </w:rPr>
        <w:t xml:space="preserve"> are shown in Figure 1 below.</w:t>
      </w:r>
      <w:r w:rsidR="000A73B7">
        <w:rPr>
          <w:szCs w:val="20"/>
          <w:lang w:val="en-GB" w:eastAsia="en-GB"/>
        </w:rPr>
        <w:t xml:space="preserve"> Here </w:t>
      </w:r>
      <w:r w:rsidR="00A6237B">
        <w:rPr>
          <w:szCs w:val="20"/>
          <w:lang w:val="en-GB" w:eastAsia="en-GB"/>
        </w:rPr>
        <w:t xml:space="preserve">15 dB </w:t>
      </w:r>
      <w:r w:rsidR="000A73B7">
        <w:rPr>
          <w:szCs w:val="20"/>
          <w:lang w:val="en-GB" w:eastAsia="en-GB"/>
        </w:rPr>
        <w:t xml:space="preserve">BS </w:t>
      </w:r>
      <w:r w:rsidR="00ED2921">
        <w:rPr>
          <w:szCs w:val="20"/>
          <w:lang w:val="en-GB" w:eastAsia="en-GB"/>
        </w:rPr>
        <w:t xml:space="preserve">ACLR (i.e. -30 dB ACLR offset) and 33 dB UE ACS (i.e. ~14.9 dB ACIR) </w:t>
      </w:r>
      <w:r w:rsidR="00424293">
        <w:rPr>
          <w:szCs w:val="20"/>
          <w:lang w:val="en-GB" w:eastAsia="en-GB"/>
        </w:rPr>
        <w:t>are</w:t>
      </w:r>
      <w:r w:rsidR="00ED2921">
        <w:rPr>
          <w:szCs w:val="20"/>
          <w:lang w:val="en-GB" w:eastAsia="en-GB"/>
        </w:rPr>
        <w:t xml:space="preserve"> assumed, which ha</w:t>
      </w:r>
      <w:r w:rsidR="00424293">
        <w:rPr>
          <w:szCs w:val="20"/>
          <w:lang w:val="en-GB" w:eastAsia="en-GB"/>
        </w:rPr>
        <w:t>ve</w:t>
      </w:r>
      <w:r w:rsidR="00ED2921">
        <w:rPr>
          <w:szCs w:val="20"/>
          <w:lang w:val="en-GB" w:eastAsia="en-GB"/>
        </w:rPr>
        <w:t xml:space="preserve"> been shown in [8] to </w:t>
      </w:r>
      <w:r w:rsidR="00ED2921" w:rsidRPr="00ED2921">
        <w:rPr>
          <w:szCs w:val="20"/>
          <w:lang w:val="en-GB" w:eastAsia="en-GB"/>
        </w:rPr>
        <w:t xml:space="preserve">start </w:t>
      </w:r>
      <w:r w:rsidR="00424293">
        <w:rPr>
          <w:szCs w:val="20"/>
          <w:lang w:val="en-GB" w:eastAsia="en-GB"/>
        </w:rPr>
        <w:t>illustrat</w:t>
      </w:r>
      <w:r w:rsidR="00ED2921">
        <w:rPr>
          <w:szCs w:val="20"/>
          <w:lang w:val="en-GB" w:eastAsia="en-GB"/>
        </w:rPr>
        <w:t>ing</w:t>
      </w:r>
      <w:r w:rsidR="00ED2921" w:rsidRPr="00ED2921">
        <w:rPr>
          <w:szCs w:val="20"/>
          <w:lang w:val="en-GB" w:eastAsia="en-GB"/>
        </w:rPr>
        <w:t xml:space="preserve"> difference </w:t>
      </w:r>
      <w:r w:rsidR="00424293">
        <w:rPr>
          <w:szCs w:val="20"/>
          <w:lang w:val="en-GB" w:eastAsia="en-GB"/>
        </w:rPr>
        <w:t xml:space="preserve">in the DL SINR </w:t>
      </w:r>
      <w:r w:rsidR="00ED2921" w:rsidRPr="00ED2921">
        <w:rPr>
          <w:szCs w:val="20"/>
          <w:lang w:val="en-GB" w:eastAsia="en-GB"/>
        </w:rPr>
        <w:t xml:space="preserve">with and without the interfering </w:t>
      </w:r>
      <w:r w:rsidR="00ED2921">
        <w:rPr>
          <w:szCs w:val="20"/>
          <w:lang w:val="en-GB" w:eastAsia="en-GB"/>
        </w:rPr>
        <w:t>BS.</w:t>
      </w:r>
    </w:p>
    <w:p w:rsidR="004D7645" w:rsidRDefault="0007550C" w:rsidP="00E45C57">
      <w:pPr>
        <w:overflowPunct w:val="0"/>
        <w:autoSpaceDE w:val="0"/>
        <w:autoSpaceDN w:val="0"/>
        <w:adjustRightInd w:val="0"/>
        <w:spacing w:after="180"/>
        <w:jc w:val="center"/>
        <w:textAlignment w:val="baseline"/>
        <w:rPr>
          <w:szCs w:val="20"/>
          <w:lang w:val="en-GB" w:eastAsia="en-GB"/>
        </w:rPr>
      </w:pPr>
      <w:r w:rsidRPr="0007550C">
        <w:rPr>
          <w:noProof/>
          <w:szCs w:val="20"/>
          <w:lang w:val="en-GB" w:eastAsia="zh-CN"/>
        </w:rPr>
        <w:lastRenderedPageBreak/>
        <w:drawing>
          <wp:inline distT="0" distB="0" distL="0" distR="0" wp14:anchorId="7BA5A272" wp14:editId="1C55E7E7">
            <wp:extent cx="4619625" cy="346471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3472" cy="3475104"/>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sidR="00ED2921">
        <w:rPr>
          <w:rFonts w:ascii="Arial" w:hAnsi="Arial"/>
          <w:b/>
          <w:szCs w:val="20"/>
          <w:lang w:val="en-GB"/>
        </w:rPr>
        <w:t>9</w:t>
      </w:r>
      <w:r w:rsidR="00B63D9A">
        <w:rPr>
          <w:rFonts w:ascii="Arial" w:hAnsi="Arial"/>
          <w:b/>
          <w:szCs w:val="20"/>
          <w:lang w:val="en-GB"/>
        </w:rPr>
        <w:t xml:space="preserve"> </w:t>
      </w:r>
      <w:r w:rsidR="00ED2921">
        <w:rPr>
          <w:rFonts w:ascii="Arial" w:hAnsi="Arial"/>
          <w:b/>
          <w:szCs w:val="20"/>
          <w:lang w:val="en-GB"/>
        </w:rPr>
        <w:t>dB UE NF</w:t>
      </w:r>
    </w:p>
    <w:p w:rsidR="004D7645" w:rsidRDefault="00EA7C80" w:rsidP="004D7645">
      <w:pPr>
        <w:keepLines/>
        <w:spacing w:after="240"/>
        <w:jc w:val="center"/>
        <w:rPr>
          <w:rFonts w:ascii="Arial" w:hAnsi="Arial"/>
          <w:b/>
          <w:szCs w:val="20"/>
          <w:lang w:val="en-GB"/>
        </w:rPr>
      </w:pPr>
      <w:r w:rsidRPr="00EA7C80">
        <w:rPr>
          <w:noProof/>
          <w:szCs w:val="20"/>
          <w:lang w:val="en-GB" w:eastAsia="zh-CN"/>
        </w:rPr>
        <w:drawing>
          <wp:inline distT="0" distB="0" distL="0" distR="0" wp14:anchorId="26AE3F65" wp14:editId="05C2BB32">
            <wp:extent cx="4638675" cy="347900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2554" cy="3481915"/>
                    </a:xfrm>
                    <a:prstGeom prst="rect">
                      <a:avLst/>
                    </a:prstGeom>
                  </pic:spPr>
                </pic:pic>
              </a:graphicData>
            </a:graphic>
          </wp:inline>
        </w:drawing>
      </w:r>
      <w:r w:rsidRPr="00EA7C80">
        <w:rPr>
          <w:noProof/>
          <w:szCs w:val="20"/>
          <w:lang w:val="en-GB" w:eastAsia="zh-CN"/>
        </w:rPr>
        <w:t xml:space="preserve"> </w:t>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sidR="001062DA">
        <w:rPr>
          <w:rFonts w:ascii="Arial" w:hAnsi="Arial"/>
          <w:b/>
          <w:szCs w:val="20"/>
          <w:lang w:val="en-GB"/>
        </w:rPr>
        <w:t>11</w:t>
      </w:r>
      <w:r w:rsidR="00B63D9A">
        <w:rPr>
          <w:rFonts w:ascii="Arial" w:hAnsi="Arial"/>
          <w:b/>
          <w:szCs w:val="20"/>
          <w:lang w:val="en-GB"/>
        </w:rPr>
        <w:t xml:space="preserve"> </w:t>
      </w:r>
      <w:r w:rsidR="001062DA">
        <w:rPr>
          <w:rFonts w:ascii="Arial" w:hAnsi="Arial"/>
          <w:b/>
          <w:szCs w:val="20"/>
          <w:lang w:val="en-GB"/>
        </w:rPr>
        <w:t>dB UE NF</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D2921" w:rsidRPr="00586416">
        <w:rPr>
          <w:rFonts w:ascii="Arial" w:hAnsi="Arial"/>
          <w:b/>
          <w:szCs w:val="20"/>
          <w:lang w:val="en-GB"/>
        </w:rPr>
        <w:t xml:space="preserve">DL SINR of </w:t>
      </w:r>
      <w:r w:rsidR="00ED2921" w:rsidRPr="00E45C57">
        <w:rPr>
          <w:rFonts w:ascii="Arial" w:hAnsi="Arial"/>
          <w:b/>
          <w:szCs w:val="20"/>
          <w:lang w:val="en-GB"/>
        </w:rPr>
        <w:t xml:space="preserve">victim UE </w:t>
      </w:r>
      <w:r w:rsidR="00E14710">
        <w:rPr>
          <w:rFonts w:ascii="Arial" w:hAnsi="Arial"/>
          <w:b/>
          <w:szCs w:val="20"/>
          <w:lang w:val="en-GB"/>
        </w:rPr>
        <w:t>with</w:t>
      </w:r>
      <w:r w:rsidR="00E14710" w:rsidRPr="00E45C57">
        <w:rPr>
          <w:rFonts w:ascii="Arial" w:hAnsi="Arial"/>
          <w:b/>
          <w:szCs w:val="20"/>
          <w:lang w:val="en-GB"/>
        </w:rPr>
        <w:t xml:space="preserve"> and </w:t>
      </w:r>
      <w:r w:rsidR="00E14710">
        <w:rPr>
          <w:rFonts w:ascii="Arial" w:hAnsi="Arial"/>
          <w:b/>
          <w:szCs w:val="20"/>
          <w:lang w:val="en-GB"/>
        </w:rPr>
        <w:t xml:space="preserve">without </w:t>
      </w:r>
      <w:r w:rsidR="00E14710" w:rsidRPr="00E45C57">
        <w:rPr>
          <w:rFonts w:ascii="Arial" w:hAnsi="Arial"/>
          <w:b/>
          <w:szCs w:val="20"/>
          <w:lang w:val="en-GB"/>
        </w:rPr>
        <w:t>interfering BS</w:t>
      </w:r>
      <w:r w:rsidR="00ED2921">
        <w:rPr>
          <w:rFonts w:ascii="Arial" w:hAnsi="Arial"/>
          <w:b/>
          <w:szCs w:val="20"/>
          <w:lang w:val="en-GB"/>
        </w:rPr>
        <w:t xml:space="preserve"> (</w:t>
      </w:r>
      <w:r w:rsidR="00464D33">
        <w:rPr>
          <w:rFonts w:ascii="Arial" w:hAnsi="Arial"/>
          <w:b/>
          <w:szCs w:val="20"/>
          <w:lang w:val="en-GB"/>
        </w:rPr>
        <w:t>80% indoor UE ratio</w:t>
      </w:r>
      <w:r w:rsidR="00ED2921">
        <w:rPr>
          <w:rFonts w:ascii="Arial" w:hAnsi="Arial"/>
          <w:b/>
          <w:szCs w:val="20"/>
          <w:lang w:val="en-GB"/>
        </w:rPr>
        <w:t>)</w:t>
      </w:r>
    </w:p>
    <w:p w:rsidR="005553AF" w:rsidRDefault="00464D33" w:rsidP="00E45C57">
      <w:pPr>
        <w:overflowPunct w:val="0"/>
        <w:autoSpaceDE w:val="0"/>
        <w:autoSpaceDN w:val="0"/>
        <w:adjustRightInd w:val="0"/>
        <w:spacing w:after="180"/>
        <w:textAlignment w:val="baseline"/>
        <w:rPr>
          <w:szCs w:val="20"/>
          <w:lang w:val="en-GB" w:eastAsia="en-GB"/>
        </w:rPr>
      </w:pPr>
      <w:r>
        <w:rPr>
          <w:szCs w:val="20"/>
          <w:lang w:val="en-GB" w:eastAsia="en-GB"/>
        </w:rPr>
        <w:t>Since more than 5% of the victim UE have lower than -10 dB DL SINR and thus have zero 5%-tile throughput, the 5%-tile throughput loss (which ha</w:t>
      </w:r>
      <w:r w:rsidR="000D47F1">
        <w:rPr>
          <w:szCs w:val="20"/>
          <w:lang w:val="en-GB" w:eastAsia="en-GB"/>
        </w:rPr>
        <w:t>s</w:t>
      </w:r>
      <w:r>
        <w:rPr>
          <w:szCs w:val="20"/>
          <w:lang w:val="en-GB" w:eastAsia="en-GB"/>
        </w:rPr>
        <w:t xml:space="preserve"> been used as a performance m</w:t>
      </w:r>
      <w:r w:rsidR="001F6BB2">
        <w:rPr>
          <w:szCs w:val="20"/>
          <w:lang w:val="en-GB" w:eastAsia="en-GB"/>
        </w:rPr>
        <w:t>e</w:t>
      </w:r>
      <w:r>
        <w:rPr>
          <w:szCs w:val="20"/>
          <w:lang w:val="en-GB" w:eastAsia="en-GB"/>
        </w:rPr>
        <w:t>tri</w:t>
      </w:r>
      <w:r w:rsidR="009765D3">
        <w:rPr>
          <w:szCs w:val="20"/>
          <w:lang w:val="en-GB" w:eastAsia="en-GB"/>
        </w:rPr>
        <w:t>c</w:t>
      </w:r>
      <w:r>
        <w:rPr>
          <w:szCs w:val="20"/>
          <w:lang w:val="en-GB" w:eastAsia="en-GB"/>
        </w:rPr>
        <w:t xml:space="preserve"> </w:t>
      </w:r>
      <w:r w:rsidR="001F6BB2">
        <w:rPr>
          <w:szCs w:val="20"/>
          <w:lang w:val="en-GB" w:eastAsia="en-GB"/>
        </w:rPr>
        <w:t xml:space="preserve">for cell-edge UE </w:t>
      </w:r>
      <w:r>
        <w:rPr>
          <w:szCs w:val="20"/>
          <w:lang w:val="en-GB" w:eastAsia="en-GB"/>
        </w:rPr>
        <w:t>sin</w:t>
      </w:r>
      <w:r w:rsidR="001F6BB2">
        <w:rPr>
          <w:szCs w:val="20"/>
          <w:lang w:val="en-GB" w:eastAsia="en-GB"/>
        </w:rPr>
        <w:t>c</w:t>
      </w:r>
      <w:r>
        <w:rPr>
          <w:szCs w:val="20"/>
          <w:lang w:val="en-GB" w:eastAsia="en-GB"/>
        </w:rPr>
        <w:t xml:space="preserve">e Rel-8 E-UTRA coexistence study) is not meaningful anymore. It was discussed but not agreed in RAN4#80bis to lower the minimum SNIR in the throughput mapping curve to arrive a more meaningful 5%-tile throughput loss. On the other hand, it was agreed in RAN4#80bis to have indoor UE ratio of 20% for the UL scenario in order to achieve </w:t>
      </w:r>
      <w:r>
        <w:rPr>
          <w:szCs w:val="20"/>
          <w:lang w:val="en-GB" w:eastAsia="en-GB"/>
        </w:rPr>
        <w:lastRenderedPageBreak/>
        <w:t xml:space="preserve">a more meaningful UL SINR. The simulation results on the DL SINR of the victim UE </w:t>
      </w:r>
      <w:r w:rsidR="000D47F1">
        <w:rPr>
          <w:szCs w:val="20"/>
          <w:lang w:val="en-GB" w:eastAsia="en-GB"/>
        </w:rPr>
        <w:t xml:space="preserve">with the indoor UE ratio of 20% </w:t>
      </w:r>
      <w:r>
        <w:rPr>
          <w:szCs w:val="20"/>
          <w:lang w:val="en-GB" w:eastAsia="en-GB"/>
        </w:rPr>
        <w:t>are shown in Figure 2 below</w:t>
      </w:r>
      <w:r w:rsidR="000D47F1">
        <w:rPr>
          <w:szCs w:val="20"/>
          <w:lang w:val="en-GB" w:eastAsia="en-GB"/>
        </w:rPr>
        <w:t>,</w:t>
      </w:r>
      <w:r w:rsidR="000D47F1" w:rsidRPr="000D47F1">
        <w:rPr>
          <w:szCs w:val="20"/>
          <w:lang w:val="en-GB" w:eastAsia="en-GB"/>
        </w:rPr>
        <w:t xml:space="preserve"> </w:t>
      </w:r>
      <w:r w:rsidR="000D47F1">
        <w:rPr>
          <w:szCs w:val="20"/>
          <w:lang w:val="en-GB" w:eastAsia="en-GB"/>
        </w:rPr>
        <w:t>for both UE NF of 9</w:t>
      </w:r>
      <w:r w:rsidR="000D47F1" w:rsidRPr="00A7412A">
        <w:rPr>
          <w:szCs w:val="20"/>
          <w:lang w:val="en-GB" w:eastAsia="en-GB"/>
        </w:rPr>
        <w:t xml:space="preserve"> and </w:t>
      </w:r>
      <w:r w:rsidR="000D47F1">
        <w:rPr>
          <w:szCs w:val="20"/>
          <w:lang w:val="en-GB" w:eastAsia="en-GB"/>
        </w:rPr>
        <w:t xml:space="preserve">11 </w:t>
      </w:r>
      <w:proofErr w:type="spellStart"/>
      <w:r w:rsidR="000D47F1">
        <w:rPr>
          <w:szCs w:val="20"/>
          <w:lang w:val="en-GB" w:eastAsia="en-GB"/>
        </w:rPr>
        <w:t>dB</w:t>
      </w:r>
      <w:r>
        <w:rPr>
          <w:szCs w:val="20"/>
          <w:lang w:val="en-GB" w:eastAsia="en-GB"/>
        </w:rPr>
        <w:t>.</w:t>
      </w:r>
      <w:proofErr w:type="spellEnd"/>
      <w:r>
        <w:rPr>
          <w:szCs w:val="20"/>
          <w:lang w:val="en-GB" w:eastAsia="en-GB"/>
        </w:rPr>
        <w:t xml:space="preserve"> Here again </w:t>
      </w:r>
      <w:r w:rsidR="00A6237B">
        <w:rPr>
          <w:szCs w:val="20"/>
          <w:lang w:val="en-GB" w:eastAsia="en-GB"/>
        </w:rPr>
        <w:t xml:space="preserve">15 dB </w:t>
      </w:r>
      <w:r>
        <w:rPr>
          <w:szCs w:val="20"/>
          <w:lang w:val="en-GB" w:eastAsia="en-GB"/>
        </w:rPr>
        <w:t>BS ACLR and 33 dB UE ACS are assumed.</w:t>
      </w:r>
    </w:p>
    <w:p w:rsidR="008D5378" w:rsidRDefault="007821C7" w:rsidP="008D5378">
      <w:pPr>
        <w:overflowPunct w:val="0"/>
        <w:autoSpaceDE w:val="0"/>
        <w:autoSpaceDN w:val="0"/>
        <w:adjustRightInd w:val="0"/>
        <w:spacing w:after="180"/>
        <w:jc w:val="center"/>
        <w:textAlignment w:val="baseline"/>
        <w:rPr>
          <w:szCs w:val="20"/>
          <w:lang w:val="en-GB" w:eastAsia="en-GB"/>
        </w:rPr>
      </w:pPr>
      <w:r w:rsidRPr="007821C7">
        <w:rPr>
          <w:noProof/>
          <w:szCs w:val="20"/>
          <w:lang w:val="en-GB" w:eastAsia="zh-CN"/>
        </w:rPr>
        <w:drawing>
          <wp:inline distT="0" distB="0" distL="0" distR="0" wp14:anchorId="1A9414CE" wp14:editId="3DEED9AF">
            <wp:extent cx="4629150" cy="34718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4693" cy="3476020"/>
                    </a:xfrm>
                    <a:prstGeom prst="rect">
                      <a:avLst/>
                    </a:prstGeom>
                  </pic:spPr>
                </pic:pic>
              </a:graphicData>
            </a:graphic>
          </wp:inline>
        </w:drawing>
      </w:r>
      <w:r w:rsidR="00A6162F" w:rsidRPr="00A6162F">
        <w:rPr>
          <w:noProof/>
          <w:szCs w:val="20"/>
          <w:lang w:val="en-GB" w:eastAsia="zh-CN"/>
        </w:rPr>
        <w:t xml:space="preserve"> </w:t>
      </w:r>
    </w:p>
    <w:p w:rsidR="008D5378" w:rsidRPr="00580957" w:rsidRDefault="008D5378" w:rsidP="008D5378">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UE NF</w:t>
      </w:r>
    </w:p>
    <w:p w:rsidR="008D5378" w:rsidRDefault="00441F71" w:rsidP="008D5378">
      <w:pPr>
        <w:keepLines/>
        <w:spacing w:after="240"/>
        <w:jc w:val="center"/>
        <w:rPr>
          <w:rFonts w:ascii="Arial" w:hAnsi="Arial"/>
          <w:b/>
          <w:szCs w:val="20"/>
          <w:lang w:val="en-GB"/>
        </w:rPr>
      </w:pPr>
      <w:r w:rsidRPr="00441F71">
        <w:rPr>
          <w:noProof/>
          <w:szCs w:val="20"/>
          <w:lang w:val="en-GB" w:eastAsia="zh-CN"/>
        </w:rPr>
        <w:drawing>
          <wp:inline distT="0" distB="0" distL="0" distR="0" wp14:anchorId="0F21E6EB" wp14:editId="22A47EC5">
            <wp:extent cx="4638675" cy="347900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3106" cy="3482329"/>
                    </a:xfrm>
                    <a:prstGeom prst="rect">
                      <a:avLst/>
                    </a:prstGeom>
                  </pic:spPr>
                </pic:pic>
              </a:graphicData>
            </a:graphic>
          </wp:inline>
        </w:drawing>
      </w:r>
    </w:p>
    <w:p w:rsidR="008D5378" w:rsidRPr="00580957" w:rsidRDefault="008D5378" w:rsidP="008D5378">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UE NF</w:t>
      </w:r>
    </w:p>
    <w:p w:rsidR="008D5378" w:rsidRPr="00580957" w:rsidRDefault="008D5378" w:rsidP="008D5378">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 xml:space="preserve">victim UE </w:t>
      </w:r>
      <w:r w:rsidR="00E14710">
        <w:rPr>
          <w:rFonts w:ascii="Arial" w:hAnsi="Arial"/>
          <w:b/>
          <w:szCs w:val="20"/>
          <w:lang w:val="en-GB"/>
        </w:rPr>
        <w:t>with</w:t>
      </w:r>
      <w:r w:rsidR="00E14710" w:rsidRPr="00E45C57">
        <w:rPr>
          <w:rFonts w:ascii="Arial" w:hAnsi="Arial"/>
          <w:b/>
          <w:szCs w:val="20"/>
          <w:lang w:val="en-GB"/>
        </w:rPr>
        <w:t xml:space="preserve"> and </w:t>
      </w:r>
      <w:r w:rsidR="00E14710">
        <w:rPr>
          <w:rFonts w:ascii="Arial" w:hAnsi="Arial"/>
          <w:b/>
          <w:szCs w:val="20"/>
          <w:lang w:val="en-GB"/>
        </w:rPr>
        <w:t xml:space="preserve">without </w:t>
      </w:r>
      <w:r w:rsidR="00E14710" w:rsidRPr="00E45C57">
        <w:rPr>
          <w:rFonts w:ascii="Arial" w:hAnsi="Arial"/>
          <w:b/>
          <w:szCs w:val="20"/>
          <w:lang w:val="en-GB"/>
        </w:rPr>
        <w:t>interfering BS</w:t>
      </w:r>
      <w:r>
        <w:rPr>
          <w:rFonts w:ascii="Arial" w:hAnsi="Arial"/>
          <w:b/>
          <w:szCs w:val="20"/>
          <w:lang w:val="en-GB"/>
        </w:rPr>
        <w:t xml:space="preserve"> (20% indoor UE ratio)</w:t>
      </w:r>
    </w:p>
    <w:p w:rsidR="002C1880" w:rsidRDefault="00A96A22" w:rsidP="001D31B6">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It can be seen in </w:t>
      </w:r>
      <w:r w:rsidR="001D31B6">
        <w:rPr>
          <w:szCs w:val="20"/>
          <w:lang w:val="en-GB" w:eastAsia="en-GB"/>
        </w:rPr>
        <w:t>Figure</w:t>
      </w:r>
      <w:r>
        <w:rPr>
          <w:szCs w:val="20"/>
          <w:lang w:val="en-GB" w:eastAsia="en-GB"/>
        </w:rPr>
        <w:t xml:space="preserve"> 2 that</w:t>
      </w:r>
      <w:r w:rsidR="001D31B6">
        <w:rPr>
          <w:szCs w:val="20"/>
          <w:lang w:val="en-GB" w:eastAsia="en-GB"/>
        </w:rPr>
        <w:t xml:space="preserve"> with the indoor UE ratio of 20%</w:t>
      </w:r>
      <w:r w:rsidR="000D47F1">
        <w:rPr>
          <w:szCs w:val="20"/>
          <w:lang w:val="en-GB" w:eastAsia="en-GB"/>
        </w:rPr>
        <w:t>,</w:t>
      </w:r>
      <w:r w:rsidR="009765D3">
        <w:rPr>
          <w:szCs w:val="20"/>
          <w:lang w:val="en-GB" w:eastAsia="en-GB"/>
        </w:rPr>
        <w:t xml:space="preserve"> </w:t>
      </w:r>
      <w:r w:rsidR="001D31B6">
        <w:rPr>
          <w:szCs w:val="20"/>
          <w:lang w:val="en-GB" w:eastAsia="en-GB"/>
        </w:rPr>
        <w:t>less than 5% of the victim UE have lower than -10 dB DL SINR and thus the 5%-tile throughput will not be zero</w:t>
      </w:r>
      <w:r w:rsidR="000D47F1">
        <w:rPr>
          <w:szCs w:val="20"/>
          <w:lang w:val="en-GB" w:eastAsia="en-GB"/>
        </w:rPr>
        <w:t>,</w:t>
      </w:r>
      <w:r w:rsidR="000D47F1" w:rsidRPr="000D47F1">
        <w:rPr>
          <w:szCs w:val="20"/>
          <w:lang w:val="en-GB" w:eastAsia="en-GB"/>
        </w:rPr>
        <w:t xml:space="preserve"> </w:t>
      </w:r>
      <w:r w:rsidR="000D47F1">
        <w:rPr>
          <w:szCs w:val="20"/>
          <w:lang w:val="en-GB" w:eastAsia="en-GB"/>
        </w:rPr>
        <w:t xml:space="preserve">for both UE NF of 9 and 11 </w:t>
      </w:r>
      <w:proofErr w:type="spellStart"/>
      <w:r w:rsidR="000D47F1">
        <w:rPr>
          <w:szCs w:val="20"/>
          <w:lang w:val="en-GB" w:eastAsia="en-GB"/>
        </w:rPr>
        <w:t>dB</w:t>
      </w:r>
      <w:r>
        <w:rPr>
          <w:szCs w:val="20"/>
          <w:lang w:val="en-GB" w:eastAsia="en-GB"/>
        </w:rPr>
        <w:t>.</w:t>
      </w:r>
      <w:proofErr w:type="spellEnd"/>
      <w:r w:rsidR="001D31B6">
        <w:rPr>
          <w:szCs w:val="20"/>
          <w:lang w:val="en-GB" w:eastAsia="en-GB"/>
        </w:rPr>
        <w:t xml:space="preserve"> From the deployment viewpoint, it is also reasonable to assume that with the more challenging path loss with </w:t>
      </w:r>
      <w:proofErr w:type="spellStart"/>
      <w:r w:rsidR="001D31B6">
        <w:rPr>
          <w:szCs w:val="20"/>
          <w:lang w:val="en-GB" w:eastAsia="en-GB"/>
        </w:rPr>
        <w:t>mmWave</w:t>
      </w:r>
      <w:proofErr w:type="spellEnd"/>
      <w:r w:rsidR="001D31B6">
        <w:rPr>
          <w:szCs w:val="20"/>
          <w:lang w:val="en-GB" w:eastAsia="en-GB"/>
        </w:rPr>
        <w:t xml:space="preserve"> </w:t>
      </w:r>
      <w:r w:rsidR="001F6BB2">
        <w:rPr>
          <w:szCs w:val="20"/>
          <w:lang w:val="en-GB" w:eastAsia="en-GB"/>
        </w:rPr>
        <w:t>propagat</w:t>
      </w:r>
      <w:r w:rsidR="001D31B6">
        <w:rPr>
          <w:szCs w:val="20"/>
          <w:lang w:val="en-GB" w:eastAsia="en-GB"/>
        </w:rPr>
        <w:t xml:space="preserve">ion, more of the indoor UE population </w:t>
      </w:r>
      <w:r w:rsidR="001F6BB2">
        <w:rPr>
          <w:szCs w:val="20"/>
          <w:lang w:val="en-GB" w:eastAsia="en-GB"/>
        </w:rPr>
        <w:t>need to</w:t>
      </w:r>
      <w:r w:rsidR="001D31B6">
        <w:rPr>
          <w:szCs w:val="20"/>
          <w:lang w:val="en-GB" w:eastAsia="en-GB"/>
        </w:rPr>
        <w:t xml:space="preserve"> be served by indoor small cells instead of ma</w:t>
      </w:r>
      <w:r w:rsidR="009765D3">
        <w:rPr>
          <w:szCs w:val="20"/>
          <w:lang w:val="en-GB" w:eastAsia="en-GB"/>
        </w:rPr>
        <w:t>cr</w:t>
      </w:r>
      <w:r w:rsidR="001D31B6">
        <w:rPr>
          <w:szCs w:val="20"/>
          <w:lang w:val="en-GB" w:eastAsia="en-GB"/>
        </w:rPr>
        <w:t xml:space="preserve">o BS. </w:t>
      </w:r>
      <w:r w:rsidR="002C1880">
        <w:rPr>
          <w:szCs w:val="20"/>
          <w:lang w:val="en-GB" w:eastAsia="en-GB"/>
        </w:rPr>
        <w:t xml:space="preserve">Hence it is proposed to </w:t>
      </w:r>
      <w:r w:rsidR="001D31B6">
        <w:rPr>
          <w:szCs w:val="20"/>
          <w:lang w:val="en-GB" w:eastAsia="en-GB"/>
        </w:rPr>
        <w:t xml:space="preserve">assume the indoor UE ratio of 20% </w:t>
      </w:r>
      <w:r w:rsidR="009765D3">
        <w:rPr>
          <w:szCs w:val="20"/>
          <w:lang w:val="en-GB" w:eastAsia="en-GB"/>
        </w:rPr>
        <w:t xml:space="preserve">as an option </w:t>
      </w:r>
      <w:r w:rsidR="001D31B6">
        <w:rPr>
          <w:szCs w:val="20"/>
          <w:lang w:val="en-GB" w:eastAsia="en-GB"/>
        </w:rPr>
        <w:t>for the urban macro scenario</w:t>
      </w:r>
      <w:r w:rsidR="009765D3">
        <w:rPr>
          <w:szCs w:val="20"/>
          <w:lang w:val="en-GB" w:eastAsia="en-GB"/>
        </w:rPr>
        <w:t xml:space="preserve"> in the coexistence simulation, in order to achieve a meaningful performance m</w:t>
      </w:r>
      <w:r w:rsidR="001F6BB2">
        <w:rPr>
          <w:szCs w:val="20"/>
          <w:lang w:val="en-GB" w:eastAsia="en-GB"/>
        </w:rPr>
        <w:t>e</w:t>
      </w:r>
      <w:r w:rsidR="009765D3">
        <w:rPr>
          <w:szCs w:val="20"/>
          <w:lang w:val="en-GB" w:eastAsia="en-GB"/>
        </w:rPr>
        <w:t>tric of 5%-tile throughput loss.</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75752"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w:t>
      </w:r>
      <w:r w:rsidR="000D47F1">
        <w:rPr>
          <w:szCs w:val="20"/>
          <w:lang w:val="en-GB" w:eastAsia="en-GB"/>
        </w:rPr>
        <w:t>shown</w:t>
      </w:r>
      <w:r w:rsidR="00E545F9">
        <w:rPr>
          <w:szCs w:val="20"/>
          <w:lang w:val="en-GB" w:eastAsia="en-GB"/>
        </w:rPr>
        <w:t xml:space="preserve"> that </w:t>
      </w:r>
      <w:r w:rsidR="009765D3">
        <w:rPr>
          <w:szCs w:val="20"/>
          <w:lang w:val="en-GB" w:eastAsia="en-GB"/>
        </w:rPr>
        <w:t>with the indoor UE ratio of 20%, less than 5% of the victim UE have lower than -10 dB DL SINR and thus the 5%-tile throughput will not be zero</w:t>
      </w:r>
      <w:r w:rsidR="00733E51">
        <w:rPr>
          <w:szCs w:val="20"/>
          <w:lang w:val="en-GB" w:eastAsia="en-GB"/>
        </w:rPr>
        <w:t>;</w:t>
      </w:r>
      <w:r w:rsidR="00E545F9">
        <w:rPr>
          <w:szCs w:val="20"/>
          <w:lang w:val="en-GB" w:eastAsia="en-GB"/>
        </w:rPr>
        <w:t xml:space="preserve"> hence it is proposed to</w:t>
      </w:r>
      <w:r w:rsidR="00175752">
        <w:rPr>
          <w:szCs w:val="20"/>
          <w:lang w:val="en-GB" w:eastAsia="en-GB"/>
        </w:rPr>
        <w:t>:</w:t>
      </w:r>
    </w:p>
    <w:p w:rsidR="00E545F9" w:rsidRPr="00175752" w:rsidRDefault="00175752" w:rsidP="00E545F9">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w:t>
      </w:r>
      <w:r w:rsidR="009765D3">
        <w:rPr>
          <w:b/>
          <w:szCs w:val="20"/>
          <w:lang w:val="en-GB" w:eastAsia="en-GB"/>
        </w:rPr>
        <w:t>A</w:t>
      </w:r>
      <w:r w:rsidR="009765D3" w:rsidRPr="009765D3">
        <w:rPr>
          <w:b/>
          <w:szCs w:val="20"/>
          <w:lang w:val="en-GB" w:eastAsia="en-GB"/>
        </w:rPr>
        <w:t>ssume the indoor UE ratio of 20%</w:t>
      </w:r>
      <w:r w:rsidR="009765D3" w:rsidRPr="009765D3">
        <w:t xml:space="preserve"> </w:t>
      </w:r>
      <w:r w:rsidR="009765D3" w:rsidRPr="009765D3">
        <w:rPr>
          <w:b/>
          <w:szCs w:val="20"/>
          <w:lang w:val="en-GB" w:eastAsia="en-GB"/>
        </w:rPr>
        <w:t>as an option for the urban macro scenario in the coexistence simulation, in order to achieve a meaningful performance m</w:t>
      </w:r>
      <w:r w:rsidR="001F6BB2">
        <w:rPr>
          <w:b/>
          <w:szCs w:val="20"/>
          <w:lang w:val="en-GB" w:eastAsia="en-GB"/>
        </w:rPr>
        <w:t>e</w:t>
      </w:r>
      <w:r w:rsidR="009765D3" w:rsidRPr="009765D3">
        <w:rPr>
          <w:b/>
          <w:szCs w:val="20"/>
          <w:lang w:val="en-GB" w:eastAsia="en-GB"/>
        </w:rPr>
        <w:t>tri</w:t>
      </w:r>
      <w:r w:rsidR="009765D3">
        <w:rPr>
          <w:b/>
          <w:szCs w:val="20"/>
          <w:lang w:val="en-GB" w:eastAsia="en-GB"/>
        </w:rPr>
        <w:t>c</w:t>
      </w:r>
      <w:r w:rsidR="009765D3" w:rsidRPr="009765D3">
        <w:rPr>
          <w:b/>
          <w:szCs w:val="20"/>
          <w:lang w:val="en-GB" w:eastAsia="en-GB"/>
        </w:rPr>
        <w:t xml:space="preserve"> of 5%-tile throughput loss</w:t>
      </w:r>
      <w:r w:rsidRPr="00175752">
        <w:rPr>
          <w:b/>
          <w:szCs w:val="20"/>
          <w:lang w:val="en-GB" w:eastAsia="en-GB"/>
        </w:rPr>
        <w:t>.</w:t>
      </w:r>
    </w:p>
    <w:p w:rsidR="00D912E3"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68086</w:t>
      </w:r>
      <w:r w:rsidRPr="00E00A26">
        <w:t>, “</w:t>
      </w:r>
      <w:r w:rsidRPr="00ED2921">
        <w:t>Proposal on BS ACLR offsets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31D" w:rsidRPr="004E3B67" w:rsidRDefault="0091531D" w:rsidP="00DA44AD">
      <w:pPr>
        <w:rPr>
          <w:rFonts w:eastAsia="宋体" w:cs="Arial"/>
          <w:color w:val="0000FF"/>
          <w:kern w:val="2"/>
          <w:lang w:eastAsia="zh-CN"/>
        </w:rPr>
      </w:pPr>
      <w:r>
        <w:separator/>
      </w:r>
    </w:p>
  </w:endnote>
  <w:endnote w:type="continuationSeparator" w:id="0">
    <w:p w:rsidR="0091531D" w:rsidRPr="004E3B67" w:rsidRDefault="0091531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B0721C" w:rsidRPr="00B0721C">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31D" w:rsidRPr="004E3B67" w:rsidRDefault="0091531D" w:rsidP="00DA44AD">
      <w:pPr>
        <w:rPr>
          <w:rFonts w:eastAsia="宋体" w:cs="Arial"/>
          <w:color w:val="0000FF"/>
          <w:kern w:val="2"/>
          <w:lang w:eastAsia="zh-CN"/>
        </w:rPr>
      </w:pPr>
      <w:r>
        <w:separator/>
      </w:r>
    </w:p>
  </w:footnote>
  <w:footnote w:type="continuationSeparator" w:id="0">
    <w:p w:rsidR="0091531D" w:rsidRPr="004E3B67" w:rsidRDefault="0091531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F16"/>
    <w:rsid w:val="00103927"/>
    <w:rsid w:val="00104193"/>
    <w:rsid w:val="00104C97"/>
    <w:rsid w:val="001062DA"/>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661B"/>
    <w:rsid w:val="003F6626"/>
    <w:rsid w:val="00404126"/>
    <w:rsid w:val="00407291"/>
    <w:rsid w:val="00411520"/>
    <w:rsid w:val="00413706"/>
    <w:rsid w:val="00414499"/>
    <w:rsid w:val="00415E96"/>
    <w:rsid w:val="00424293"/>
    <w:rsid w:val="004256E9"/>
    <w:rsid w:val="00425B41"/>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5378"/>
    <w:rsid w:val="008D53C0"/>
    <w:rsid w:val="008D693D"/>
    <w:rsid w:val="008D7F9F"/>
    <w:rsid w:val="008E118C"/>
    <w:rsid w:val="008E419A"/>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21C"/>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C0273"/>
    <w:rsid w:val="00BC1261"/>
    <w:rsid w:val="00BC728E"/>
    <w:rsid w:val="00BD228A"/>
    <w:rsid w:val="00BD2E65"/>
    <w:rsid w:val="00BD6B58"/>
    <w:rsid w:val="00BE0829"/>
    <w:rsid w:val="00BE4D68"/>
    <w:rsid w:val="00BE5940"/>
    <w:rsid w:val="00BF0AD1"/>
    <w:rsid w:val="00BF7079"/>
    <w:rsid w:val="00C00E7F"/>
    <w:rsid w:val="00C039BC"/>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D498F"/>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23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CB4CD-44AF-4DF8-9A72-90CB9E56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2016-10-31T18:35:00Z</dcterms:created>
  <dcterms:modified xsi:type="dcterms:W3CDTF">2016-11-04T14:32:00Z</dcterms:modified>
</cp:coreProperties>
</file>