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EFF" w:rsidRPr="00F37FA0" w:rsidRDefault="00612EFF" w:rsidP="00612EFF">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Pr>
          <w:b/>
          <w:noProof/>
          <w:sz w:val="24"/>
          <w:lang w:eastAsia="ko-KR"/>
        </w:rPr>
        <w:t>78bis</w:t>
      </w:r>
      <w:r>
        <w:rPr>
          <w:b/>
          <w:i/>
          <w:noProof/>
          <w:sz w:val="28"/>
        </w:rPr>
        <w:tab/>
      </w:r>
      <w:r w:rsidRPr="007F57A1">
        <w:rPr>
          <w:rFonts w:hint="eastAsia"/>
          <w:b/>
          <w:noProof/>
          <w:sz w:val="24"/>
          <w:szCs w:val="24"/>
          <w:lang w:eastAsia="ko-KR"/>
        </w:rPr>
        <w:t>R4-</w:t>
      </w:r>
      <w:r>
        <w:rPr>
          <w:b/>
          <w:noProof/>
          <w:sz w:val="24"/>
          <w:szCs w:val="24"/>
          <w:lang w:eastAsia="ko-KR"/>
        </w:rPr>
        <w:t>162636</w:t>
      </w:r>
    </w:p>
    <w:p w:rsidR="00612EFF" w:rsidRDefault="00612EFF" w:rsidP="00612EFF">
      <w:pPr>
        <w:pStyle w:val="CRCoverPage"/>
        <w:outlineLvl w:val="0"/>
        <w:rPr>
          <w:b/>
          <w:noProof/>
          <w:sz w:val="24"/>
          <w:lang w:eastAsia="ko-KR"/>
        </w:rPr>
      </w:pPr>
      <w:r>
        <w:rPr>
          <w:rFonts w:eastAsia="Batang"/>
          <w:b/>
          <w:noProof/>
          <w:sz w:val="24"/>
          <w:lang w:eastAsia="ko-KR"/>
        </w:rPr>
        <w:t>San Jose Del Cabo</w:t>
      </w:r>
      <w:r>
        <w:rPr>
          <w:rFonts w:hint="eastAsia"/>
          <w:b/>
          <w:noProof/>
          <w:sz w:val="24"/>
          <w:lang w:eastAsia="ko-KR"/>
        </w:rPr>
        <w:t>,</w:t>
      </w:r>
      <w:r>
        <w:rPr>
          <w:b/>
          <w:noProof/>
          <w:sz w:val="24"/>
          <w:lang w:eastAsia="ko-KR"/>
        </w:rPr>
        <w:t xml:space="preserve"> Mexico,</w:t>
      </w:r>
      <w:r>
        <w:rPr>
          <w:b/>
          <w:noProof/>
          <w:sz w:val="24"/>
        </w:rPr>
        <w:t xml:space="preserve"> 11</w:t>
      </w:r>
      <w:r w:rsidRPr="00464011">
        <w:rPr>
          <w:b/>
          <w:noProof/>
          <w:sz w:val="24"/>
          <w:vertAlign w:val="superscript"/>
          <w:lang w:eastAsia="ko-KR"/>
        </w:rPr>
        <w:t>th</w:t>
      </w:r>
      <w:r>
        <w:rPr>
          <w:rFonts w:eastAsiaTheme="minorEastAsia" w:hint="eastAsia"/>
          <w:b/>
          <w:noProof/>
          <w:sz w:val="24"/>
          <w:lang w:eastAsia="ko-KR"/>
        </w:rPr>
        <w:t xml:space="preserve"> </w:t>
      </w:r>
      <w:r>
        <w:rPr>
          <w:b/>
          <w:noProof/>
          <w:sz w:val="24"/>
          <w:lang w:eastAsia="ko-KR"/>
        </w:rPr>
        <w:t>–</w:t>
      </w:r>
      <w:r w:rsidRPr="000802C3">
        <w:rPr>
          <w:rFonts w:hint="eastAsia"/>
          <w:b/>
          <w:noProof/>
          <w:sz w:val="24"/>
          <w:lang w:eastAsia="ko-KR"/>
        </w:rPr>
        <w:t xml:space="preserve"> </w:t>
      </w:r>
      <w:r>
        <w:rPr>
          <w:b/>
          <w:noProof/>
          <w:sz w:val="24"/>
          <w:lang w:eastAsia="ko-KR"/>
        </w:rPr>
        <w:t>15</w:t>
      </w:r>
      <w:r w:rsidRPr="00464011">
        <w:rPr>
          <w:b/>
          <w:noProof/>
          <w:sz w:val="24"/>
          <w:vertAlign w:val="superscript"/>
          <w:lang w:eastAsia="ko-KR"/>
        </w:rPr>
        <w:t>th</w:t>
      </w:r>
      <w:r w:rsidRPr="00223DCA">
        <w:rPr>
          <w:rFonts w:hint="eastAsia"/>
          <w:b/>
          <w:noProof/>
          <w:sz w:val="24"/>
          <w:lang w:eastAsia="ko-KR"/>
        </w:rPr>
        <w:t xml:space="preserve"> </w:t>
      </w:r>
      <w:r>
        <w:rPr>
          <w:rFonts w:eastAsiaTheme="minorEastAsia"/>
          <w:b/>
          <w:noProof/>
          <w:sz w:val="24"/>
          <w:lang w:eastAsia="ko-KR"/>
        </w:rPr>
        <w:t>April</w:t>
      </w:r>
      <w:r w:rsidRPr="0011455D">
        <w:rPr>
          <w:rFonts w:hint="eastAsia"/>
          <w:b/>
          <w:noProof/>
          <w:sz w:val="24"/>
          <w:lang w:eastAsia="ko-KR"/>
        </w:rPr>
        <w:t xml:space="preserve"> 201</w:t>
      </w:r>
      <w:r>
        <w:rPr>
          <w:b/>
          <w:noProof/>
          <w:sz w:val="24"/>
          <w:lang w:eastAsia="ko-KR"/>
        </w:rPr>
        <w:t>6</w:t>
      </w:r>
    </w:p>
    <w:p w:rsidR="00612EFF" w:rsidRPr="006C6A7C" w:rsidRDefault="00612EFF" w:rsidP="00612EFF">
      <w:pPr>
        <w:pStyle w:val="CRCoverPage"/>
        <w:outlineLvl w:val="0"/>
        <w:rPr>
          <w:rFonts w:eastAsia="Malgun Gothic"/>
          <w:b/>
          <w:noProof/>
          <w:sz w:val="24"/>
          <w:lang w:eastAsia="ko-KR"/>
        </w:rPr>
      </w:pPr>
    </w:p>
    <w:p w:rsidR="00612EFF" w:rsidRPr="00355ACF" w:rsidRDefault="00612EFF" w:rsidP="00612EFF">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Pr>
          <w:rFonts w:ascii="Arial" w:hAnsi="Arial" w:cs="Arial"/>
          <w:sz w:val="24"/>
          <w:szCs w:val="24"/>
        </w:rPr>
        <w:t>6.13.5</w:t>
      </w:r>
    </w:p>
    <w:p w:rsidR="00612EFF" w:rsidRPr="00355ACF" w:rsidRDefault="00612EFF" w:rsidP="00612EFF">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rsidR="00612EFF" w:rsidRPr="006F7DDF" w:rsidRDefault="00612EFF" w:rsidP="00612EFF">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Pr>
          <w:rFonts w:ascii="Arial" w:hAnsi="Arial" w:cs="Arial"/>
          <w:sz w:val="24"/>
          <w:szCs w:val="24"/>
        </w:rPr>
        <w:t>NB-PSS Detection Performance Simulation Results</w:t>
      </w:r>
    </w:p>
    <w:p w:rsidR="00612EFF" w:rsidRPr="00355ACF" w:rsidRDefault="00612EFF" w:rsidP="00612EFF">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sz w:val="24"/>
          <w:szCs w:val="24"/>
          <w:lang w:eastAsia="ko-KR"/>
        </w:rPr>
        <w:t>Discussion</w:t>
      </w:r>
    </w:p>
    <w:p w:rsidR="00612EFF" w:rsidRDefault="00612EFF" w:rsidP="00612EFF">
      <w:pPr>
        <w:pStyle w:val="Heading1"/>
        <w:rPr>
          <w:lang w:eastAsia="ko-KR"/>
        </w:rPr>
      </w:pPr>
      <w:r w:rsidRPr="008310F5">
        <w:rPr>
          <w:lang w:val="en-US"/>
        </w:rPr>
        <w:t>1</w:t>
      </w:r>
      <w:r>
        <w:rPr>
          <w:rFonts w:hint="eastAsia"/>
          <w:lang w:val="en-US" w:eastAsia="ko-KR"/>
        </w:rPr>
        <w:tab/>
      </w:r>
      <w:r>
        <w:rPr>
          <w:rFonts w:hint="eastAsia"/>
          <w:lang w:val="en-US" w:eastAsia="ko-KR"/>
        </w:rPr>
        <w:tab/>
      </w:r>
      <w:r>
        <w:rPr>
          <w:lang w:val="en-US" w:eastAsia="ko-KR"/>
        </w:rPr>
        <w:t xml:space="preserve">Introduction </w:t>
      </w:r>
    </w:p>
    <w:p w:rsidR="00612EFF" w:rsidRDefault="00612EFF" w:rsidP="00612EFF">
      <w:pPr>
        <w:rPr>
          <w:rFonts w:cs="v4.2.0"/>
        </w:rPr>
      </w:pPr>
      <w:r>
        <w:rPr>
          <w:rFonts w:cs="v4.2.0"/>
        </w:rPr>
        <w:t>In RAN4#78, the following was captured in the WF [2]:</w:t>
      </w:r>
    </w:p>
    <w:p w:rsidR="00612EFF" w:rsidRPr="00C02995" w:rsidRDefault="00612EFF" w:rsidP="00612EFF">
      <w:pPr>
        <w:pStyle w:val="BodyText"/>
        <w:numPr>
          <w:ilvl w:val="0"/>
          <w:numId w:val="2"/>
        </w:numPr>
        <w:rPr>
          <w:rFonts w:eastAsia="Malgun Gothic" w:cs="v4.2.0"/>
          <w:color w:val="auto"/>
          <w:kern w:val="0"/>
          <w:lang w:eastAsia="en-US"/>
        </w:rPr>
      </w:pPr>
      <w:r w:rsidRPr="00C02995">
        <w:rPr>
          <w:rFonts w:eastAsia="Malgun Gothic" w:cs="v4.2.0"/>
          <w:color w:val="auto"/>
          <w:kern w:val="0"/>
          <w:lang w:eastAsia="en-US"/>
        </w:rPr>
        <w:t>RAN4 is to study the cell identification independent of any latency requirement for exception reporting.</w:t>
      </w:r>
    </w:p>
    <w:p w:rsidR="00612EFF" w:rsidRPr="00CB1326" w:rsidRDefault="00612EFF" w:rsidP="00612EFF">
      <w:pPr>
        <w:rPr>
          <w:rFonts w:cs="v4.2.0"/>
          <w:lang w:val="en-US"/>
        </w:rPr>
      </w:pPr>
      <w:r w:rsidRPr="00825631">
        <w:rPr>
          <w:rFonts w:cs="v4.2.0"/>
        </w:rPr>
        <w:t xml:space="preserve">This papers presents </w:t>
      </w:r>
      <w:r>
        <w:rPr>
          <w:rFonts w:cs="v4.2.0"/>
        </w:rPr>
        <w:t xml:space="preserve">NB-PSS design overview and initial </w:t>
      </w:r>
      <w:r w:rsidRPr="00825631">
        <w:rPr>
          <w:rFonts w:cs="v4.2.0"/>
        </w:rPr>
        <w:t xml:space="preserve">simulation results </w:t>
      </w:r>
      <w:r>
        <w:rPr>
          <w:rFonts w:cs="v4.2.0"/>
        </w:rPr>
        <w:t>on detection performance</w:t>
      </w:r>
      <w:r w:rsidRPr="00825631">
        <w:rPr>
          <w:rFonts w:cs="v4.2.0"/>
        </w:rPr>
        <w:t xml:space="preserve"> based on the agreed simulation assumptions</w:t>
      </w:r>
      <w:r>
        <w:rPr>
          <w:rFonts w:cs="v4.2.0"/>
        </w:rPr>
        <w:t>. Complete cell identification requires NB-SSS detection along with NB-PSS detection but NB-SSS structure, periodicity and method to extract PCI information has not yet been finalized in RAN1. So t</w:t>
      </w:r>
      <w:r w:rsidRPr="00825631">
        <w:rPr>
          <w:rFonts w:cs="v4.2.0"/>
        </w:rPr>
        <w:t xml:space="preserve">his papers </w:t>
      </w:r>
      <w:r>
        <w:rPr>
          <w:rFonts w:cs="v4.2.0"/>
        </w:rPr>
        <w:t>focuses on</w:t>
      </w:r>
      <w:r w:rsidRPr="00825631">
        <w:rPr>
          <w:rFonts w:cs="v4.2.0"/>
        </w:rPr>
        <w:t xml:space="preserve"> </w:t>
      </w:r>
      <w:r>
        <w:rPr>
          <w:rFonts w:cs="v4.2.0"/>
        </w:rPr>
        <w:t>NB-PSS detection performance</w:t>
      </w:r>
      <w:r w:rsidRPr="00825631">
        <w:rPr>
          <w:rFonts w:cs="v4.2.0"/>
        </w:rPr>
        <w:t xml:space="preserve"> </w:t>
      </w:r>
      <w:r>
        <w:rPr>
          <w:rFonts w:cs="v4.2.0"/>
        </w:rPr>
        <w:t>only.</w:t>
      </w:r>
    </w:p>
    <w:p w:rsidR="00612EFF" w:rsidRDefault="00612EFF" w:rsidP="00612EFF">
      <w:pPr>
        <w:pStyle w:val="Heading1"/>
        <w:rPr>
          <w:lang w:val="en-US" w:eastAsia="ko-KR"/>
        </w:rPr>
      </w:pPr>
      <w:r>
        <w:rPr>
          <w:lang w:val="en-US" w:eastAsia="ko-KR"/>
        </w:rPr>
        <w:t>2</w:t>
      </w:r>
      <w:r>
        <w:rPr>
          <w:rFonts w:hint="eastAsia"/>
          <w:lang w:val="en-US" w:eastAsia="ko-KR"/>
        </w:rPr>
        <w:tab/>
      </w:r>
      <w:r>
        <w:rPr>
          <w:lang w:val="en-US" w:eastAsia="ko-KR"/>
        </w:rPr>
        <w:t>NB-PSS Design Overview</w:t>
      </w:r>
    </w:p>
    <w:p w:rsidR="00612EFF" w:rsidRPr="00266FB4" w:rsidRDefault="00612EFF" w:rsidP="00612EFF">
      <w:pPr>
        <w:pStyle w:val="LGTdoc"/>
        <w:spacing w:line="240" w:lineRule="auto"/>
        <w:rPr>
          <w:rFonts w:eastAsia="Malgun Gothic"/>
          <w:kern w:val="0"/>
          <w:sz w:val="20"/>
          <w:szCs w:val="20"/>
          <w:lang w:val="en-US"/>
        </w:rPr>
      </w:pPr>
      <w:r w:rsidRPr="00266FB4">
        <w:rPr>
          <w:rFonts w:eastAsia="Malgun Gothic"/>
          <w:kern w:val="0"/>
          <w:sz w:val="20"/>
          <w:szCs w:val="20"/>
          <w:lang w:val="en-US"/>
        </w:rPr>
        <w:t xml:space="preserve">Figure 1(a) shows an example for in-band deployment with one transmit antenna, where NB-PSS and NB-SSS signals occupy the last 11 OFDM symbols of a subframe and are punctured by CRS. Besides, NB-IoT PSS signal is repeated on subframe 5 of every radio frame, while NB-SSS signal is transmitted on subframe 9 of those radio frames with odd index. As a result, the periodicity of NB-PSS signal is 10 ms whereas the periodicity for NB-SSS signal is 20 ms. Figure 1(b) shows an example for in-band deployment with two transmit antennas, wherein the NB-PSS/SSS signals transmitted from the second antenna are flipped by a negative sign periodically for every second transmission. </w:t>
      </w:r>
    </w:p>
    <w:p w:rsidR="00612EFF" w:rsidRPr="00266FB4" w:rsidRDefault="00612EFF" w:rsidP="00612EFF">
      <w:pPr>
        <w:pStyle w:val="LGTdoc"/>
        <w:spacing w:line="240" w:lineRule="auto"/>
        <w:rPr>
          <w:rFonts w:eastAsia="Malgun Gothic"/>
          <w:kern w:val="0"/>
          <w:sz w:val="20"/>
          <w:szCs w:val="20"/>
          <w:lang w:val="en-US"/>
        </w:rPr>
      </w:pPr>
      <w:r w:rsidRPr="00266FB4">
        <w:rPr>
          <w:rFonts w:eastAsia="Malgun Gothic"/>
          <w:kern w:val="0"/>
          <w:sz w:val="20"/>
          <w:szCs w:val="20"/>
          <w:lang w:val="en-US"/>
        </w:rPr>
        <w:t>For guard-band and stand-alone deployments, there is no need to consider CRS punctures, but the first three OFDM symbols are still excluded in resource mapping. In particular, the use of transmit diversity is desirable for coverage extension for in-band</w:t>
      </w:r>
      <w:r>
        <w:rPr>
          <w:rFonts w:eastAsia="Malgun Gothic"/>
          <w:kern w:val="0"/>
          <w:sz w:val="20"/>
          <w:szCs w:val="20"/>
          <w:lang w:val="en-US"/>
        </w:rPr>
        <w:t xml:space="preserve"> and guard-band deployments</w:t>
      </w:r>
      <w:r w:rsidRPr="00266FB4">
        <w:rPr>
          <w:rFonts w:eastAsia="Malgun Gothic"/>
          <w:kern w:val="0"/>
          <w:sz w:val="20"/>
          <w:szCs w:val="20"/>
          <w:lang w:val="en-US"/>
        </w:rPr>
        <w:t>.</w:t>
      </w:r>
    </w:p>
    <w:p w:rsidR="00612EFF" w:rsidRPr="00266FB4" w:rsidRDefault="00612EFF" w:rsidP="00612EFF">
      <w:pPr>
        <w:pStyle w:val="LGTdoc1"/>
        <w:spacing w:before="120" w:after="220" w:afterAutospacing="0"/>
        <w:ind w:left="432" w:firstLine="198"/>
        <w:rPr>
          <w:rFonts w:eastAsia="Malgun Gothic"/>
          <w:b w:val="0"/>
          <w:sz w:val="20"/>
          <w:lang w:val="en-US"/>
        </w:rPr>
      </w:pPr>
      <w:r w:rsidRPr="00266FB4">
        <w:rPr>
          <w:rFonts w:eastAsia="Malgun Gothic"/>
          <w:b w:val="0"/>
          <w:noProof/>
          <w:sz w:val="20"/>
          <w:lang w:val="en-US" w:eastAsia="en-US"/>
        </w:rPr>
        <w:lastRenderedPageBreak/>
        <mc:AlternateContent>
          <mc:Choice Requires="wps">
            <w:drawing>
              <wp:anchor distT="45720" distB="45720" distL="114300" distR="114300" simplePos="0" relativeHeight="251659264" behindDoc="0" locked="0" layoutInCell="1" allowOverlap="1" wp14:anchorId="5D0E4E80" wp14:editId="08E666CF">
                <wp:simplePos x="0" y="0"/>
                <wp:positionH relativeFrom="column">
                  <wp:posOffset>408305</wp:posOffset>
                </wp:positionH>
                <wp:positionV relativeFrom="paragraph">
                  <wp:posOffset>3258820</wp:posOffset>
                </wp:positionV>
                <wp:extent cx="4777105" cy="234315"/>
                <wp:effectExtent l="0" t="1270" r="0" b="2540"/>
                <wp:wrapSquare wrapText="bothSides"/>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710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2EFF" w:rsidRDefault="00612EFF" w:rsidP="00612EFF">
                            <w:pPr>
                              <w:rPr>
                                <w:b/>
                              </w:rPr>
                            </w:pPr>
                            <w:r>
                              <w:rPr>
                                <w:b/>
                              </w:rPr>
                              <w:t>Fig. 1(a):   Resource Mapping for NB-PSS/SSS Signals without Transmit Diversity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0E4E80" id="_x0000_t202" coordsize="21600,21600" o:spt="202" path="m,l,21600r21600,l21600,xe">
                <v:stroke joinstyle="miter"/>
                <v:path gradientshapeok="t" o:connecttype="rect"/>
              </v:shapetype>
              <v:shape id="Text Box 41" o:spid="_x0000_s1026" type="#_x0000_t202" style="position:absolute;left:0;text-align:left;margin-left:32.15pt;margin-top:256.6pt;width:376.15pt;height:18.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ixuggIAABEFAAAOAAAAZHJzL2Uyb0RvYy54bWysVNuO2yAQfa/Uf0C8Z30p2cTWOqu91FWl&#10;7UXa7QcQg2NUDBRI7G3Vf++Ak2y2F6mq6gfMwHCYmXOGi8uxl2jHrRNaVTg7SzHiqtFMqE2FPz3U&#10;syVGzlPFqNSKV/iRO3y5evniYjAlz3WnJeMWAYhy5WAq3HlvyiRxTcd76s604Qo2W2176sG0m4RZ&#10;OgB6L5M8Tc+TQVtmrG64c7B6O23iVcRvW974D23ruEeywhCbj6ON4zqMyeqClhtLTSeafRj0H6Lo&#10;qVBw6RHqlnqKtlb8AtWLxmqnW3/W6D7RbSsaHnOAbLL0p2zuO2p4zAWK48yxTO7/wTbvdx8tEqzC&#10;JMNI0R44euCjR9d6RLAE9RmMK8Ht3oCjH2EdeI65OnOnm88OKX3TUbXhV9bqoeOUQXzxZHJydMJx&#10;AWQ9vNMM7qFbryPQ2No+FA/KgQAdeHo8chNiaWCRLBaLLJ1j1MBe/oq8yuYhuISWh9PGOv+G6x6F&#10;SYUtcB/R6e7O+cn14BIuc1oKVgspo2E36xtp0Y6CTur47dGfuUkVnJUOxybEaQWChDvCXgg38v6t&#10;yHKSXufFrD5fLmakJvNZsUiXszQrrovzlBTktv4eAsxI2QnGuLoTih80mJG/43jfDZN6ogrRUOFi&#10;ns8niv6YZBq/3yXZCw8tKUVf4eXRiZaB2NeKQdq09FTIaZ48Dz8SAjU4/GNVogwC85MG/LgeASVo&#10;Y63ZIwjCauALWId3BCadtl8xGqAnK+y+bKnlGMm3CkRVZISEJo4GmS9yMOzpzvp0h6oGoCrsMZqm&#10;N35q/K2xYtPBTQcZX4EQaxE18hQVpBAM6LuYzP6NCI19akevp5ds9QMAAP//AwBQSwMEFAAGAAgA&#10;AAAhAJCs2YTfAAAACgEAAA8AAABkcnMvZG93bnJldi54bWxMj8tOwzAQRfdI/IM1SOyok5ZEVYhT&#10;VVRsWCBRkGDpxpM4wi/Zbhr+nmEFy5k5unNuu1usYTPGNHknoFwVwND1Xk1uFPD+9nS3BZaydEoa&#10;71DANybYdddXrWyUv7hXnI95ZBTiUiMF6JxDw3nqNVqZVj6go9vgo5WZxjhyFeWFwq3h66KouZWT&#10;ow9aBnzU2H8dz1bAh9WTOsSXz0GZ+fA87KuwxCDE7c2yfwCWccl/MPzqkzp05HTyZ6cSMwLq+w2R&#10;AqpyswZGwLasa2An2lRFCbxr+f8K3Q8AAAD//wMAUEsBAi0AFAAGAAgAAAAhALaDOJL+AAAA4QEA&#10;ABMAAAAAAAAAAAAAAAAAAAAAAFtDb250ZW50X1R5cGVzXS54bWxQSwECLQAUAAYACAAAACEAOP0h&#10;/9YAAACUAQAACwAAAAAAAAAAAAAAAAAvAQAAX3JlbHMvLnJlbHNQSwECLQAUAAYACAAAACEAnhIs&#10;boICAAARBQAADgAAAAAAAAAAAAAAAAAuAgAAZHJzL2Uyb0RvYy54bWxQSwECLQAUAAYACAAAACEA&#10;kKzZhN8AAAAKAQAADwAAAAAAAAAAAAAAAADcBAAAZHJzL2Rvd25yZXYueG1sUEsFBgAAAAAEAAQA&#10;8wAAAOgFAAAAAA==&#10;" stroked="f">
                <v:textbox style="mso-fit-shape-to-text:t">
                  <w:txbxContent>
                    <w:p w:rsidR="00612EFF" w:rsidRDefault="00612EFF" w:rsidP="00612EFF">
                      <w:pPr>
                        <w:rPr>
                          <w:b/>
                        </w:rPr>
                      </w:pPr>
                      <w:r>
                        <w:rPr>
                          <w:b/>
                        </w:rPr>
                        <w:t>Fig. 1(a):   Resource Mapping for NB-PSS/SSS Signals without Transmit Diversity</w:t>
                      </w:r>
                    </w:p>
                  </w:txbxContent>
                </v:textbox>
                <w10:wrap type="square"/>
              </v:shape>
            </w:pict>
          </mc:Fallback>
        </mc:AlternateContent>
      </w:r>
      <w:r w:rsidRPr="00266FB4">
        <w:rPr>
          <w:rFonts w:eastAsia="Malgun Gothic"/>
          <w:b w:val="0"/>
          <w:noProof/>
          <w:sz w:val="20"/>
          <w:lang w:val="en-US" w:eastAsia="en-US"/>
        </w:rPr>
        <w:drawing>
          <wp:inline distT="0" distB="0" distL="0" distR="0" wp14:anchorId="0A02D2AB" wp14:editId="295897D4">
            <wp:extent cx="4438650" cy="31337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38650" cy="3133725"/>
                    </a:xfrm>
                    <a:prstGeom prst="rect">
                      <a:avLst/>
                    </a:prstGeom>
                    <a:noFill/>
                    <a:ln>
                      <a:noFill/>
                    </a:ln>
                  </pic:spPr>
                </pic:pic>
              </a:graphicData>
            </a:graphic>
          </wp:inline>
        </w:drawing>
      </w:r>
    </w:p>
    <w:p w:rsidR="00612EFF" w:rsidRDefault="00612EFF" w:rsidP="00612EFF">
      <w:pPr>
        <w:pStyle w:val="LGTdoc1"/>
        <w:spacing w:before="120" w:after="220" w:afterAutospacing="0"/>
        <w:ind w:left="432"/>
        <w:rPr>
          <w:rFonts w:ascii="Arial" w:hAnsi="Arial" w:cs="Arial"/>
          <w:lang w:val="en-US"/>
        </w:rPr>
      </w:pPr>
    </w:p>
    <w:p w:rsidR="00612EFF" w:rsidRDefault="00612EFF" w:rsidP="00612EFF">
      <w:pPr>
        <w:pStyle w:val="LGTdoc1"/>
        <w:spacing w:before="120" w:after="220" w:afterAutospacing="0"/>
        <w:ind w:firstLine="630"/>
        <w:rPr>
          <w:rFonts w:ascii="Arial" w:hAnsi="Arial" w:cs="Arial"/>
          <w:lang w:val="en-US"/>
        </w:rPr>
      </w:pPr>
      <w:r>
        <w:rPr>
          <w:noProof/>
          <w:lang w:val="en-US" w:eastAsia="en-US"/>
        </w:rPr>
        <mc:AlternateContent>
          <mc:Choice Requires="wps">
            <w:drawing>
              <wp:anchor distT="45720" distB="45720" distL="114300" distR="114300" simplePos="0" relativeHeight="251660288" behindDoc="0" locked="0" layoutInCell="1" allowOverlap="1" wp14:anchorId="46C57236" wp14:editId="1FBB656D">
                <wp:simplePos x="0" y="0"/>
                <wp:positionH relativeFrom="column">
                  <wp:posOffset>590550</wp:posOffset>
                </wp:positionH>
                <wp:positionV relativeFrom="paragraph">
                  <wp:posOffset>4029710</wp:posOffset>
                </wp:positionV>
                <wp:extent cx="4594225" cy="234315"/>
                <wp:effectExtent l="0" t="635" r="0" b="3175"/>
                <wp:wrapSquare wrapText="bothSides"/>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2EFF" w:rsidRDefault="00612EFF" w:rsidP="00612EFF">
                            <w:pPr>
                              <w:rPr>
                                <w:b/>
                              </w:rPr>
                            </w:pPr>
                            <w:r>
                              <w:rPr>
                                <w:b/>
                              </w:rPr>
                              <w:t>Fig. 1(b):   Resource Mapping for NB-PSS/SSS Signals with Transmit Diversity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6C57236" id="Text Box 40" o:spid="_x0000_s1027" type="#_x0000_t202" style="position:absolute;left:0;text-align:left;margin-left:46.5pt;margin-top:317.3pt;width:361.75pt;height:18.4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YjhQIAABgFAAAOAAAAZHJzL2Uyb0RvYy54bWysVMlu2zAQvRfoPxC8O1pCJ5YQOchSFQXS&#10;BUj6ATRJWUQlkiVpS2nQf++Qsh2nC1AU1YHiMnzzZuYNLy7HvkNbYZ3UqsLZSYqRUExzqdYV/vxQ&#10;zxYYOU8Vp51WosKPwuHL5etXF4MpRa5b3XFhEYAoVw6mwq33pkwSx1rRU3eijVBw2GjbUw9Lu064&#10;pQOg912Sp+lZMmjLjdVMOAe7t9MhXkb8phHMf2waJzzqKgzcfBxtHFdhTJYXtFxbalrJdjToP7Do&#10;qVTg9AB1Sz1FGyt/geols9rpxp8w3Se6aSQTMQaIJkt/iua+pUbEWCA5zhzS5P4fLPuw/WSR5BUm&#10;kB5Fe6jRgxg9utYjgi3Iz2BcCWb3Bgz9CPtQ5xirM3eafXFI6ZuWqrW4slYPraAc+GXhZnJ0dcJx&#10;AWQ1vNcc/NCN1xFobGwfkgfpQIAORB4PtQlcGGySeUHyfI4Rg7P8lJxm8+iClvvbxjr/VugehUmF&#10;LdQ+otPtnfOBDS33JsGZ053ktey6uLDr1U1n0ZaCTur47dBfmHUqGCsdrk2I0w6QBB/hLNCNdX8q&#10;spyk13kxq88W5zNSk/msOE8XszQrrouzlBTktv4eCGakbCXnQt1JJfYazMjf1XjXDZN6ogrRUOFi&#10;DpmKcf0xyDR+vwuylx5aspN9hRcHI1qGwr5RHMKmpaeym+bJS/oxy5CD/T9mJcogVH7SgB9XY1Rc&#10;1EiQyErzR9CF1VA2KD48JzBptf2G0QCtWWH3dUOtwKh7p0BbRUaCWH1ckPl5Dgt7fLI6PqGKAVSF&#10;PUbT9MZP/b8xVq5b8LRX8xXosZZRKs+sdiqG9osx7Z6K0N/H62j1/KAtfwAAAP//AwBQSwMEFAAG&#10;AAgAAAAhAB1BvtvgAAAACgEAAA8AAABkcnMvZG93bnJldi54bWxMj8FOwzAQRO9I/IO1SNyoE0pC&#10;CXGqiooLByQKUnt0400cYa8j203D32NO9Dg7o9k39Xq2hk3ow+BIQL7IgCG1Tg3UC/j6fL1bAQtR&#10;kpLGEQr4wQDr5vqqlpVyZ/rAaRd7lkooVFKAjnGsOA+tRivDwo1IyeuctzIm6XuuvDyncmv4fZaV&#10;3MqB0gctR3zR2H7vTlbA3upBbf37oVNm2r51m2Kc/SjE7c28eQYWcY7/YfjDT+jQJKajO5EKzAh4&#10;WqYpUUC5fCiBpcAqLwtgx3R5zAvgTc0vJzS/AAAA//8DAFBLAQItABQABgAIAAAAIQC2gziS/gAA&#10;AOEBAAATAAAAAAAAAAAAAAAAAAAAAABbQ29udGVudF9UeXBlc10ueG1sUEsBAi0AFAAGAAgAAAAh&#10;ADj9If/WAAAAlAEAAAsAAAAAAAAAAAAAAAAALwEAAF9yZWxzLy5yZWxzUEsBAi0AFAAGAAgAAAAh&#10;AICHBiOFAgAAGAUAAA4AAAAAAAAAAAAAAAAALgIAAGRycy9lMm9Eb2MueG1sUEsBAi0AFAAGAAgA&#10;AAAhAB1BvtvgAAAACgEAAA8AAAAAAAAAAAAAAAAA3wQAAGRycy9kb3ducmV2LnhtbFBLBQYAAAAA&#10;BAAEAPMAAADsBQAAAAA=&#10;" stroked="f">
                <v:textbox style="mso-fit-shape-to-text:t">
                  <w:txbxContent>
                    <w:p w:rsidR="00612EFF" w:rsidRDefault="00612EFF" w:rsidP="00612EFF">
                      <w:pPr>
                        <w:rPr>
                          <w:b/>
                        </w:rPr>
                      </w:pPr>
                      <w:r>
                        <w:rPr>
                          <w:b/>
                        </w:rPr>
                        <w:t>Fig. 1(b):   Resource Mapping for NB-PSS/SSS Signals with Transmit Diversity</w:t>
                      </w:r>
                    </w:p>
                  </w:txbxContent>
                </v:textbox>
                <w10:wrap type="square"/>
              </v:shape>
            </w:pict>
          </mc:Fallback>
        </mc:AlternateContent>
      </w:r>
      <w:r>
        <w:rPr>
          <w:rFonts w:ascii="Arial" w:hAnsi="Arial" w:cs="Arial"/>
          <w:noProof/>
          <w:lang w:val="en-US" w:eastAsia="en-US"/>
        </w:rPr>
        <w:drawing>
          <wp:inline distT="0" distB="0" distL="0" distR="0" wp14:anchorId="732EB7F9" wp14:editId="6254C032">
            <wp:extent cx="4476750" cy="3800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6750" cy="3800475"/>
                    </a:xfrm>
                    <a:prstGeom prst="rect">
                      <a:avLst/>
                    </a:prstGeom>
                    <a:noFill/>
                    <a:ln>
                      <a:noFill/>
                    </a:ln>
                  </pic:spPr>
                </pic:pic>
              </a:graphicData>
            </a:graphic>
          </wp:inline>
        </w:drawing>
      </w:r>
    </w:p>
    <w:p w:rsidR="00612EFF" w:rsidRDefault="00612EFF" w:rsidP="00612EFF">
      <w:pPr>
        <w:pStyle w:val="LGTdoc1"/>
        <w:spacing w:before="120" w:after="220" w:afterAutospacing="0"/>
        <w:rPr>
          <w:rFonts w:ascii="Arial" w:hAnsi="Arial" w:cs="Arial"/>
          <w:lang w:val="en-US"/>
        </w:rPr>
      </w:pPr>
    </w:p>
    <w:p w:rsidR="00612EFF" w:rsidRDefault="00612EFF" w:rsidP="00612EFF">
      <w:pPr>
        <w:pStyle w:val="Heading2"/>
        <w:rPr>
          <w:lang w:val="en-US"/>
        </w:rPr>
      </w:pPr>
    </w:p>
    <w:p w:rsidR="00612EFF" w:rsidRDefault="00612EFF" w:rsidP="00612EFF">
      <w:pPr>
        <w:pStyle w:val="Heading2"/>
        <w:rPr>
          <w:lang w:val="en-US"/>
        </w:rPr>
      </w:pPr>
      <w:r>
        <w:rPr>
          <w:lang w:val="en-US"/>
        </w:rPr>
        <w:t>2.1</w:t>
      </w:r>
      <w:r>
        <w:rPr>
          <w:lang w:val="en-US"/>
        </w:rPr>
        <w:tab/>
        <w:t>Design of NB-PSS Sequence</w:t>
      </w: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 xml:space="preserve">The main features of proposed NB-PSS design </w:t>
      </w:r>
      <w:r>
        <w:rPr>
          <w:rFonts w:eastAsia="Malgun Gothic" w:cs="Times New Roman"/>
          <w:color w:val="auto"/>
          <w:kern w:val="0"/>
          <w:lang w:val="en-US" w:eastAsia="ko-KR"/>
        </w:rPr>
        <w:t>can be outlined as follows</w:t>
      </w:r>
      <w:r w:rsidRPr="00266FB4">
        <w:rPr>
          <w:rFonts w:eastAsia="Malgun Gothic" w:cs="Times New Roman"/>
          <w:color w:val="auto"/>
          <w:kern w:val="0"/>
          <w:lang w:val="en-US" w:eastAsia="ko-KR"/>
        </w:rPr>
        <w:t>:</w:t>
      </w:r>
    </w:p>
    <w:p w:rsidR="00612EFF" w:rsidRPr="00266FB4" w:rsidRDefault="00612EFF" w:rsidP="00612EFF">
      <w:pPr>
        <w:widowControl w:val="0"/>
        <w:numPr>
          <w:ilvl w:val="0"/>
          <w:numId w:val="3"/>
        </w:numPr>
        <w:wordWrap w:val="0"/>
        <w:overflowPunct/>
        <w:adjustRightInd/>
        <w:spacing w:after="0"/>
        <w:jc w:val="both"/>
        <w:textAlignment w:val="auto"/>
        <w:rPr>
          <w:lang w:val="en-US" w:eastAsia="ko-KR"/>
        </w:rPr>
      </w:pPr>
      <w:r w:rsidRPr="00266FB4">
        <w:rPr>
          <w:lang w:val="en-US" w:eastAsia="ko-KR"/>
        </w:rPr>
        <w:t>Constructed by concatenation of short Zadoff-Chu sequences</w:t>
      </w:r>
    </w:p>
    <w:p w:rsidR="00612EFF" w:rsidRPr="00266FB4" w:rsidRDefault="00612EFF" w:rsidP="00612EFF">
      <w:pPr>
        <w:pStyle w:val="BodyText"/>
        <w:numPr>
          <w:ilvl w:val="0"/>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lastRenderedPageBreak/>
        <w:t>Employing a dual-layer design for base sequence (across 11 consecutive subcarriers of 1 PRB in frequency domain) and code cover (across 11 OFDM symbols in time domain)</w:t>
      </w:r>
    </w:p>
    <w:p w:rsidR="00612EFF" w:rsidRPr="00266FB4" w:rsidRDefault="00612EFF" w:rsidP="00612EFF">
      <w:pPr>
        <w:pStyle w:val="BodyText"/>
        <w:numPr>
          <w:ilvl w:val="1"/>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 xml:space="preserve">Base sequence </w:t>
      </w:r>
    </w:p>
    <w:p w:rsidR="00612EFF" w:rsidRPr="00266FB4" w:rsidRDefault="00612EFF" w:rsidP="00612EFF">
      <w:pPr>
        <w:pStyle w:val="BodyText"/>
        <w:numPr>
          <w:ilvl w:val="2"/>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Constructed in time domain by interpolating a Zadoff-Chu sequence of length-K (K=11) with good correlation properties in both time and frequency domain</w:t>
      </w:r>
    </w:p>
    <w:p w:rsidR="00612EFF" w:rsidRPr="00266FB4" w:rsidRDefault="00612EFF" w:rsidP="00612EFF">
      <w:pPr>
        <w:pStyle w:val="BodyText"/>
        <w:numPr>
          <w:ilvl w:val="2"/>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Each PSS symbol embraces one base sequence (CP included)</w:t>
      </w:r>
    </w:p>
    <w:p w:rsidR="00612EFF" w:rsidRPr="00266FB4" w:rsidRDefault="00612EFF" w:rsidP="00612EFF">
      <w:pPr>
        <w:pStyle w:val="BodyText"/>
        <w:numPr>
          <w:ilvl w:val="2"/>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The one-to-one mapping from PSS symbols to base sequences is governed by a binary code cover of length 11</w:t>
      </w:r>
    </w:p>
    <w:p w:rsidR="00612EFF" w:rsidRPr="00266FB4" w:rsidRDefault="00612EFF" w:rsidP="00612EFF">
      <w:pPr>
        <w:pStyle w:val="BodyText"/>
        <w:numPr>
          <w:ilvl w:val="1"/>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Code cover</w:t>
      </w:r>
    </w:p>
    <w:p w:rsidR="00612EFF" w:rsidRPr="00266FB4" w:rsidRDefault="00612EFF" w:rsidP="00612EFF">
      <w:pPr>
        <w:pStyle w:val="BodyText"/>
        <w:numPr>
          <w:ilvl w:val="2"/>
          <w:numId w:val="3"/>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 xml:space="preserve">Comprising a binary sequence {Sl ; Sl =±1 and 1≤l≤11} with random-like pattern </w:t>
      </w:r>
    </w:p>
    <w:p w:rsidR="00612EFF" w:rsidRPr="00266FB4" w:rsidRDefault="00612EFF" w:rsidP="00612EFF">
      <w:pPr>
        <w:widowControl w:val="0"/>
        <w:numPr>
          <w:ilvl w:val="2"/>
          <w:numId w:val="3"/>
        </w:numPr>
        <w:wordWrap w:val="0"/>
        <w:overflowPunct/>
        <w:adjustRightInd/>
        <w:spacing w:after="0"/>
        <w:jc w:val="both"/>
        <w:textAlignment w:val="auto"/>
        <w:rPr>
          <w:lang w:val="en-US" w:eastAsia="ko-KR"/>
        </w:rPr>
      </w:pPr>
      <w:r w:rsidRPr="00266FB4">
        <w:rPr>
          <w:lang w:val="en-US" w:eastAsia="ko-KR"/>
        </w:rPr>
        <w:t>Pattern of code cover can be optimized to improve the accuracy and reliability of cell acquisition</w:t>
      </w:r>
    </w:p>
    <w:p w:rsidR="00612EFF" w:rsidRPr="00266FB4" w:rsidRDefault="00612EFF" w:rsidP="00612EFF">
      <w:pPr>
        <w:ind w:left="2160"/>
        <w:rPr>
          <w:lang w:val="en-US" w:eastAsia="ko-KR"/>
        </w:rPr>
      </w:pP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Through joint optimization of code cover and base sequence, we propose the following configuration for NB-PSS signal:</w:t>
      </w:r>
    </w:p>
    <w:p w:rsidR="00612EFF" w:rsidRPr="00266FB4" w:rsidRDefault="00612EFF" w:rsidP="00612EFF">
      <w:pPr>
        <w:pStyle w:val="BodyText"/>
        <w:numPr>
          <w:ilvl w:val="0"/>
          <w:numId w:val="4"/>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Base Sequence</w:t>
      </w:r>
    </w:p>
    <w:p w:rsidR="00612EFF" w:rsidRDefault="00612EFF" w:rsidP="00612EFF">
      <w:pPr>
        <w:pStyle w:val="BodyText"/>
        <w:ind w:left="1440" w:firstLine="540"/>
        <w:rPr>
          <w:rFonts w:eastAsia="SimSun"/>
          <w:lang w:eastAsia="zh-CN"/>
        </w:rPr>
      </w:pPr>
      <w:r>
        <w:rPr>
          <w:rFonts w:eastAsia="SimSu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7pt" equationxml="&lt;">
            <v:imagedata r:id="rId7" o:title="" chromakey="white"/>
          </v:shape>
        </w:pict>
      </w:r>
    </w:p>
    <w:p w:rsidR="00612EFF" w:rsidRPr="00266FB4" w:rsidRDefault="00612EFF" w:rsidP="00612EFF">
      <w:pPr>
        <w:pStyle w:val="BodyText"/>
        <w:numPr>
          <w:ilvl w:val="0"/>
          <w:numId w:val="4"/>
        </w:numPr>
        <w:overflowPunct/>
        <w:autoSpaceDE/>
        <w:autoSpaceDN/>
        <w:adjustRightInd/>
        <w:snapToGrid w:val="0"/>
        <w:spacing w:after="120"/>
        <w:jc w:val="both"/>
        <w:textAlignment w:val="auto"/>
        <w:rPr>
          <w:rFonts w:eastAsia="Malgun Gothic" w:cs="Times New Roman"/>
          <w:color w:val="auto"/>
          <w:kern w:val="0"/>
          <w:lang w:val="en-US" w:eastAsia="ko-KR"/>
        </w:rPr>
      </w:pPr>
      <w:r w:rsidRPr="00266FB4">
        <w:rPr>
          <w:rFonts w:eastAsia="Malgun Gothic" w:cs="Times New Roman"/>
          <w:color w:val="auto"/>
          <w:kern w:val="0"/>
          <w:lang w:val="en-US" w:eastAsia="ko-KR"/>
        </w:rPr>
        <w:t>Code Cover</w:t>
      </w:r>
    </w:p>
    <w:p w:rsidR="00612EFF" w:rsidRPr="00266FB4" w:rsidRDefault="00612EFF" w:rsidP="00612EFF">
      <w:pPr>
        <w:pStyle w:val="BodyText"/>
        <w:spacing w:after="120"/>
        <w:ind w:left="1440"/>
        <w:rPr>
          <w:rFonts w:eastAsia="Malgun Gothic" w:cs="Times New Roman"/>
          <w:color w:val="auto"/>
          <w:kern w:val="0"/>
          <w:lang w:val="en-US" w:eastAsia="ko-KR"/>
        </w:rPr>
      </w:pPr>
      <w:r w:rsidRPr="00266FB4">
        <w:rPr>
          <w:rFonts w:eastAsia="Malgun Gothic" w:cs="Times New Roman"/>
          <w:color w:val="auto"/>
          <w:kern w:val="0"/>
          <w:lang w:val="en-US" w:eastAsia="ko-KR"/>
        </w:rPr>
        <w:t>S{1:11}=[1   1   1   1   -1   -1   1   1   1   -1   1]</w:t>
      </w:r>
    </w:p>
    <w:p w:rsidR="00612EFF" w:rsidRPr="00266FB4" w:rsidRDefault="00612EFF" w:rsidP="00612EFF">
      <w:pPr>
        <w:pStyle w:val="BodyText"/>
        <w:spacing w:after="120"/>
        <w:rPr>
          <w:rFonts w:eastAsia="Malgun Gothic" w:cs="Times New Roman"/>
          <w:color w:val="auto"/>
          <w:kern w:val="0"/>
          <w:lang w:val="en-US" w:eastAsia="ko-KR"/>
        </w:rPr>
      </w:pP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To illustrate, Figure 2 and Figure 3 show the mapping of code cover and base sequence in time and frequency domain, respectively.</w:t>
      </w:r>
    </w:p>
    <w:p w:rsidR="00612EFF" w:rsidRDefault="00612EFF" w:rsidP="00612EFF">
      <w:pPr>
        <w:pStyle w:val="BodyText"/>
        <w:spacing w:after="120"/>
        <w:rPr>
          <w:rFonts w:eastAsia="SimSun"/>
          <w:lang w:eastAsia="zh-CN"/>
        </w:rPr>
      </w:pPr>
    </w:p>
    <w:p w:rsidR="00612EFF" w:rsidRDefault="00612EFF" w:rsidP="00612EFF">
      <w:pPr>
        <w:pStyle w:val="BodyText"/>
        <w:spacing w:after="120"/>
        <w:ind w:firstLine="630"/>
        <w:rPr>
          <w:rFonts w:eastAsia="SimSun"/>
          <w:lang w:eastAsia="zh-CN"/>
        </w:rPr>
      </w:pPr>
      <w:r>
        <w:rPr>
          <w:rFonts w:eastAsia="Batang"/>
          <w:noProof/>
          <w:lang w:val="en-US" w:eastAsia="en-US"/>
        </w:rPr>
        <mc:AlternateContent>
          <mc:Choice Requires="wps">
            <w:drawing>
              <wp:anchor distT="45720" distB="45720" distL="114300" distR="114300" simplePos="0" relativeHeight="251661312" behindDoc="0" locked="0" layoutInCell="1" allowOverlap="1" wp14:anchorId="685E1800" wp14:editId="7CCBB008">
                <wp:simplePos x="0" y="0"/>
                <wp:positionH relativeFrom="column">
                  <wp:posOffset>255905</wp:posOffset>
                </wp:positionH>
                <wp:positionV relativeFrom="paragraph">
                  <wp:posOffset>1041400</wp:posOffset>
                </wp:positionV>
                <wp:extent cx="5781040" cy="234315"/>
                <wp:effectExtent l="0" t="3175" r="1905" b="635"/>
                <wp:wrapSquare wrapText="bothSides"/>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2EFF" w:rsidRDefault="00612EFF" w:rsidP="00612EFF">
                            <w:pPr>
                              <w:jc w:val="center"/>
                              <w:rPr>
                                <w:b/>
                              </w:rPr>
                            </w:pPr>
                            <w:r>
                              <w:rPr>
                                <w:b/>
                              </w:rPr>
                              <w:t>Figure 2:  Mapping of Length-11 Code Cover to OFDM Symbols in Time Domain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85E1800" id="Text Box 39" o:spid="_x0000_s1028" type="#_x0000_t202" style="position:absolute;left:0;text-align:left;margin-left:20.15pt;margin-top:82pt;width:455.2pt;height:18.4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pTShQIAABgFAAAOAAAAZHJzL2Uyb0RvYy54bWysVFtv2yAUfp+0/4B4T32p08RWnWpt52lS&#10;d5Ha/QACOEbDwIDE7qb99x1wkqa7SNM0P2DgHL5z+T64vBp7iXbcOqFVjbOzFCOuqGZCbWr86aGZ&#10;LTFynihGpFa8xo/c4avVyxeXg6l4rjstGbcIQJSrBlPjzntTJYmjHe+JO9OGKzC22vbEw9JuEmbJ&#10;AOi9TPI0vUgGbZmxmnLnYPd2MuJVxG9bTv2HtnXcI1ljyM3H0cZxHcZkdUmqjSWmE3SfBvmHLHoi&#10;FAQ9Qt0ST9DWil+gekGtdrr1Z1T3iW5bQXmsAarJ0p+que+I4bEWaI4zxza5/wdL3+8+WiRYjc9L&#10;jBTpgaMHPnp0rUcEW9CfwbgK3O4NOPoR9oHnWKszd5p+dkjpm46oDX9lrR46Thjkl4WTycnRCccF&#10;kPXwTjOIQ7ZeR6CxtX1oHrQDATrw9HjkJuRCYXO+WGZpASYKtvy8OM/mMQSpDqeNdf4N1z0Kkxpb&#10;4D6ik92d8yEbUh1cQjCnpWCNkDIu7GZ9Iy3aEdBJE789+jM3qYKz0uHYhDjtQJIQI9hCupH3b2WW&#10;F+l1Xs6ai+ViVjTFfFYu0uUszcrr8iItyuK2+R4SzIqqE4xxdScUP2gwK/6O4/1tmNQTVYiGGpfz&#10;fD5R9Mci0/j9rsheeLiSUvQ1Xh6dSBWIfa0YlE0qT4Sc5snz9GOXoQeHf+xKlEFgftKAH9djVFwe&#10;ogeJrDV7BF1YDbQBw/CcwKTT9itGA1zNGrsvW2I5RvKtAm2VWRGE4OOimC9yWNhTy/rUQhQFqBp7&#10;jKbpjZ/u/9ZYsekg0kHNr0CPjYhSecpqr2K4frGm/VMR7vfpOno9PWirHwAAAP//AwBQSwMEFAAG&#10;AAgAAAAhAPoRQiHdAAAACgEAAA8AAABkcnMvZG93bnJldi54bWxMj8tOwzAQRfdI/IM1SOyoDfRB&#10;Q5yqomLDAomCVJZu7MQR9tiy3TT8PcMKlnPn6D7qzeQdG03KQ0AJtzMBzGAb9IC9hI/355sHYLko&#10;1MoFNBK+TYZNc3lRq0qHM76ZcV96RiaYKyXBlhIrznNrjVd5FqJB+nUheVXoTD3XSZ3J3Dt+J8SS&#10;ezUgJVgVzZM17df+5CUcvB30Lr1+dtqNu5duu4hTilJeX03bR2DFTOUPht/6VB0a6nQMJ9SZOQlz&#10;cU8k6cs5bSJgvRArYEcJlLsG3tT8/4TmBwAA//8DAFBLAQItABQABgAIAAAAIQC2gziS/gAAAOEB&#10;AAATAAAAAAAAAAAAAAAAAAAAAABbQ29udGVudF9UeXBlc10ueG1sUEsBAi0AFAAGAAgAAAAhADj9&#10;If/WAAAAlAEAAAsAAAAAAAAAAAAAAAAALwEAAF9yZWxzLy5yZWxzUEsBAi0AFAAGAAgAAAAhADQ2&#10;lNKFAgAAGAUAAA4AAAAAAAAAAAAAAAAALgIAAGRycy9lMm9Eb2MueG1sUEsBAi0AFAAGAAgAAAAh&#10;APoRQiHdAAAACgEAAA8AAAAAAAAAAAAAAAAA3wQAAGRycy9kb3ducmV2LnhtbFBLBQYAAAAABAAE&#10;APMAAADpBQAAAAA=&#10;" stroked="f">
                <v:textbox style="mso-fit-shape-to-text:t">
                  <w:txbxContent>
                    <w:p w:rsidR="00612EFF" w:rsidRDefault="00612EFF" w:rsidP="00612EFF">
                      <w:pPr>
                        <w:jc w:val="center"/>
                        <w:rPr>
                          <w:b/>
                        </w:rPr>
                      </w:pPr>
                      <w:r>
                        <w:rPr>
                          <w:b/>
                        </w:rPr>
                        <w:t>Figure 2:  Mapping of Length-11 Code Cover to OFDM Symbols in Time Domain</w:t>
                      </w:r>
                    </w:p>
                  </w:txbxContent>
                </v:textbox>
                <w10:wrap type="square"/>
              </v:shape>
            </w:pict>
          </mc:Fallback>
        </mc:AlternateContent>
      </w:r>
      <w:r>
        <w:rPr>
          <w:rFonts w:eastAsia="SimSun"/>
          <w:noProof/>
          <w:lang w:val="en-US" w:eastAsia="en-US"/>
        </w:rPr>
        <w:drawing>
          <wp:inline distT="0" distB="0" distL="0" distR="0" wp14:anchorId="2D2D22A9" wp14:editId="37977BB2">
            <wp:extent cx="542925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0" cy="762000"/>
                    </a:xfrm>
                    <a:prstGeom prst="rect">
                      <a:avLst/>
                    </a:prstGeom>
                    <a:noFill/>
                    <a:ln>
                      <a:noFill/>
                    </a:ln>
                  </pic:spPr>
                </pic:pic>
              </a:graphicData>
            </a:graphic>
          </wp:inline>
        </w:drawing>
      </w:r>
    </w:p>
    <w:p w:rsidR="00612EFF" w:rsidRDefault="00612EFF" w:rsidP="00612EFF">
      <w:pPr>
        <w:pStyle w:val="BodyText"/>
        <w:spacing w:after="120"/>
        <w:ind w:right="191" w:firstLine="810"/>
        <w:rPr>
          <w:rFonts w:eastAsia="SimSun"/>
          <w:lang w:eastAsia="zh-CN"/>
        </w:rPr>
      </w:pPr>
      <w:r>
        <w:rPr>
          <w:rFonts w:eastAsia="SimSun"/>
          <w:noProof/>
          <w:lang w:val="en-US" w:eastAsia="en-US"/>
        </w:rPr>
        <w:lastRenderedPageBreak/>
        <w:drawing>
          <wp:inline distT="0" distB="0" distL="0" distR="0" wp14:anchorId="49712E62" wp14:editId="160D53D3">
            <wp:extent cx="5391150" cy="2752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2752725"/>
                    </a:xfrm>
                    <a:prstGeom prst="rect">
                      <a:avLst/>
                    </a:prstGeom>
                    <a:noFill/>
                    <a:ln>
                      <a:noFill/>
                    </a:ln>
                  </pic:spPr>
                </pic:pic>
              </a:graphicData>
            </a:graphic>
          </wp:inline>
        </w:drawing>
      </w:r>
    </w:p>
    <w:p w:rsidR="00612EFF" w:rsidRDefault="00612EFF" w:rsidP="00612EFF">
      <w:pPr>
        <w:pStyle w:val="BodyText"/>
        <w:spacing w:after="120"/>
        <w:rPr>
          <w:rFonts w:eastAsia="SimSun"/>
          <w:lang w:eastAsia="zh-CN"/>
        </w:rPr>
      </w:pPr>
      <w:r>
        <w:rPr>
          <w:rFonts w:eastAsia="Batang"/>
          <w:noProof/>
          <w:lang w:val="en-US" w:eastAsia="en-US"/>
        </w:rPr>
        <mc:AlternateContent>
          <mc:Choice Requires="wps">
            <w:drawing>
              <wp:anchor distT="45720" distB="45720" distL="114300" distR="114300" simplePos="0" relativeHeight="251662336" behindDoc="0" locked="0" layoutInCell="1" allowOverlap="1" wp14:anchorId="1855808C" wp14:editId="23314BDC">
                <wp:simplePos x="0" y="0"/>
                <wp:positionH relativeFrom="column">
                  <wp:posOffset>556895</wp:posOffset>
                </wp:positionH>
                <wp:positionV relativeFrom="paragraph">
                  <wp:posOffset>182880</wp:posOffset>
                </wp:positionV>
                <wp:extent cx="5025390" cy="377190"/>
                <wp:effectExtent l="4445" t="1905" r="0" b="1905"/>
                <wp:wrapSquare wrapText="bothSides"/>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5390" cy="377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2EFF" w:rsidRDefault="00612EFF" w:rsidP="00612EFF">
                            <w:pPr>
                              <w:jc w:val="center"/>
                              <w:rPr>
                                <w:b/>
                              </w:rPr>
                            </w:pPr>
                            <w:r>
                              <w:rPr>
                                <w:b/>
                              </w:rPr>
                              <w:t>Figure 3:  Mapping of Base Sequence in Frequency Domain (occupying 11 consecutive tones of 1 PRB, leaving one mull tone at band edge)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855808C" id="Text Box 38" o:spid="_x0000_s1029" type="#_x0000_t202" style="position:absolute;margin-left:43.85pt;margin-top:14.4pt;width:395.7pt;height:29.7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e9ygwIAABgFAAAOAAAAZHJzL2Uyb0RvYy54bWysVFtv2yAUfp+0/4B4T32p08RWnWpt52lS&#10;d5Ha/QACOEbDwIDE7qb99x1wkqa7SNM0P9jAOXzn8n3Hl1djL9GOWye0qnF2lmLEFdVMqE2NPz00&#10;syVGzhPFiNSK1/iRO3y1evnicjAVz3WnJeMWAYhy1WBq3HlvqiRxtOM9cWfacAXGVtueeNjaTcIs&#10;GQC9l0mephfJoC0zVlPuHJzeTka8ivhty6n/0LaOeyRrDLn5+LbxvQ7vZHVJqo0lphN0nwb5hyx6&#10;IhQEPULdEk/Q1opfoHpBrXa69WdU94luW0F5rAGqydKfqrnviOGxFmiOM8c2uf8HS9/vPlokWI3P&#10;gSlFeuDogY8eXesRwRH0ZzCuArd7A45+hHPgOdbqzJ2mnx1S+qYjasNfWauHjhMG+WXhZnJydcJx&#10;AWQ9vNMM4pCt1xFobG0fmgftQIAOPD0euQm5UDicp/n8vAQTBdv5YpHBOoQg1eG2sc6/4bpHYVFj&#10;C9xHdLK7c35yPbiEYE5LwRohZdzYzfpGWrQjoJMmPnv0Z25SBWelw7UJcTqBJCFGsIV0I+/fyiwv&#10;0uu8nDUXy8WsaIr5rFyky1maldflRVqUxW3zPSSYFVUnGOPqTih+0GBW/B3H+2mY1BNViIYal/N8&#10;PlH0xyLT+PyuyF54GEkp+hovj06kCsS+VgzKJpUnQk7r5Hn6kRDoweEbuxJlEJifNODH9TgpLkQP&#10;Ellr9gi6sBpoA4bhdwKLTtuvGA0wmjV2X7bEcozkWwXaKrOiCLMcN8V8kcPGnlrWpxaiKEDV2GM0&#10;LW/8NP9bY8Wmg0gHNb8CPTYiSuUpq72KYfxiTftfRZjv0330evqhrX4AAAD//wMAUEsDBBQABgAI&#10;AAAAIQCLS+Ra3QAAAAgBAAAPAAAAZHJzL2Rvd25yZXYueG1sTI/BTsMwEETvSPyDtUjcqJNINCaN&#10;UyEkLqgHWjhw3CbbOCS2Q+y04e9ZTnDb1Yxm3pTbxQ7iTFPovNOQrhIQ5GrfdK7V8P72fKdAhIiu&#10;wcE70vBNAbbV9VWJReMvbk/nQ2wFh7hQoAYT41hIGWpDFsPKj+RYO/nJYuR3amUz4YXD7SCzJFlL&#10;i53jBoMjPRmq+8NsuWQX6nnvvz7TXS8/TL/G+1fzovXtzfK4ARFpiX9m+MVndKiY6ehn1wQxaFB5&#10;zk4NmeIFrKv8IQVx5ENlIKtS/h9Q/QAAAP//AwBQSwECLQAUAAYACAAAACEAtoM4kv4AAADhAQAA&#10;EwAAAAAAAAAAAAAAAAAAAAAAW0NvbnRlbnRfVHlwZXNdLnhtbFBLAQItABQABgAIAAAAIQA4/SH/&#10;1gAAAJQBAAALAAAAAAAAAAAAAAAAAC8BAABfcmVscy8ucmVsc1BLAQItABQABgAIAAAAIQA3Ue9y&#10;gwIAABgFAAAOAAAAAAAAAAAAAAAAAC4CAABkcnMvZTJvRG9jLnhtbFBLAQItABQABgAIAAAAIQCL&#10;S+Ra3QAAAAgBAAAPAAAAAAAAAAAAAAAAAN0EAABkcnMvZG93bnJldi54bWxQSwUGAAAAAAQABADz&#10;AAAA5wUAAAAA&#10;" stroked="f">
                <v:textbox style="mso-fit-shape-to-text:t">
                  <w:txbxContent>
                    <w:p w:rsidR="00612EFF" w:rsidRDefault="00612EFF" w:rsidP="00612EFF">
                      <w:pPr>
                        <w:jc w:val="center"/>
                        <w:rPr>
                          <w:b/>
                        </w:rPr>
                      </w:pPr>
                      <w:r>
                        <w:rPr>
                          <w:b/>
                        </w:rPr>
                        <w:t>Figure 3:  Mapping of Base Sequence in Frequency Domain (occupying 11 consecutive tones of 1 PRB, leaving one mull tone at band edge)</w:t>
                      </w:r>
                    </w:p>
                  </w:txbxContent>
                </v:textbox>
                <w10:wrap type="square"/>
              </v:shape>
            </w:pict>
          </mc:Fallback>
        </mc:AlternateContent>
      </w:r>
    </w:p>
    <w:p w:rsidR="00612EFF" w:rsidRDefault="00612EFF" w:rsidP="00612EFF">
      <w:pPr>
        <w:pStyle w:val="BodyText"/>
        <w:spacing w:after="120"/>
        <w:rPr>
          <w:rFonts w:eastAsia="SimSun"/>
          <w:lang w:eastAsia="zh-CN"/>
        </w:rPr>
      </w:pPr>
    </w:p>
    <w:p w:rsidR="00612EFF" w:rsidRDefault="00612EFF" w:rsidP="00612EFF">
      <w:pPr>
        <w:pStyle w:val="BodyText"/>
        <w:spacing w:after="120"/>
        <w:rPr>
          <w:rFonts w:eastAsia="SimSun"/>
          <w:lang w:eastAsia="zh-CN"/>
        </w:rPr>
      </w:pPr>
    </w:p>
    <w:p w:rsidR="00612EFF" w:rsidRDefault="00612EFF" w:rsidP="00612EFF">
      <w:pPr>
        <w:pStyle w:val="BodyText"/>
        <w:spacing w:after="120"/>
        <w:rPr>
          <w:rFonts w:eastAsia="SimSun"/>
          <w:lang w:eastAsia="zh-CN"/>
        </w:rPr>
      </w:pP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Figure 4 shows the block diagram for PSS sequence generation. Starting from a length-11 ZC sequence with root index 5, tone selection/CRS puncture is performed through subcarrier mapping. IFFT is employed to generate the time domain samples for each PSS symbol. For brevity, a shorthand notation for N samples of a PSS symbol can be given by</w:t>
      </w:r>
    </w:p>
    <w:p w:rsidR="00612EFF" w:rsidRDefault="00612EFF" w:rsidP="00612EFF">
      <w:pPr>
        <w:pStyle w:val="BodyText"/>
        <w:spacing w:after="120"/>
        <w:ind w:left="720"/>
        <w:jc w:val="center"/>
        <w:rPr>
          <w:rFonts w:eastAsia="Batang"/>
          <w:lang w:eastAsia="ko-KR"/>
        </w:rPr>
      </w:pPr>
      <w:r>
        <w:pict>
          <v:shape id="_x0000_i1026" type="#_x0000_t75" style="width:97.5pt;height:13.5pt" equationxml="&lt;">
            <v:imagedata r:id="rId10" o:title="" chromakey="white"/>
          </v:shape>
        </w:pict>
      </w:r>
    </w:p>
    <w:p w:rsidR="00612EFF" w:rsidRDefault="00612EFF" w:rsidP="00612EFF">
      <w:pPr>
        <w:pStyle w:val="BodyText"/>
        <w:spacing w:after="120"/>
        <w:ind w:left="540" w:hanging="270"/>
        <w:rPr>
          <w:rFonts w:eastAsia="SimSun"/>
          <w:lang w:eastAsia="zh-CN"/>
        </w:rPr>
      </w:pPr>
      <w:r>
        <w:rPr>
          <w:rFonts w:eastAsia="SimSun"/>
          <w:noProof/>
          <w:lang w:val="en-US" w:eastAsia="en-US"/>
        </w:rPr>
        <w:drawing>
          <wp:inline distT="0" distB="0" distL="0" distR="0" wp14:anchorId="3537F7F6" wp14:editId="3F306552">
            <wp:extent cx="5715000" cy="1152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1152525"/>
                    </a:xfrm>
                    <a:prstGeom prst="rect">
                      <a:avLst/>
                    </a:prstGeom>
                    <a:noFill/>
                    <a:ln>
                      <a:noFill/>
                    </a:ln>
                  </pic:spPr>
                </pic:pic>
              </a:graphicData>
            </a:graphic>
          </wp:inline>
        </w:drawing>
      </w:r>
    </w:p>
    <w:p w:rsidR="00612EFF" w:rsidRDefault="00612EFF" w:rsidP="00612EFF">
      <w:pPr>
        <w:pStyle w:val="BodyText"/>
        <w:spacing w:after="120"/>
        <w:rPr>
          <w:rFonts w:eastAsia="SimSun"/>
          <w:sz w:val="16"/>
          <w:szCs w:val="16"/>
          <w:lang w:eastAsia="zh-CN"/>
        </w:rPr>
      </w:pPr>
      <w:r>
        <w:rPr>
          <w:rFonts w:eastAsia="Batang"/>
          <w:noProof/>
          <w:lang w:val="en-US" w:eastAsia="en-US"/>
        </w:rPr>
        <mc:AlternateContent>
          <mc:Choice Requires="wps">
            <w:drawing>
              <wp:anchor distT="45720" distB="45720" distL="114300" distR="114300" simplePos="0" relativeHeight="251663360" behindDoc="0" locked="0" layoutInCell="1" allowOverlap="1" wp14:anchorId="3EABC32C" wp14:editId="5E6B344B">
                <wp:simplePos x="0" y="0"/>
                <wp:positionH relativeFrom="column">
                  <wp:posOffset>217805</wp:posOffset>
                </wp:positionH>
                <wp:positionV relativeFrom="paragraph">
                  <wp:posOffset>218440</wp:posOffset>
                </wp:positionV>
                <wp:extent cx="5483860" cy="234315"/>
                <wp:effectExtent l="0" t="0" r="3810" b="4445"/>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386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2EFF" w:rsidRDefault="00612EFF" w:rsidP="00612EFF">
                            <w:pPr>
                              <w:jc w:val="center"/>
                              <w:rPr>
                                <w:b/>
                              </w:rPr>
                            </w:pPr>
                            <w:r>
                              <w:rPr>
                                <w:b/>
                              </w:rPr>
                              <w:t xml:space="preserve">Figure 4:  Block Diagram for NB-PSS Sequence Generation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EABC32C" id="Text Box 37" o:spid="_x0000_s1030" type="#_x0000_t202" style="position:absolute;margin-left:17.15pt;margin-top:17.2pt;width:431.8pt;height:18.4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I6hgIAABgFAAAOAAAAZHJzL2Uyb0RvYy54bWysVNmO2yAUfa/Uf0C8Z7yELLbijGapq0rT&#10;RZrpBxAbx6gYKJDY01H/vRecZDJdpKqqH2zgXs5dzrleXQ6dQHtmLFeywMlFjBGTlaq53Bb480M5&#10;WWJkHZU1FUqyAj8yiy/Xr1+tep2zVLVK1MwgAJE273WBW+d0HkW2allH7YXSTIKxUaajDrZmG9WG&#10;9oDeiSiN43nUK1NroypmLZzejka8DvhNwyr3sWksc0gUGHJz4W3Ce+Pf0XpF862huuXVIQ36D1l0&#10;lEsIeoK6pY6ineG/QHW8Msqqxl1UqotU0/CKhRqgmiT+qZr7lmoWaoHmWH1qk/1/sNWH/SeDeF3g&#10;6QIjSTvg6IENDl2rAcER9KfXNge3ew2OboBz4DnUavWdqr5YJNVNS+WWXRmj+pbRGvJL/M3o7OqI&#10;Yz3Ipn+vaohDd04FoKExnW8etAMBOvD0eOLG51LB4Ywsp8s5mCqwpVMyTWYhBM2Pt7Wx7i1THfKL&#10;AhvgPqDT/Z11PhuaH118MKsEr0suRNiY7eZGGLSnoJMyPAf0F25Cemep/LURcTyBJCGGt/l0A+9P&#10;WZKS+DrNJuV8uZiQkswm2SJeTuIku87mMcnIbfndJ5iQvOV1zeQdl+yowYT8HceHaRjVE1SI+gJn&#10;s3Q2UvTHIuPw/K7IjjsYScG7Ai9PTjT3xL6RNZRNc0e5GNfRy/RDl6EHx2/oSpCBZ37UgBs2Q1Ac&#10;8dG9RDaqfgRdGAW0AcPwO4FFq8w3jHoYzQLbrztqGEbinQRtZQkhfpbDhswWKWzMuWVzbqGyAqgC&#10;O4zG5Y0b53+nDd+2EOmo5ivQY8mDVJ6zOqgYxi/UdPhV+Pk+3wev5x/a+gcAAAD//wMAUEsDBBQA&#10;BgAIAAAAIQBgg7Rn3gAAAAgBAAAPAAAAZHJzL2Rvd25yZXYueG1sTI/BTsMwEETvSPyDtUjcqFNS&#10;aBviVBUVFw5ILUhwdONNHGGvLdtNw9/jnuA0Ws1o5m29maxhI4Y4OBIwnxXAkFqnBuoFfLy/3K2A&#10;xSRJSeMIBfxghE1zfVXLSrkz7XE8pJ7lEoqVFKBT8hXnsdVoZZw5j5S9zgUrUz5Dz1WQ51xuDb8v&#10;ikdu5UB5QUuPzxrb78PJCvi0elC78PbVKTPuXrvtg5+CF+L2Zto+AUs4pb8wXPAzOjSZ6ehOpCIz&#10;AspFmZMXXQDL/mq9XAM7CljOS+BNzf8/0PwCAAD//wMAUEsBAi0AFAAGAAgAAAAhALaDOJL+AAAA&#10;4QEAABMAAAAAAAAAAAAAAAAAAAAAAFtDb250ZW50X1R5cGVzXS54bWxQSwECLQAUAAYACAAAACEA&#10;OP0h/9YAAACUAQAACwAAAAAAAAAAAAAAAAAvAQAAX3JlbHMvLnJlbHNQSwECLQAUAAYACAAAACEA&#10;z3PSOoYCAAAYBQAADgAAAAAAAAAAAAAAAAAuAgAAZHJzL2Uyb0RvYy54bWxQSwECLQAUAAYACAAA&#10;ACEAYIO0Z94AAAAIAQAADwAAAAAAAAAAAAAAAADgBAAAZHJzL2Rvd25yZXYueG1sUEsFBgAAAAAE&#10;AAQA8wAAAOsFAAAAAA==&#10;" stroked="f">
                <v:textbox style="mso-fit-shape-to-text:t">
                  <w:txbxContent>
                    <w:p w:rsidR="00612EFF" w:rsidRDefault="00612EFF" w:rsidP="00612EFF">
                      <w:pPr>
                        <w:jc w:val="center"/>
                        <w:rPr>
                          <w:b/>
                        </w:rPr>
                      </w:pPr>
                      <w:r>
                        <w:rPr>
                          <w:b/>
                        </w:rPr>
                        <w:t xml:space="preserve">Figure 4:  Block Diagram for NB-PSS Sequence Generation </w:t>
                      </w:r>
                    </w:p>
                  </w:txbxContent>
                </v:textbox>
                <w10:wrap type="square"/>
              </v:shape>
            </w:pict>
          </mc:Fallback>
        </mc:AlternateContent>
      </w: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 xml:space="preserve">When the sampling frequency is 1.92 MHz, there are N=137 samples in one PSS symbol, which can be obtained by size-128, zero-padded IFFT plus a CP of size-9. To comply with LTE symbol boundaries and maintain the periodic sequence structure as well, we can align the PSS sequence with the beginning of the 3rd OFDM symbol, and stack one more sample at the end of the last PSS symbol by cyclic extension. Therefore, there will be 137×11+1 samples occupying the last 11 OFDM symbols of a LTE subframe. </w:t>
      </w: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Figure 5 shows the waveform of PSS symbol with CP length of 9 and 10 samples, respectively, which has negligible difference. Therefore, a CP insertion scheme fully compatible with legacy LTE is feasible, which introduces a CP of size-10 for the 5-th PSS symbol and keeps the same CP size for the rest of the PSS symbols. After removing the CP, the waveform of PSS symbol exhibits a central symmetric property (resulted from Zadoff-Chu sequence), which can be utilized to simplify the cross-correlation operation in the sequel.</w:t>
      </w:r>
    </w:p>
    <w:p w:rsidR="00612EFF" w:rsidRDefault="00612EFF" w:rsidP="00612EFF">
      <w:pPr>
        <w:pStyle w:val="BodyText"/>
        <w:spacing w:after="120"/>
        <w:rPr>
          <w:rFonts w:eastAsia="SimSun"/>
          <w:lang w:eastAsia="zh-CN"/>
        </w:rPr>
      </w:pPr>
    </w:p>
    <w:p w:rsidR="00612EFF" w:rsidRDefault="00612EFF" w:rsidP="00612EFF">
      <w:pPr>
        <w:pStyle w:val="BodyText"/>
        <w:keepNext/>
        <w:spacing w:after="120"/>
        <w:rPr>
          <w:rFonts w:eastAsia="Batang"/>
          <w:lang w:eastAsia="ko-KR"/>
        </w:rPr>
      </w:pPr>
      <w:r>
        <w:rPr>
          <w:rFonts w:eastAsia="SimSun"/>
          <w:noProof/>
          <w:lang w:val="en-US" w:eastAsia="en-US"/>
        </w:rPr>
        <w:lastRenderedPageBreak/>
        <w:drawing>
          <wp:inline distT="0" distB="0" distL="0" distR="0" wp14:anchorId="51C1FBC2" wp14:editId="19E42B81">
            <wp:extent cx="5953125" cy="3248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3248025"/>
                    </a:xfrm>
                    <a:prstGeom prst="rect">
                      <a:avLst/>
                    </a:prstGeom>
                    <a:noFill/>
                    <a:ln>
                      <a:noFill/>
                    </a:ln>
                  </pic:spPr>
                </pic:pic>
              </a:graphicData>
            </a:graphic>
          </wp:inline>
        </w:drawing>
      </w:r>
    </w:p>
    <w:p w:rsidR="00612EFF" w:rsidRDefault="00612EFF" w:rsidP="00612EFF">
      <w:pPr>
        <w:pStyle w:val="Caption"/>
        <w:jc w:val="center"/>
        <w:rPr>
          <w:rFonts w:eastAsia="SimSun"/>
          <w:lang w:eastAsia="zh-CN"/>
        </w:rPr>
      </w:pPr>
      <w:r>
        <w:t>Figure 5: Waveform of PSS Symbols Generated at 1.92 MHz by Size-128 IFFT</w:t>
      </w:r>
    </w:p>
    <w:p w:rsidR="00612EFF" w:rsidRDefault="00612EFF" w:rsidP="00612EFF">
      <w:pPr>
        <w:pStyle w:val="BodyText"/>
        <w:spacing w:after="120"/>
        <w:rPr>
          <w:rFonts w:eastAsia="SimSun"/>
          <w:lang w:eastAsia="zh-CN"/>
        </w:rPr>
      </w:pP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The following observations can be made for the NB-PSS sequence design:</w:t>
      </w:r>
    </w:p>
    <w:p w:rsidR="00612EFF" w:rsidRPr="00266FB4" w:rsidRDefault="00612EFF" w:rsidP="00612EFF">
      <w:pPr>
        <w:pStyle w:val="BodyText"/>
        <w:spacing w:after="120"/>
        <w:rPr>
          <w:rFonts w:eastAsia="Malgun Gothic" w:cs="Times New Roman"/>
          <w:color w:val="auto"/>
          <w:kern w:val="0"/>
          <w:lang w:val="en-US" w:eastAsia="ko-KR"/>
        </w:rPr>
      </w:pPr>
      <w:r w:rsidRPr="00266FB4">
        <w:rPr>
          <w:rFonts w:eastAsia="Malgun Gothic" w:cs="Times New Roman"/>
          <w:color w:val="auto"/>
          <w:kern w:val="0"/>
          <w:lang w:val="en-US" w:eastAsia="ko-KR"/>
        </w:rPr>
        <w:t>Each PSS symbol embraces a full ZC sequence, therefore it preserves the good correlation properties on symbol basis.</w:t>
      </w:r>
      <w:r>
        <w:rPr>
          <w:rFonts w:eastAsia="Malgun Gothic" w:cs="Times New Roman"/>
          <w:color w:val="auto"/>
          <w:kern w:val="0"/>
          <w:lang w:val="en-US" w:eastAsia="ko-KR"/>
        </w:rPr>
        <w:t xml:space="preserve"> </w:t>
      </w:r>
      <w:r w:rsidRPr="00266FB4">
        <w:rPr>
          <w:rFonts w:eastAsia="Malgun Gothic" w:cs="Times New Roman"/>
          <w:color w:val="auto"/>
          <w:kern w:val="0"/>
          <w:lang w:val="en-US" w:eastAsia="ko-KR"/>
        </w:rPr>
        <w:t>The application of code cover randomizes the symbol pattern, therefore the good correlation properties are extended across symbols.</w:t>
      </w:r>
      <w:r>
        <w:rPr>
          <w:rFonts w:eastAsia="Malgun Gothic" w:cs="Times New Roman"/>
          <w:color w:val="auto"/>
          <w:kern w:val="0"/>
          <w:lang w:val="en-US" w:eastAsia="ko-KR"/>
        </w:rPr>
        <w:t xml:space="preserve"> </w:t>
      </w:r>
      <w:r w:rsidRPr="00266FB4">
        <w:rPr>
          <w:rFonts w:eastAsia="Malgun Gothic" w:cs="Times New Roman"/>
          <w:color w:val="auto"/>
          <w:kern w:val="0"/>
          <w:lang w:val="en-US" w:eastAsia="ko-KR"/>
        </w:rPr>
        <w:t>The proposed NB-PSS sequence exhibits a periodic structure. In addition to the constant envelope of ZC sequence, overlap &amp; add operations can be applied at PSS symbol boundaries to further reduce PAPR and CM values.</w:t>
      </w:r>
      <w:r>
        <w:rPr>
          <w:rFonts w:eastAsia="Malgun Gothic" w:cs="Times New Roman"/>
          <w:color w:val="auto"/>
          <w:kern w:val="0"/>
          <w:lang w:val="en-US" w:eastAsia="ko-KR"/>
        </w:rPr>
        <w:t xml:space="preserve"> </w:t>
      </w:r>
      <w:r w:rsidRPr="00266FB4">
        <w:rPr>
          <w:rFonts w:eastAsia="Malgun Gothic" w:cs="Times New Roman"/>
          <w:color w:val="auto"/>
          <w:kern w:val="0"/>
          <w:lang w:val="en-US" w:eastAsia="ko-KR"/>
        </w:rPr>
        <w:t>The CP insertion of NB-PSS sequence can be made the same as that of legacy LTE. As a result, the entire PSS sequence is fully aligned with the last 11 OFDM symbols of a legacy LTE subframe.</w:t>
      </w:r>
    </w:p>
    <w:p w:rsidR="00612EFF" w:rsidRDefault="00612EFF" w:rsidP="00612EFF">
      <w:pPr>
        <w:pStyle w:val="Heading1"/>
        <w:rPr>
          <w:lang w:val="en-US" w:eastAsia="ko-KR"/>
        </w:rPr>
      </w:pPr>
      <w:r>
        <w:rPr>
          <w:lang w:val="en-US" w:eastAsia="ko-KR"/>
        </w:rPr>
        <w:t>3</w:t>
      </w:r>
      <w:r>
        <w:rPr>
          <w:rFonts w:hint="eastAsia"/>
          <w:lang w:val="en-US" w:eastAsia="ko-KR"/>
        </w:rPr>
        <w:tab/>
      </w:r>
      <w:r>
        <w:rPr>
          <w:lang w:val="en-US" w:eastAsia="ko-KR"/>
        </w:rPr>
        <w:t>Simulation Assumptions</w:t>
      </w:r>
    </w:p>
    <w:tbl>
      <w:tblPr>
        <w:tblW w:w="9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732"/>
        <w:gridCol w:w="2274"/>
        <w:gridCol w:w="3708"/>
      </w:tblGrid>
      <w:tr w:rsidR="00612EFF" w:rsidRPr="00726AB1" w:rsidTr="008A353F">
        <w:trPr>
          <w:jc w:val="center"/>
        </w:trPr>
        <w:tc>
          <w:tcPr>
            <w:tcW w:w="3026" w:type="dxa"/>
            <w:gridSpan w:val="2"/>
            <w:shd w:val="clear" w:color="auto" w:fill="auto"/>
          </w:tcPr>
          <w:p w:rsidR="00612EFF" w:rsidRPr="00004709" w:rsidRDefault="00612EFF" w:rsidP="008A353F">
            <w:pPr>
              <w:spacing w:after="0"/>
              <w:jc w:val="center"/>
              <w:rPr>
                <w:b/>
                <w:bCs/>
              </w:rPr>
            </w:pPr>
            <w:r w:rsidRPr="00004709">
              <w:rPr>
                <w:b/>
                <w:bCs/>
              </w:rPr>
              <w:t>Parameters</w:t>
            </w:r>
          </w:p>
        </w:tc>
        <w:tc>
          <w:tcPr>
            <w:tcW w:w="2274" w:type="dxa"/>
            <w:shd w:val="clear" w:color="auto" w:fill="auto"/>
          </w:tcPr>
          <w:p w:rsidR="00612EFF" w:rsidRPr="00004709" w:rsidRDefault="00612EFF" w:rsidP="008A353F">
            <w:pPr>
              <w:spacing w:after="0"/>
              <w:jc w:val="center"/>
              <w:rPr>
                <w:b/>
                <w:bCs/>
              </w:rPr>
            </w:pPr>
            <w:r w:rsidRPr="00004709">
              <w:rPr>
                <w:b/>
                <w:bCs/>
              </w:rPr>
              <w:t>Value</w:t>
            </w:r>
          </w:p>
        </w:tc>
        <w:tc>
          <w:tcPr>
            <w:tcW w:w="3708" w:type="dxa"/>
            <w:shd w:val="clear" w:color="auto" w:fill="auto"/>
          </w:tcPr>
          <w:p w:rsidR="00612EFF" w:rsidRPr="00004709" w:rsidRDefault="00612EFF" w:rsidP="008A353F">
            <w:pPr>
              <w:spacing w:after="0"/>
              <w:jc w:val="center"/>
              <w:rPr>
                <w:b/>
                <w:bCs/>
              </w:rPr>
            </w:pPr>
            <w:r w:rsidRPr="00004709">
              <w:rPr>
                <w:b/>
                <w:bCs/>
              </w:rPr>
              <w:t>Comments</w:t>
            </w:r>
          </w:p>
        </w:tc>
      </w:tr>
      <w:tr w:rsidR="00612EFF" w:rsidRPr="00726AB1" w:rsidTr="008A353F">
        <w:trPr>
          <w:trHeight w:val="179"/>
          <w:jc w:val="center"/>
        </w:trPr>
        <w:tc>
          <w:tcPr>
            <w:tcW w:w="1294" w:type="dxa"/>
            <w:vMerge w:val="restart"/>
            <w:shd w:val="clear" w:color="auto" w:fill="auto"/>
          </w:tcPr>
          <w:p w:rsidR="00612EFF" w:rsidRPr="00726AB1" w:rsidRDefault="00612EFF" w:rsidP="008A353F">
            <w:pPr>
              <w:spacing w:after="0"/>
            </w:pPr>
            <w:r>
              <w:t>Antenna configuration</w:t>
            </w:r>
          </w:p>
        </w:tc>
        <w:tc>
          <w:tcPr>
            <w:tcW w:w="1732" w:type="dxa"/>
            <w:shd w:val="clear" w:color="auto" w:fill="auto"/>
          </w:tcPr>
          <w:p w:rsidR="00612EFF" w:rsidRPr="00AF63F3" w:rsidRDefault="00612EFF" w:rsidP="008A353F">
            <w:pPr>
              <w:spacing w:after="0"/>
              <w:jc w:val="both"/>
              <w:rPr>
                <w:sz w:val="18"/>
              </w:rPr>
            </w:pPr>
            <w:r w:rsidRPr="00AF63F3">
              <w:rPr>
                <w:sz w:val="18"/>
              </w:rPr>
              <w:t>In-band</w:t>
            </w:r>
          </w:p>
          <w:p w:rsidR="00612EFF" w:rsidRPr="00726AB1" w:rsidRDefault="00612EFF" w:rsidP="008A353F">
            <w:pPr>
              <w:spacing w:after="0"/>
            </w:pPr>
            <w:r w:rsidRPr="00AF63F3">
              <w:rPr>
                <w:sz w:val="18"/>
              </w:rPr>
              <w:t>Guard-band</w:t>
            </w:r>
          </w:p>
        </w:tc>
        <w:tc>
          <w:tcPr>
            <w:tcW w:w="2274" w:type="dxa"/>
            <w:shd w:val="clear" w:color="auto" w:fill="auto"/>
          </w:tcPr>
          <w:p w:rsidR="00612EFF" w:rsidRPr="00726AB1" w:rsidRDefault="00612EFF" w:rsidP="008A353F">
            <w:pPr>
              <w:spacing w:after="0"/>
              <w:jc w:val="center"/>
            </w:pPr>
            <w:r w:rsidRPr="00AF63F3">
              <w:rPr>
                <w:sz w:val="18"/>
              </w:rPr>
              <w:t>2TX, 1RX</w:t>
            </w:r>
          </w:p>
        </w:tc>
        <w:tc>
          <w:tcPr>
            <w:tcW w:w="3708" w:type="dxa"/>
            <w:shd w:val="clear" w:color="auto" w:fill="auto"/>
          </w:tcPr>
          <w:p w:rsidR="00612EFF" w:rsidRPr="00726AB1" w:rsidRDefault="00612EFF" w:rsidP="008A353F">
            <w:pPr>
              <w:spacing w:after="0"/>
            </w:pPr>
          </w:p>
        </w:tc>
      </w:tr>
      <w:tr w:rsidR="00612EFF" w:rsidRPr="00726AB1" w:rsidTr="008A353F">
        <w:trPr>
          <w:trHeight w:val="178"/>
          <w:jc w:val="center"/>
        </w:trPr>
        <w:tc>
          <w:tcPr>
            <w:tcW w:w="1294" w:type="dxa"/>
            <w:vMerge/>
            <w:shd w:val="clear" w:color="auto" w:fill="auto"/>
          </w:tcPr>
          <w:p w:rsidR="00612EFF" w:rsidRDefault="00612EFF" w:rsidP="008A353F">
            <w:pPr>
              <w:spacing w:after="0"/>
            </w:pPr>
          </w:p>
        </w:tc>
        <w:tc>
          <w:tcPr>
            <w:tcW w:w="1732" w:type="dxa"/>
            <w:shd w:val="clear" w:color="auto" w:fill="auto"/>
          </w:tcPr>
          <w:p w:rsidR="00612EFF" w:rsidRPr="00726AB1" w:rsidRDefault="00612EFF" w:rsidP="008A353F">
            <w:pPr>
              <w:spacing w:after="0"/>
            </w:pPr>
          </w:p>
        </w:tc>
        <w:tc>
          <w:tcPr>
            <w:tcW w:w="2274" w:type="dxa"/>
            <w:shd w:val="clear" w:color="auto" w:fill="auto"/>
          </w:tcPr>
          <w:p w:rsidR="00612EFF" w:rsidRPr="00726AB1" w:rsidRDefault="00612EFF" w:rsidP="008A353F">
            <w:pPr>
              <w:spacing w:after="0"/>
              <w:jc w:val="center"/>
            </w:pPr>
          </w:p>
        </w:tc>
        <w:tc>
          <w:tcPr>
            <w:tcW w:w="3708" w:type="dxa"/>
            <w:shd w:val="clear" w:color="auto" w:fill="auto"/>
          </w:tcPr>
          <w:p w:rsidR="00612EFF" w:rsidRPr="00726AB1" w:rsidRDefault="00612EFF" w:rsidP="008A353F">
            <w:pPr>
              <w:spacing w:after="0"/>
            </w:pPr>
          </w:p>
        </w:tc>
      </w:tr>
      <w:tr w:rsidR="00612EFF" w:rsidRPr="00726AB1" w:rsidTr="008A353F">
        <w:trPr>
          <w:trHeight w:val="179"/>
          <w:jc w:val="center"/>
        </w:trPr>
        <w:tc>
          <w:tcPr>
            <w:tcW w:w="1294" w:type="dxa"/>
            <w:vMerge w:val="restart"/>
            <w:shd w:val="clear" w:color="auto" w:fill="auto"/>
          </w:tcPr>
          <w:p w:rsidR="00612EFF" w:rsidRPr="00726AB1" w:rsidRDefault="00612EFF" w:rsidP="008A353F">
            <w:pPr>
              <w:spacing w:after="0"/>
            </w:pPr>
            <w:r>
              <w:t>Power boosting for NB-IOT</w:t>
            </w:r>
          </w:p>
        </w:tc>
        <w:tc>
          <w:tcPr>
            <w:tcW w:w="1732" w:type="dxa"/>
            <w:shd w:val="clear" w:color="auto" w:fill="auto"/>
          </w:tcPr>
          <w:p w:rsidR="00612EFF" w:rsidRPr="00AF63F3" w:rsidRDefault="00612EFF" w:rsidP="008A353F">
            <w:pPr>
              <w:spacing w:after="0"/>
              <w:jc w:val="both"/>
              <w:rPr>
                <w:sz w:val="18"/>
              </w:rPr>
            </w:pPr>
            <w:r w:rsidRPr="00AF63F3">
              <w:rPr>
                <w:sz w:val="18"/>
              </w:rPr>
              <w:t>In-band</w:t>
            </w:r>
          </w:p>
          <w:p w:rsidR="00612EFF" w:rsidRPr="00726AB1" w:rsidRDefault="00612EFF" w:rsidP="008A353F">
            <w:pPr>
              <w:spacing w:after="0"/>
            </w:pPr>
            <w:r w:rsidRPr="00AF63F3">
              <w:rPr>
                <w:sz w:val="18"/>
              </w:rPr>
              <w:t>Guard-band</w:t>
            </w:r>
          </w:p>
        </w:tc>
        <w:tc>
          <w:tcPr>
            <w:tcW w:w="2274" w:type="dxa"/>
            <w:shd w:val="clear" w:color="auto" w:fill="auto"/>
          </w:tcPr>
          <w:p w:rsidR="00612EFF" w:rsidRPr="00726AB1" w:rsidRDefault="00612EFF" w:rsidP="008A353F">
            <w:pPr>
              <w:spacing w:after="0"/>
              <w:jc w:val="center"/>
            </w:pPr>
            <w:r>
              <w:rPr>
                <w:sz w:val="18"/>
              </w:rPr>
              <w:t>0 dB</w:t>
            </w:r>
          </w:p>
        </w:tc>
        <w:tc>
          <w:tcPr>
            <w:tcW w:w="3708" w:type="dxa"/>
            <w:shd w:val="clear" w:color="auto" w:fill="auto"/>
          </w:tcPr>
          <w:p w:rsidR="00612EFF" w:rsidRPr="00C76053" w:rsidRDefault="00612EFF" w:rsidP="008A353F">
            <w:pPr>
              <w:spacing w:after="0"/>
            </w:pPr>
          </w:p>
        </w:tc>
      </w:tr>
      <w:tr w:rsidR="00612EFF" w:rsidRPr="00726AB1" w:rsidTr="008A353F">
        <w:trPr>
          <w:trHeight w:val="178"/>
          <w:jc w:val="center"/>
        </w:trPr>
        <w:tc>
          <w:tcPr>
            <w:tcW w:w="1294" w:type="dxa"/>
            <w:vMerge/>
            <w:shd w:val="clear" w:color="auto" w:fill="auto"/>
          </w:tcPr>
          <w:p w:rsidR="00612EFF" w:rsidRDefault="00612EFF" w:rsidP="008A353F">
            <w:pPr>
              <w:spacing w:after="0"/>
            </w:pPr>
          </w:p>
        </w:tc>
        <w:tc>
          <w:tcPr>
            <w:tcW w:w="1732" w:type="dxa"/>
            <w:shd w:val="clear" w:color="auto" w:fill="auto"/>
          </w:tcPr>
          <w:p w:rsidR="00612EFF" w:rsidRPr="00726AB1" w:rsidRDefault="00612EFF" w:rsidP="008A353F">
            <w:pPr>
              <w:spacing w:after="0"/>
            </w:pPr>
          </w:p>
        </w:tc>
        <w:tc>
          <w:tcPr>
            <w:tcW w:w="2274" w:type="dxa"/>
            <w:shd w:val="clear" w:color="auto" w:fill="auto"/>
          </w:tcPr>
          <w:p w:rsidR="00612EFF" w:rsidRDefault="00612EFF" w:rsidP="008A353F">
            <w:pPr>
              <w:spacing w:after="0"/>
              <w:jc w:val="center"/>
            </w:pPr>
          </w:p>
        </w:tc>
        <w:tc>
          <w:tcPr>
            <w:tcW w:w="3708" w:type="dxa"/>
            <w:shd w:val="clear" w:color="auto" w:fill="auto"/>
          </w:tcPr>
          <w:p w:rsidR="00612EFF" w:rsidRPr="00C76053" w:rsidRDefault="00612EFF" w:rsidP="008A353F">
            <w:pPr>
              <w:spacing w:after="0"/>
            </w:pPr>
          </w:p>
        </w:tc>
      </w:tr>
      <w:tr w:rsidR="00612EFF" w:rsidRPr="00726AB1" w:rsidTr="008A353F">
        <w:trPr>
          <w:jc w:val="center"/>
        </w:trPr>
        <w:tc>
          <w:tcPr>
            <w:tcW w:w="3026" w:type="dxa"/>
            <w:gridSpan w:val="2"/>
            <w:shd w:val="clear" w:color="auto" w:fill="auto"/>
          </w:tcPr>
          <w:p w:rsidR="00612EFF" w:rsidRPr="00726AB1" w:rsidRDefault="00612EFF" w:rsidP="008A353F">
            <w:pPr>
              <w:spacing w:after="0"/>
            </w:pPr>
            <w:r>
              <w:t>Mobility</w:t>
            </w:r>
          </w:p>
        </w:tc>
        <w:tc>
          <w:tcPr>
            <w:tcW w:w="2274" w:type="dxa"/>
            <w:shd w:val="clear" w:color="auto" w:fill="auto"/>
          </w:tcPr>
          <w:p w:rsidR="00612EFF" w:rsidRPr="00726AB1" w:rsidRDefault="00612EFF" w:rsidP="008A353F">
            <w:pPr>
              <w:spacing w:after="0"/>
              <w:jc w:val="center"/>
            </w:pPr>
            <w:r>
              <w:t xml:space="preserve">Stationary UEs, </w:t>
            </w:r>
          </w:p>
        </w:tc>
        <w:tc>
          <w:tcPr>
            <w:tcW w:w="3708" w:type="dxa"/>
            <w:shd w:val="clear" w:color="auto" w:fill="auto"/>
          </w:tcPr>
          <w:p w:rsidR="00612EFF" w:rsidRDefault="00612EFF" w:rsidP="008A353F">
            <w:pPr>
              <w:spacing w:after="0"/>
            </w:pPr>
          </w:p>
        </w:tc>
      </w:tr>
      <w:tr w:rsidR="00612EFF" w:rsidRPr="00004709" w:rsidTr="008A353F">
        <w:trPr>
          <w:jc w:val="center"/>
        </w:trPr>
        <w:tc>
          <w:tcPr>
            <w:tcW w:w="3026" w:type="dxa"/>
            <w:gridSpan w:val="2"/>
            <w:shd w:val="clear" w:color="auto" w:fill="auto"/>
          </w:tcPr>
          <w:p w:rsidR="00612EFF" w:rsidRPr="00726AB1" w:rsidRDefault="00612EFF" w:rsidP="008A353F">
            <w:pPr>
              <w:spacing w:after="0"/>
            </w:pPr>
            <w:r w:rsidRPr="00AF63F3">
              <w:rPr>
                <w:sz w:val="18"/>
              </w:rPr>
              <w:t>Channel model</w:t>
            </w:r>
          </w:p>
        </w:tc>
        <w:tc>
          <w:tcPr>
            <w:tcW w:w="2274" w:type="dxa"/>
            <w:shd w:val="clear" w:color="auto" w:fill="auto"/>
          </w:tcPr>
          <w:p w:rsidR="00612EFF" w:rsidRPr="00004709" w:rsidRDefault="00612EFF" w:rsidP="008A353F">
            <w:pPr>
              <w:spacing w:after="0"/>
              <w:jc w:val="center"/>
              <w:rPr>
                <w:lang w:val="es-ES"/>
              </w:rPr>
            </w:pPr>
            <w:r w:rsidRPr="00AF63F3">
              <w:rPr>
                <w:sz w:val="18"/>
              </w:rPr>
              <w:t>AWGN</w:t>
            </w:r>
          </w:p>
        </w:tc>
        <w:tc>
          <w:tcPr>
            <w:tcW w:w="3708" w:type="dxa"/>
            <w:shd w:val="clear" w:color="auto" w:fill="auto"/>
          </w:tcPr>
          <w:p w:rsidR="00612EFF" w:rsidRPr="00004709" w:rsidRDefault="00612EFF" w:rsidP="008A353F">
            <w:pPr>
              <w:spacing w:after="0"/>
              <w:rPr>
                <w:lang w:val="es-ES"/>
              </w:rPr>
            </w:pPr>
            <w:r w:rsidRPr="00437201">
              <w:rPr>
                <w:sz w:val="18"/>
              </w:rPr>
              <w:t>Models stationary device</w:t>
            </w:r>
          </w:p>
        </w:tc>
      </w:tr>
      <w:tr w:rsidR="00612EFF" w:rsidRPr="00726AB1" w:rsidTr="008A353F">
        <w:trPr>
          <w:jc w:val="center"/>
        </w:trPr>
        <w:tc>
          <w:tcPr>
            <w:tcW w:w="3026" w:type="dxa"/>
            <w:gridSpan w:val="2"/>
            <w:shd w:val="clear" w:color="auto" w:fill="auto"/>
          </w:tcPr>
          <w:p w:rsidR="00612EFF" w:rsidRPr="00726AB1" w:rsidRDefault="00612EFF" w:rsidP="008A353F">
            <w:pPr>
              <w:spacing w:after="0"/>
            </w:pPr>
            <w:r>
              <w:t>CP length</w:t>
            </w:r>
          </w:p>
        </w:tc>
        <w:tc>
          <w:tcPr>
            <w:tcW w:w="2274" w:type="dxa"/>
            <w:shd w:val="clear" w:color="auto" w:fill="auto"/>
          </w:tcPr>
          <w:p w:rsidR="00612EFF" w:rsidRPr="00726AB1" w:rsidRDefault="00612EFF" w:rsidP="008A353F">
            <w:pPr>
              <w:spacing w:after="0"/>
              <w:jc w:val="center"/>
            </w:pPr>
            <w:r>
              <w:t>Normal</w:t>
            </w:r>
          </w:p>
        </w:tc>
        <w:tc>
          <w:tcPr>
            <w:tcW w:w="3708" w:type="dxa"/>
            <w:shd w:val="clear" w:color="auto" w:fill="auto"/>
          </w:tcPr>
          <w:p w:rsidR="00612EFF" w:rsidRPr="00726AB1" w:rsidRDefault="00612EFF" w:rsidP="008A353F">
            <w:pPr>
              <w:spacing w:after="0"/>
            </w:pPr>
          </w:p>
        </w:tc>
      </w:tr>
      <w:tr w:rsidR="00612EFF" w:rsidRPr="00726AB1" w:rsidTr="008A353F">
        <w:trPr>
          <w:jc w:val="center"/>
        </w:trPr>
        <w:tc>
          <w:tcPr>
            <w:tcW w:w="3026" w:type="dxa"/>
            <w:gridSpan w:val="2"/>
            <w:shd w:val="clear" w:color="auto" w:fill="auto"/>
          </w:tcPr>
          <w:p w:rsidR="00612EFF" w:rsidRPr="00004709" w:rsidRDefault="00612EFF" w:rsidP="008A353F">
            <w:pPr>
              <w:spacing w:after="0"/>
              <w:rPr>
                <w:highlight w:val="yellow"/>
              </w:rPr>
            </w:pPr>
            <w:r>
              <w:t>Ec/Iot</w:t>
            </w:r>
          </w:p>
        </w:tc>
        <w:tc>
          <w:tcPr>
            <w:tcW w:w="2274" w:type="dxa"/>
            <w:shd w:val="clear" w:color="auto" w:fill="auto"/>
          </w:tcPr>
          <w:p w:rsidR="00612EFF" w:rsidRPr="00B31C67" w:rsidRDefault="00612EFF" w:rsidP="008A353F">
            <w:pPr>
              <w:spacing w:after="0"/>
              <w:jc w:val="center"/>
            </w:pPr>
            <w:r w:rsidRPr="00B31C67">
              <w:t xml:space="preserve">-20 dB, …, </w:t>
            </w:r>
            <w:r>
              <w:t>10</w:t>
            </w:r>
            <w:r w:rsidRPr="00B31C67">
              <w:t xml:space="preserve"> dB</w:t>
            </w:r>
          </w:p>
        </w:tc>
        <w:tc>
          <w:tcPr>
            <w:tcW w:w="3708" w:type="dxa"/>
            <w:shd w:val="clear" w:color="auto" w:fill="auto"/>
          </w:tcPr>
          <w:p w:rsidR="00612EFF" w:rsidRPr="00B31C67" w:rsidRDefault="00612EFF" w:rsidP="008A353F">
            <w:pPr>
              <w:spacing w:after="0"/>
            </w:pPr>
            <w:r w:rsidRPr="00B31C67">
              <w:t xml:space="preserve">AWGN noise </w:t>
            </w:r>
          </w:p>
        </w:tc>
      </w:tr>
      <w:tr w:rsidR="00612EFF" w:rsidRPr="00726AB1" w:rsidTr="008A353F">
        <w:trPr>
          <w:jc w:val="center"/>
        </w:trPr>
        <w:tc>
          <w:tcPr>
            <w:tcW w:w="3026" w:type="dxa"/>
            <w:gridSpan w:val="2"/>
            <w:shd w:val="clear" w:color="auto" w:fill="auto"/>
          </w:tcPr>
          <w:p w:rsidR="00612EFF" w:rsidRDefault="00612EFF" w:rsidP="008A353F">
            <w:pPr>
              <w:spacing w:after="0"/>
            </w:pPr>
            <w:r>
              <w:t>Frequency error modelling</w:t>
            </w:r>
          </w:p>
        </w:tc>
        <w:tc>
          <w:tcPr>
            <w:tcW w:w="2274" w:type="dxa"/>
            <w:shd w:val="clear" w:color="auto" w:fill="auto"/>
          </w:tcPr>
          <w:p w:rsidR="00612EFF" w:rsidRPr="00B31C67" w:rsidRDefault="00612EFF" w:rsidP="008A353F">
            <w:pPr>
              <w:spacing w:after="0"/>
              <w:jc w:val="center"/>
            </w:pPr>
            <w:r>
              <w:t>0</w:t>
            </w:r>
          </w:p>
        </w:tc>
        <w:tc>
          <w:tcPr>
            <w:tcW w:w="3708" w:type="dxa"/>
            <w:shd w:val="clear" w:color="auto" w:fill="auto"/>
          </w:tcPr>
          <w:p w:rsidR="00612EFF" w:rsidRPr="00B31C67" w:rsidRDefault="00612EFF" w:rsidP="008A353F">
            <w:pPr>
              <w:spacing w:after="0"/>
            </w:pPr>
            <w:r>
              <w:t>With respect to reference cell</w:t>
            </w:r>
          </w:p>
        </w:tc>
      </w:tr>
    </w:tbl>
    <w:p w:rsidR="00612EFF" w:rsidRDefault="00612EFF" w:rsidP="00612EFF">
      <w:pPr>
        <w:pStyle w:val="Heading2"/>
        <w:rPr>
          <w:lang w:val="en-US" w:eastAsia="ko-KR"/>
        </w:rPr>
      </w:pPr>
      <w:r>
        <w:rPr>
          <w:lang w:val="en-US" w:eastAsia="ko-KR"/>
        </w:rPr>
        <w:t>3.1</w:t>
      </w:r>
      <w:r>
        <w:rPr>
          <w:lang w:val="en-US" w:eastAsia="ko-KR"/>
        </w:rPr>
        <w:tab/>
        <w:t>Simulator setup</w:t>
      </w:r>
    </w:p>
    <w:p w:rsidR="00612EFF" w:rsidRDefault="00612EFF" w:rsidP="00612EFF">
      <w:pPr>
        <w:rPr>
          <w:lang w:val="en-US" w:eastAsia="ko-KR"/>
        </w:rPr>
      </w:pPr>
      <w:r>
        <w:rPr>
          <w:lang w:val="en-US" w:eastAsia="ko-KR"/>
        </w:rPr>
        <w:t xml:space="preserve">The 180KHz NB-IOT Tx signal consists of random QPSK data symbols with CRS and NB-RS tones inserted at appropriate locations and NB-PSS symbols at subframe#5 of each frame. This signal is sampled at 1.92MHz sampling rate. The total Tx power is set to unity. SNR is varied by adjusting the AWGN noise power. NB-PSS detection algorithm used is a coherent combining approach across NB-PSS symbols in every frame and averaged over multiple frames. The intent of this paper is mainly to get an estimate in terms of the approximate number of frames it would take to achieve reliable detection of NB-PSS when a coherent combining approach is used in AWGN channel with no frequency error. </w:t>
      </w:r>
    </w:p>
    <w:p w:rsidR="00612EFF" w:rsidRDefault="00612EFF" w:rsidP="00612EFF">
      <w:pPr>
        <w:keepNext/>
      </w:pPr>
      <w:r>
        <w:object w:dxaOrig="19711" w:dyaOrig="3512">
          <v:shape id="_x0000_i1027" type="#_x0000_t75" style="width:467.25pt;height:83.25pt" o:ole="">
            <v:imagedata r:id="rId13" o:title=""/>
          </v:shape>
          <o:OLEObject Type="Embed" ProgID="Visio.Drawing.11" ShapeID="_x0000_i1027" DrawAspect="Content" ObjectID="_1521025844" r:id="rId14"/>
        </w:object>
      </w:r>
    </w:p>
    <w:p w:rsidR="00612EFF" w:rsidRDefault="00612EFF" w:rsidP="00612EFF">
      <w:pPr>
        <w:pStyle w:val="Caption"/>
        <w:jc w:val="center"/>
      </w:pPr>
      <w:r>
        <w:t>Figure 6 Simulator setup</w:t>
      </w:r>
    </w:p>
    <w:p w:rsidR="00612EFF" w:rsidRDefault="00612EFF" w:rsidP="00612EFF">
      <w:pPr>
        <w:rPr>
          <w:lang w:val="en-US" w:eastAsia="ko-KR"/>
        </w:rPr>
      </w:pPr>
      <w:r>
        <w:rPr>
          <w:lang w:val="en-US" w:eastAsia="ko-KR"/>
        </w:rPr>
        <w:t>To determine that NB-PSS was detected correctly, simulator uses genie knowledge of the exact NB-PSS subframe location in the receiver and pick the timing hypothesis which has the maximum correlation and check to ensure that the timing hypothesis with maximum correlation is within +/-(CP_length/2). In actual implementation, the decision metric and threshold should be appropriately chosen to ensure noise peaks outside the vicinity of the correct timing are not selected.</w:t>
      </w:r>
      <w:r>
        <w:rPr>
          <w:lang w:val="en-US" w:eastAsia="ko-KR"/>
        </w:rPr>
        <w:t xml:space="preserve"> Simulation results shown here are for 5, 10 and 20 frames averaging.</w:t>
      </w:r>
      <w:bookmarkStart w:id="1" w:name="_GoBack"/>
      <w:bookmarkEnd w:id="1"/>
    </w:p>
    <w:p w:rsidR="00612EFF" w:rsidRDefault="00612EFF" w:rsidP="00612EFF">
      <w:pPr>
        <w:pStyle w:val="Heading1"/>
        <w:rPr>
          <w:lang w:val="en-US" w:eastAsia="ko-KR"/>
        </w:rPr>
      </w:pPr>
      <w:r>
        <w:rPr>
          <w:lang w:val="en-US" w:eastAsia="ko-KR"/>
        </w:rPr>
        <w:t>4</w:t>
      </w:r>
      <w:r>
        <w:rPr>
          <w:lang w:val="en-US" w:eastAsia="ko-KR"/>
        </w:rPr>
        <w:tab/>
        <w:t>NB-PSS Detection Performance</w:t>
      </w:r>
    </w:p>
    <w:p w:rsidR="00612EFF" w:rsidRDefault="00612EFF" w:rsidP="00612EFF">
      <w:pPr>
        <w:pStyle w:val="Heading2"/>
        <w:rPr>
          <w:lang w:val="en-US" w:eastAsia="ko-KR"/>
        </w:rPr>
      </w:pPr>
      <w:r>
        <w:rPr>
          <w:lang w:val="en-US" w:eastAsia="ko-KR"/>
        </w:rPr>
        <w:t>4.1</w:t>
      </w:r>
      <w:r>
        <w:rPr>
          <w:lang w:val="en-US" w:eastAsia="ko-KR"/>
        </w:rPr>
        <w:tab/>
        <w:t>Coherent Combining (Initial Frequency Error = 0)</w:t>
      </w:r>
    </w:p>
    <w:p w:rsidR="00612EFF" w:rsidRDefault="00612EFF" w:rsidP="00612EFF">
      <w:pPr>
        <w:jc w:val="center"/>
        <w:rPr>
          <w:lang w:val="en-US" w:eastAsia="ko-KR"/>
        </w:rPr>
      </w:pPr>
      <w:r>
        <w:rPr>
          <w:noProof/>
          <w:lang w:val="en-US"/>
        </w:rPr>
        <w:drawing>
          <wp:inline distT="0" distB="0" distL="0" distR="0" wp14:anchorId="6165A829" wp14:editId="13F124DC">
            <wp:extent cx="4954129" cy="3671136"/>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4129" cy="3671136"/>
                    </a:xfrm>
                    <a:prstGeom prst="rect">
                      <a:avLst/>
                    </a:prstGeom>
                  </pic:spPr>
                </pic:pic>
              </a:graphicData>
            </a:graphic>
          </wp:inline>
        </w:drawing>
      </w:r>
    </w:p>
    <w:p w:rsidR="00612EFF" w:rsidRPr="00E645D4" w:rsidRDefault="00612EFF" w:rsidP="00612EFF">
      <w:pPr>
        <w:jc w:val="center"/>
        <w:rPr>
          <w:lang w:val="en-US" w:eastAsia="ko-KR"/>
        </w:rPr>
      </w:pPr>
      <w:r>
        <w:rPr>
          <w:noProof/>
          <w:lang w:val="en-US"/>
        </w:rPr>
        <w:lastRenderedPageBreak/>
        <w:drawing>
          <wp:inline distT="0" distB="0" distL="0" distR="0" wp14:anchorId="251FB7FB" wp14:editId="4CE1EA88">
            <wp:extent cx="5030346" cy="3671136"/>
            <wp:effectExtent l="0" t="0" r="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30346" cy="3671136"/>
                    </a:xfrm>
                    <a:prstGeom prst="rect">
                      <a:avLst/>
                    </a:prstGeom>
                  </pic:spPr>
                </pic:pic>
              </a:graphicData>
            </a:graphic>
          </wp:inline>
        </w:drawing>
      </w:r>
    </w:p>
    <w:p w:rsidR="00612EFF" w:rsidRDefault="00612EFF" w:rsidP="00612EFF">
      <w:pPr>
        <w:jc w:val="center"/>
        <w:rPr>
          <w:lang w:val="en-US" w:eastAsia="ko-KR"/>
        </w:rPr>
      </w:pPr>
      <w:r>
        <w:rPr>
          <w:noProof/>
          <w:lang w:val="en-US"/>
        </w:rPr>
        <w:drawing>
          <wp:inline distT="0" distB="0" distL="0" distR="0" wp14:anchorId="11EF2ECA" wp14:editId="1FE2A485">
            <wp:extent cx="5119266" cy="3671136"/>
            <wp:effectExtent l="0" t="0" r="5715"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19266" cy="3671136"/>
                    </a:xfrm>
                    <a:prstGeom prst="rect">
                      <a:avLst/>
                    </a:prstGeom>
                  </pic:spPr>
                </pic:pic>
              </a:graphicData>
            </a:graphic>
          </wp:inline>
        </w:drawing>
      </w:r>
    </w:p>
    <w:p w:rsidR="00612EFF" w:rsidRPr="00F02DBD" w:rsidRDefault="00612EFF" w:rsidP="00612EFF">
      <w:pPr>
        <w:rPr>
          <w:b/>
          <w:lang w:val="en-US" w:eastAsia="ko-KR"/>
        </w:rPr>
      </w:pPr>
      <w:r w:rsidRPr="00F02DBD">
        <w:rPr>
          <w:b/>
          <w:lang w:val="en-US" w:eastAsia="ko-KR"/>
        </w:rPr>
        <w:t>Observation 1: With coherent combining approach</w:t>
      </w:r>
      <w:r>
        <w:rPr>
          <w:b/>
          <w:lang w:val="en-US" w:eastAsia="ko-KR"/>
        </w:rPr>
        <w:t>, averaging for 5</w:t>
      </w:r>
      <w:r w:rsidRPr="00F02DBD">
        <w:rPr>
          <w:b/>
          <w:lang w:val="en-US" w:eastAsia="ko-KR"/>
        </w:rPr>
        <w:t xml:space="preserve"> frames </w:t>
      </w:r>
      <w:r>
        <w:rPr>
          <w:b/>
          <w:lang w:val="en-US" w:eastAsia="ko-KR"/>
        </w:rPr>
        <w:t>can</w:t>
      </w:r>
      <w:r w:rsidRPr="00F02DBD">
        <w:rPr>
          <w:b/>
          <w:lang w:val="en-US" w:eastAsia="ko-KR"/>
        </w:rPr>
        <w:t xml:space="preserve"> achieve 100% detection rate in AWGN channel </w:t>
      </w:r>
      <w:r>
        <w:rPr>
          <w:b/>
          <w:lang w:val="en-US" w:eastAsia="ko-KR"/>
        </w:rPr>
        <w:t>with no frequency error</w:t>
      </w:r>
      <w:r w:rsidRPr="00F02DBD">
        <w:rPr>
          <w:b/>
          <w:lang w:val="en-US" w:eastAsia="ko-KR"/>
        </w:rPr>
        <w:t xml:space="preserve"> at SNR=-10dB.</w:t>
      </w:r>
    </w:p>
    <w:p w:rsidR="00612EFF" w:rsidRPr="00F02DBD" w:rsidRDefault="00612EFF" w:rsidP="00612EFF">
      <w:pPr>
        <w:rPr>
          <w:b/>
          <w:lang w:val="en-US" w:eastAsia="ko-KR"/>
        </w:rPr>
      </w:pPr>
      <w:r w:rsidRPr="00F02DBD">
        <w:rPr>
          <w:b/>
          <w:lang w:val="en-US" w:eastAsia="ko-KR"/>
        </w:rPr>
        <w:t xml:space="preserve">Observation 2: With coherent combining approach, averaging for 20 frames can achieve 97% detection rate in AWGN channel </w:t>
      </w:r>
      <w:r>
        <w:rPr>
          <w:b/>
          <w:lang w:val="en-US" w:eastAsia="ko-KR"/>
        </w:rPr>
        <w:t>with no frequency error</w:t>
      </w:r>
      <w:r w:rsidRPr="00F02DBD">
        <w:rPr>
          <w:b/>
          <w:lang w:val="en-US" w:eastAsia="ko-KR"/>
        </w:rPr>
        <w:t xml:space="preserve"> </w:t>
      </w:r>
      <w:r>
        <w:rPr>
          <w:b/>
          <w:lang w:val="en-US" w:eastAsia="ko-KR"/>
        </w:rPr>
        <w:t>at SNR=-2</w:t>
      </w:r>
      <w:r w:rsidRPr="00F02DBD">
        <w:rPr>
          <w:b/>
          <w:lang w:val="en-US" w:eastAsia="ko-KR"/>
        </w:rPr>
        <w:t>0dB.</w:t>
      </w:r>
    </w:p>
    <w:p w:rsidR="00612EFF" w:rsidRDefault="00612EFF" w:rsidP="00612EFF">
      <w:pPr>
        <w:pStyle w:val="Heading1"/>
        <w:rPr>
          <w:lang w:val="en-US" w:eastAsia="ko-KR"/>
        </w:rPr>
      </w:pPr>
      <w:r>
        <w:rPr>
          <w:lang w:val="en-US" w:eastAsia="ko-KR"/>
        </w:rPr>
        <w:lastRenderedPageBreak/>
        <w:t>5</w:t>
      </w:r>
      <w:r>
        <w:rPr>
          <w:lang w:val="en-US" w:eastAsia="ko-KR"/>
        </w:rPr>
        <w:tab/>
        <w:t>Conclusions</w:t>
      </w:r>
    </w:p>
    <w:p w:rsidR="00612EFF" w:rsidRPr="002847D1" w:rsidRDefault="00612EFF" w:rsidP="00612EFF">
      <w:pPr>
        <w:rPr>
          <w:lang w:val="en-US" w:eastAsia="ko-KR"/>
        </w:rPr>
      </w:pPr>
      <w:r>
        <w:rPr>
          <w:lang w:val="en-US" w:eastAsia="ko-KR"/>
        </w:rPr>
        <w:t>This paper presented NB-PSS design overview and detection performance results in AWGN channel conditions and made the following observations. The intent of this paper is mainly to get an estimate in terms of the approximate number of frames it would take to achieve reliable detection of NB-PSS when a coherent combining approach is used in AWGN channel with no frequency error.</w:t>
      </w:r>
    </w:p>
    <w:p w:rsidR="00612EFF" w:rsidRPr="00F02DBD" w:rsidRDefault="00612EFF" w:rsidP="00612EFF">
      <w:pPr>
        <w:rPr>
          <w:b/>
          <w:lang w:val="en-US" w:eastAsia="ko-KR"/>
        </w:rPr>
      </w:pPr>
      <w:r w:rsidRPr="00F02DBD">
        <w:rPr>
          <w:b/>
          <w:lang w:val="en-US" w:eastAsia="ko-KR"/>
        </w:rPr>
        <w:t>Observation 1: With coherent com</w:t>
      </w:r>
      <w:r>
        <w:rPr>
          <w:b/>
          <w:lang w:val="en-US" w:eastAsia="ko-KR"/>
        </w:rPr>
        <w:t>bining approach, averaging for 5</w:t>
      </w:r>
      <w:r w:rsidRPr="00F02DBD">
        <w:rPr>
          <w:b/>
          <w:lang w:val="en-US" w:eastAsia="ko-KR"/>
        </w:rPr>
        <w:t xml:space="preserve"> frames </w:t>
      </w:r>
      <w:r>
        <w:rPr>
          <w:b/>
          <w:lang w:val="en-US" w:eastAsia="ko-KR"/>
        </w:rPr>
        <w:t>can</w:t>
      </w:r>
      <w:r w:rsidRPr="00F02DBD">
        <w:rPr>
          <w:b/>
          <w:lang w:val="en-US" w:eastAsia="ko-KR"/>
        </w:rPr>
        <w:t xml:space="preserve"> achieve 100% detection rate in AWGN channel at SNR=-10dB.</w:t>
      </w:r>
    </w:p>
    <w:p w:rsidR="00612EFF" w:rsidRPr="0093639C" w:rsidRDefault="00612EFF" w:rsidP="00612EFF">
      <w:pPr>
        <w:rPr>
          <w:b/>
          <w:lang w:val="en-US" w:eastAsia="ko-KR"/>
        </w:rPr>
      </w:pPr>
      <w:r w:rsidRPr="00F02DBD">
        <w:rPr>
          <w:b/>
          <w:lang w:val="en-US" w:eastAsia="ko-KR"/>
        </w:rPr>
        <w:t>Observation 2: With coherent combining approach, averaging for 20 frames can achieve 97% detectio</w:t>
      </w:r>
      <w:r>
        <w:rPr>
          <w:b/>
          <w:lang w:val="en-US" w:eastAsia="ko-KR"/>
        </w:rPr>
        <w:t>n rate in AWGN channel at SNR=-2</w:t>
      </w:r>
      <w:r w:rsidRPr="00F02DBD">
        <w:rPr>
          <w:b/>
          <w:lang w:val="en-US" w:eastAsia="ko-KR"/>
        </w:rPr>
        <w:t>0dB.</w:t>
      </w:r>
    </w:p>
    <w:p w:rsidR="00612EFF" w:rsidRPr="003E5671" w:rsidRDefault="00612EFF" w:rsidP="00612EFF">
      <w:pPr>
        <w:pStyle w:val="Heading1"/>
        <w:rPr>
          <w:lang w:val="en-US" w:eastAsia="ko-KR"/>
        </w:rPr>
      </w:pPr>
      <w:r>
        <w:rPr>
          <w:lang w:val="en-US" w:eastAsia="ko-KR"/>
        </w:rPr>
        <w:t>6</w:t>
      </w:r>
      <w:r>
        <w:rPr>
          <w:rFonts w:hint="eastAsia"/>
          <w:lang w:val="en-US" w:eastAsia="ko-KR"/>
        </w:rPr>
        <w:tab/>
      </w:r>
      <w:r w:rsidRPr="00A2002B">
        <w:rPr>
          <w:rFonts w:hint="eastAsia"/>
          <w:lang w:val="en-US" w:eastAsia="ko-KR"/>
        </w:rPr>
        <w:t>Reference</w:t>
      </w:r>
      <w:r>
        <w:rPr>
          <w:lang w:val="en-US" w:eastAsia="ko-KR"/>
        </w:rPr>
        <w:t>s</w:t>
      </w:r>
    </w:p>
    <w:p w:rsidR="00612EFF" w:rsidRDefault="00612EFF" w:rsidP="00612EFF">
      <w:pPr>
        <w:numPr>
          <w:ilvl w:val="0"/>
          <w:numId w:val="1"/>
        </w:numPr>
        <w:tabs>
          <w:tab w:val="left" w:pos="1080"/>
        </w:tabs>
        <w:overflowPunct/>
        <w:autoSpaceDE/>
        <w:autoSpaceDN/>
        <w:adjustRightInd/>
        <w:textAlignment w:val="auto"/>
      </w:pPr>
      <w:bookmarkStart w:id="2" w:name="_Ref393898989"/>
      <w:bookmarkStart w:id="3" w:name="_Ref382568932"/>
      <w:bookmarkStart w:id="4" w:name="_Ref382497349"/>
      <w:r>
        <w:t xml:space="preserve">TS36.133 v13.2.0, “Requirements for support of radio resource management” </w:t>
      </w:r>
    </w:p>
    <w:p w:rsidR="00612EFF" w:rsidRDefault="00612EFF" w:rsidP="00612EFF">
      <w:pPr>
        <w:numPr>
          <w:ilvl w:val="0"/>
          <w:numId w:val="1"/>
        </w:numPr>
        <w:tabs>
          <w:tab w:val="left" w:pos="1080"/>
        </w:tabs>
        <w:overflowPunct/>
        <w:autoSpaceDE/>
        <w:autoSpaceDN/>
        <w:adjustRightInd/>
        <w:textAlignment w:val="auto"/>
      </w:pPr>
      <w:r>
        <w:t>R4-161293, “</w:t>
      </w:r>
      <w:r w:rsidRPr="000F20A7">
        <w:t>Simulation assumption for RRM measurements for NB-IoT</w:t>
      </w:r>
      <w:r>
        <w:t xml:space="preserve">”, </w:t>
      </w:r>
      <w:r w:rsidRPr="000F20A7">
        <w:t>Ericsson, Nokia Networks, Alcatel-Lucent, Huawei, Hisilicon, Intel Corporation, ZTE, Qualcomm Incorporated</w:t>
      </w:r>
    </w:p>
    <w:bookmarkEnd w:id="2"/>
    <w:bookmarkEnd w:id="3"/>
    <w:bookmarkEnd w:id="4"/>
    <w:p w:rsidR="00612EFF" w:rsidRDefault="00612EFF" w:rsidP="00612EFF">
      <w:pPr>
        <w:tabs>
          <w:tab w:val="left" w:pos="1080"/>
        </w:tabs>
        <w:overflowPunct/>
        <w:autoSpaceDE/>
        <w:autoSpaceDN/>
        <w:adjustRightInd/>
        <w:ind w:left="360"/>
        <w:textAlignment w:val="auto"/>
        <w:rPr>
          <w:rFonts w:cs="v4.2.0"/>
        </w:rPr>
      </w:pPr>
    </w:p>
    <w:p w:rsidR="00072E99" w:rsidRDefault="00072E99"/>
    <w:sectPr w:rsidR="00072E99" w:rsidSect="00612EFF">
      <w:footerReference w:type="even" r:id="rId18"/>
      <w:footerReference w:type="default" r:id="rId19"/>
      <w:footnotePr>
        <w:numRestart w:val="eachSect"/>
      </w:footnotePr>
      <w:pgSz w:w="11907" w:h="16840" w:code="9"/>
      <w:pgMar w:top="1411" w:right="1138" w:bottom="1138" w:left="1411" w:header="677" w:footer="56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E66" w:rsidRDefault="00612EFF"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5E66" w:rsidRDefault="00612EFF">
    <w:pPr>
      <w:pStyle w:val="Footer"/>
    </w:pPr>
  </w:p>
  <w:p w:rsidR="00665E66" w:rsidRDefault="00612EF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E66" w:rsidRDefault="00612EFF"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rsidR="00665E66" w:rsidRDefault="00612EFF">
    <w:pPr>
      <w:pStyle w:val="Footer"/>
    </w:pPr>
  </w:p>
  <w:p w:rsidR="00665E66" w:rsidRDefault="00612EFF"/>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5833C6"/>
    <w:multiLevelType w:val="hybridMultilevel"/>
    <w:tmpl w:val="CF0EE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48E7264"/>
    <w:multiLevelType w:val="hybridMultilevel"/>
    <w:tmpl w:val="732CEDF8"/>
    <w:lvl w:ilvl="0" w:tplc="C73608A8">
      <w:start w:val="1"/>
      <w:numFmt w:val="bullet"/>
      <w:lvlText w:val="•"/>
      <w:lvlJc w:val="left"/>
      <w:pPr>
        <w:tabs>
          <w:tab w:val="num" w:pos="720"/>
        </w:tabs>
        <w:ind w:left="720" w:hanging="360"/>
      </w:pPr>
      <w:rPr>
        <w:rFonts w:ascii="Arial" w:hAnsi="Arial" w:hint="default"/>
      </w:rPr>
    </w:lvl>
    <w:lvl w:ilvl="1" w:tplc="58FA0416">
      <w:start w:val="19"/>
      <w:numFmt w:val="bullet"/>
      <w:lvlText w:val="–"/>
      <w:lvlJc w:val="left"/>
      <w:pPr>
        <w:tabs>
          <w:tab w:val="num" w:pos="1440"/>
        </w:tabs>
        <w:ind w:left="1440" w:hanging="360"/>
      </w:pPr>
      <w:rPr>
        <w:rFonts w:ascii="Arial" w:hAnsi="Arial" w:hint="default"/>
      </w:rPr>
    </w:lvl>
    <w:lvl w:ilvl="2" w:tplc="26AE5DF6" w:tentative="1">
      <w:start w:val="1"/>
      <w:numFmt w:val="bullet"/>
      <w:lvlText w:val="•"/>
      <w:lvlJc w:val="left"/>
      <w:pPr>
        <w:tabs>
          <w:tab w:val="num" w:pos="2160"/>
        </w:tabs>
        <w:ind w:left="2160" w:hanging="360"/>
      </w:pPr>
      <w:rPr>
        <w:rFonts w:ascii="Arial" w:hAnsi="Arial" w:hint="default"/>
      </w:rPr>
    </w:lvl>
    <w:lvl w:ilvl="3" w:tplc="FDBCAD7E" w:tentative="1">
      <w:start w:val="1"/>
      <w:numFmt w:val="bullet"/>
      <w:lvlText w:val="•"/>
      <w:lvlJc w:val="left"/>
      <w:pPr>
        <w:tabs>
          <w:tab w:val="num" w:pos="2880"/>
        </w:tabs>
        <w:ind w:left="2880" w:hanging="360"/>
      </w:pPr>
      <w:rPr>
        <w:rFonts w:ascii="Arial" w:hAnsi="Arial" w:hint="default"/>
      </w:rPr>
    </w:lvl>
    <w:lvl w:ilvl="4" w:tplc="3378FD2A" w:tentative="1">
      <w:start w:val="1"/>
      <w:numFmt w:val="bullet"/>
      <w:lvlText w:val="•"/>
      <w:lvlJc w:val="left"/>
      <w:pPr>
        <w:tabs>
          <w:tab w:val="num" w:pos="3600"/>
        </w:tabs>
        <w:ind w:left="3600" w:hanging="360"/>
      </w:pPr>
      <w:rPr>
        <w:rFonts w:ascii="Arial" w:hAnsi="Arial" w:hint="default"/>
      </w:rPr>
    </w:lvl>
    <w:lvl w:ilvl="5" w:tplc="C5887A20" w:tentative="1">
      <w:start w:val="1"/>
      <w:numFmt w:val="bullet"/>
      <w:lvlText w:val="•"/>
      <w:lvlJc w:val="left"/>
      <w:pPr>
        <w:tabs>
          <w:tab w:val="num" w:pos="4320"/>
        </w:tabs>
        <w:ind w:left="4320" w:hanging="360"/>
      </w:pPr>
      <w:rPr>
        <w:rFonts w:ascii="Arial" w:hAnsi="Arial" w:hint="default"/>
      </w:rPr>
    </w:lvl>
    <w:lvl w:ilvl="6" w:tplc="867EFF3C" w:tentative="1">
      <w:start w:val="1"/>
      <w:numFmt w:val="bullet"/>
      <w:lvlText w:val="•"/>
      <w:lvlJc w:val="left"/>
      <w:pPr>
        <w:tabs>
          <w:tab w:val="num" w:pos="5040"/>
        </w:tabs>
        <w:ind w:left="5040" w:hanging="360"/>
      </w:pPr>
      <w:rPr>
        <w:rFonts w:ascii="Arial" w:hAnsi="Arial" w:hint="default"/>
      </w:rPr>
    </w:lvl>
    <w:lvl w:ilvl="7" w:tplc="316A2470" w:tentative="1">
      <w:start w:val="1"/>
      <w:numFmt w:val="bullet"/>
      <w:lvlText w:val="•"/>
      <w:lvlJc w:val="left"/>
      <w:pPr>
        <w:tabs>
          <w:tab w:val="num" w:pos="5760"/>
        </w:tabs>
        <w:ind w:left="5760" w:hanging="360"/>
      </w:pPr>
      <w:rPr>
        <w:rFonts w:ascii="Arial" w:hAnsi="Arial" w:hint="default"/>
      </w:rPr>
    </w:lvl>
    <w:lvl w:ilvl="8" w:tplc="5B286C5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FF"/>
    <w:rsid w:val="00072E99"/>
    <w:rsid w:val="001A6C5D"/>
    <w:rsid w:val="00612EFF"/>
    <w:rsid w:val="00895D9D"/>
    <w:rsid w:val="00D20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49387B-8325-4D14-9312-F8538B21F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EF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Heading1">
    <w:name w:val="heading 1"/>
    <w:next w:val="Normal"/>
    <w:link w:val="Heading1Char"/>
    <w:qFormat/>
    <w:rsid w:val="00612E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612EF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2EFF"/>
    <w:rPr>
      <w:rFonts w:ascii="Arial" w:eastAsia="Malgun Gothic" w:hAnsi="Arial" w:cs="Times New Roman"/>
      <w:sz w:val="36"/>
      <w:szCs w:val="20"/>
      <w:lang w:val="en-GB"/>
    </w:rPr>
  </w:style>
  <w:style w:type="character" w:customStyle="1" w:styleId="Heading2Char">
    <w:name w:val="Heading 2 Char"/>
    <w:basedOn w:val="DefaultParagraphFont"/>
    <w:link w:val="Heading2"/>
    <w:rsid w:val="00612EFF"/>
    <w:rPr>
      <w:rFonts w:ascii="Arial" w:eastAsia="Malgun Gothic" w:hAnsi="Arial" w:cs="Times New Roman"/>
      <w:sz w:val="32"/>
      <w:szCs w:val="20"/>
      <w:lang w:val="en-GB"/>
    </w:rPr>
  </w:style>
  <w:style w:type="paragraph" w:styleId="Footer">
    <w:name w:val="footer"/>
    <w:basedOn w:val="Header"/>
    <w:link w:val="FooterChar"/>
    <w:uiPriority w:val="99"/>
    <w:rsid w:val="00612EFF"/>
    <w:pPr>
      <w:widowControl w:val="0"/>
      <w:tabs>
        <w:tab w:val="clear" w:pos="4680"/>
        <w:tab w:val="clear" w:pos="9360"/>
      </w:tabs>
      <w:jc w:val="center"/>
    </w:pPr>
    <w:rPr>
      <w:rFonts w:ascii="Arial" w:eastAsia="SimSun" w:hAnsi="Arial" w:cs="Arial"/>
      <w:b/>
      <w:i/>
      <w:noProof/>
      <w:color w:val="0000FF"/>
      <w:kern w:val="2"/>
      <w:sz w:val="18"/>
      <w:lang w:val="en-US"/>
    </w:rPr>
  </w:style>
  <w:style w:type="character" w:customStyle="1" w:styleId="FooterChar">
    <w:name w:val="Footer Char"/>
    <w:basedOn w:val="DefaultParagraphFont"/>
    <w:link w:val="Footer"/>
    <w:uiPriority w:val="99"/>
    <w:rsid w:val="00612EFF"/>
    <w:rPr>
      <w:rFonts w:ascii="Arial" w:eastAsia="SimSun" w:hAnsi="Arial" w:cs="Arial"/>
      <w:b/>
      <w:i/>
      <w:noProof/>
      <w:color w:val="0000FF"/>
      <w:kern w:val="2"/>
      <w:sz w:val="18"/>
      <w:szCs w:val="20"/>
    </w:rPr>
  </w:style>
  <w:style w:type="character" w:styleId="PageNumber">
    <w:name w:val="page number"/>
    <w:rsid w:val="00612EFF"/>
    <w:rPr>
      <w:rFonts w:ascii="Arial" w:eastAsia="SimSun" w:hAnsi="Arial" w:cs="Arial"/>
      <w:color w:val="0000FF"/>
      <w:kern w:val="2"/>
      <w:lang w:val="en-US" w:eastAsia="zh-CN" w:bidi="ar-SA"/>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612EFF"/>
    <w:rPr>
      <w:b/>
      <w:bCs/>
    </w:rPr>
  </w:style>
  <w:style w:type="paragraph" w:styleId="BodyText">
    <w:name w:val="Body Text"/>
    <w:basedOn w:val="Normal"/>
    <w:link w:val="BodyTextChar"/>
    <w:rsid w:val="00612EFF"/>
    <w:rPr>
      <w:rFonts w:eastAsia="Times New Roman" w:cs="Arial"/>
      <w:color w:val="0000FF"/>
      <w:kern w:val="2"/>
      <w:lang w:eastAsia="en-GB"/>
    </w:rPr>
  </w:style>
  <w:style w:type="character" w:customStyle="1" w:styleId="BodyTextChar">
    <w:name w:val="Body Text Char"/>
    <w:basedOn w:val="DefaultParagraphFont"/>
    <w:link w:val="BodyText"/>
    <w:rsid w:val="00612EFF"/>
    <w:rPr>
      <w:rFonts w:ascii="Times New Roman" w:eastAsia="Times New Roman" w:hAnsi="Times New Roman" w:cs="Arial"/>
      <w:color w:val="0000FF"/>
      <w:kern w:val="2"/>
      <w:sz w:val="20"/>
      <w:szCs w:val="20"/>
      <w:lang w:val="en-GB" w:eastAsia="en-GB"/>
    </w:rPr>
  </w:style>
  <w:style w:type="paragraph" w:customStyle="1" w:styleId="CRCoverPage">
    <w:name w:val="CR Cover Page"/>
    <w:link w:val="CRCoverPageChar"/>
    <w:rsid w:val="00612EFF"/>
    <w:pPr>
      <w:spacing w:after="120" w:line="240" w:lineRule="auto"/>
    </w:pPr>
    <w:rPr>
      <w:rFonts w:ascii="Arial" w:eastAsia="MS Mincho"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612EFF"/>
    <w:rPr>
      <w:rFonts w:ascii="Times New Roman" w:eastAsia="Malgun Gothic" w:hAnsi="Times New Roman" w:cs="Times New Roman"/>
      <w:b/>
      <w:bCs/>
      <w:sz w:val="20"/>
      <w:szCs w:val="20"/>
      <w:lang w:val="en-GB"/>
    </w:rPr>
  </w:style>
  <w:style w:type="character" w:customStyle="1" w:styleId="CRCoverPageChar">
    <w:name w:val="CR Cover Page Char"/>
    <w:link w:val="CRCoverPage"/>
    <w:rsid w:val="00612EFF"/>
    <w:rPr>
      <w:rFonts w:ascii="Arial" w:eastAsia="MS Mincho" w:hAnsi="Arial" w:cs="Times New Roman"/>
      <w:sz w:val="20"/>
      <w:szCs w:val="20"/>
      <w:lang w:val="en-GB"/>
    </w:rPr>
  </w:style>
  <w:style w:type="paragraph" w:customStyle="1" w:styleId="LGTdoc1">
    <w:name w:val="LGTdoc_제목1"/>
    <w:basedOn w:val="Normal"/>
    <w:rsid w:val="00612E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LGTdoc">
    <w:name w:val="LGTdoc_본문"/>
    <w:basedOn w:val="Normal"/>
    <w:rsid w:val="00612EFF"/>
    <w:pPr>
      <w:widowControl w:val="0"/>
      <w:overflowPunct/>
      <w:snapToGrid w:val="0"/>
      <w:spacing w:after="0" w:line="264" w:lineRule="auto"/>
      <w:jc w:val="both"/>
      <w:textAlignment w:val="auto"/>
    </w:pPr>
    <w:rPr>
      <w:rFonts w:eastAsia="Batang"/>
      <w:kern w:val="2"/>
      <w:sz w:val="22"/>
      <w:szCs w:val="24"/>
      <w:lang w:eastAsia="ko-KR"/>
    </w:rPr>
  </w:style>
  <w:style w:type="paragraph" w:styleId="Header">
    <w:name w:val="header"/>
    <w:basedOn w:val="Normal"/>
    <w:link w:val="HeaderChar"/>
    <w:uiPriority w:val="99"/>
    <w:semiHidden/>
    <w:unhideWhenUsed/>
    <w:rsid w:val="00612EFF"/>
    <w:pPr>
      <w:tabs>
        <w:tab w:val="center" w:pos="4680"/>
        <w:tab w:val="right" w:pos="9360"/>
      </w:tabs>
      <w:spacing w:after="0"/>
    </w:pPr>
  </w:style>
  <w:style w:type="character" w:customStyle="1" w:styleId="HeaderChar">
    <w:name w:val="Header Char"/>
    <w:basedOn w:val="DefaultParagraphFont"/>
    <w:link w:val="Header"/>
    <w:uiPriority w:val="99"/>
    <w:semiHidden/>
    <w:rsid w:val="00612EFF"/>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1214</Words>
  <Characters>6924</Characters>
  <Application>Microsoft Office Word</Application>
  <DocSecurity>0</DocSecurity>
  <Lines>57</Lines>
  <Paragraphs>16</Paragraphs>
  <ScaleCrop>false</ScaleCrop>
  <Company>Qualcomm Incorporated</Company>
  <LinksUpToDate>false</LinksUpToDate>
  <CharactersWithSpaces>8122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1</cp:revision>
  <dcterms:created xsi:type="dcterms:W3CDTF">2016-04-01T21:18:00Z</dcterms:created>
  <dcterms:modified xsi:type="dcterms:W3CDTF">2016-04-01T21:24:00Z</dcterms:modified>
</cp:coreProperties>
</file>